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9A2" w:rsidRPr="00203461" w:rsidRDefault="004F49A2" w:rsidP="000F45A4">
      <w:pPr>
        <w:pStyle w:val="Hemstlrubrik"/>
      </w:pPr>
      <w:r w:rsidRPr="00203461">
        <w:t>Förslag till riksdagsbeslut</w:t>
      </w:r>
    </w:p>
    <w:p w:rsidR="00AE7BBF" w:rsidRPr="00203461" w:rsidRDefault="004F49A2" w:rsidP="00EE3E7C">
      <w:pPr>
        <w:pStyle w:val="Hemstlatt"/>
      </w:pPr>
      <w:r w:rsidRPr="00203461">
        <w:t xml:space="preserve">Riksdagen anvisar med följande ändringar i förhållande </w:t>
      </w:r>
      <w:r w:rsidR="00E916DE" w:rsidRPr="00203461">
        <w:t xml:space="preserve">till </w:t>
      </w:r>
      <w:r w:rsidRPr="00203461">
        <w:t>regeringens förslag anslagen under utgiftsområde 8 Invandrare och flyktingar för 2006</w:t>
      </w:r>
      <w:r w:rsidR="00EE3E7C" w:rsidRPr="00203461">
        <w:t>.</w:t>
      </w:r>
    </w:p>
    <w:tbl>
      <w:tblPr>
        <w:tblW w:w="0" w:type="auto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1219"/>
        <w:gridCol w:w="1314"/>
      </w:tblGrid>
      <w:tr w:rsidR="00AE7BBF" w:rsidRPr="00203461">
        <w:tblPrEx>
          <w:tblCellMar>
            <w:top w:w="0" w:type="dxa"/>
            <w:bottom w:w="0" w:type="dxa"/>
          </w:tblCellMar>
        </w:tblPrEx>
        <w:tc>
          <w:tcPr>
            <w:tcW w:w="2643" w:type="dxa"/>
            <w:tcBorders>
              <w:bottom w:val="single" w:sz="4" w:space="0" w:color="auto"/>
            </w:tcBorders>
          </w:tcPr>
          <w:p w:rsidR="00AE7BBF" w:rsidRPr="00203461" w:rsidRDefault="00AE7BBF" w:rsidP="000F45A4">
            <w:pPr>
              <w:spacing w:before="60" w:line="200" w:lineRule="exact"/>
              <w:rPr>
                <w:b/>
                <w:i/>
                <w:sz w:val="16"/>
              </w:rPr>
            </w:pPr>
            <w:r w:rsidRPr="00203461">
              <w:rPr>
                <w:i/>
                <w:sz w:val="16"/>
              </w:rPr>
              <w:t>Miljoner kronor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</w:p>
        </w:tc>
      </w:tr>
      <w:tr w:rsidR="00AE7BBF" w:rsidRPr="00203461">
        <w:tblPrEx>
          <w:tblCellMar>
            <w:top w:w="0" w:type="dxa"/>
            <w:bottom w:w="0" w:type="dxa"/>
          </w:tblCellMar>
        </w:tblPrEx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AE7BBF" w:rsidRPr="00203461" w:rsidRDefault="00AE7BBF" w:rsidP="000F45A4">
            <w:pPr>
              <w:spacing w:before="60" w:line="200" w:lineRule="exac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Anslag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Regeringens</w:t>
            </w:r>
            <w:r w:rsidRPr="00203461">
              <w:rPr>
                <w:b/>
                <w:sz w:val="16"/>
              </w:rPr>
              <w:br/>
              <w:t>förslag 2006</w:t>
            </w:r>
          </w:p>
          <w:p w:rsidR="00AE7BBF" w:rsidRPr="00203461" w:rsidRDefault="00AE7BBF" w:rsidP="00250A21">
            <w:pPr>
              <w:pStyle w:val="Normaltindrag"/>
              <w:spacing w:before="60" w:line="200" w:lineRule="exact"/>
              <w:jc w:val="right"/>
              <w:rPr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Folkpartiets förändringar i förhållande</w:t>
            </w:r>
            <w:r w:rsidRPr="00203461">
              <w:rPr>
                <w:b/>
                <w:sz w:val="16"/>
              </w:rPr>
              <w:br/>
              <w:t>till regeringen</w:t>
            </w:r>
          </w:p>
        </w:tc>
      </w:tr>
      <w:tr w:rsidR="00AE7BBF" w:rsidRPr="00203461">
        <w:tblPrEx>
          <w:tblCellMar>
            <w:top w:w="0" w:type="dxa"/>
            <w:bottom w:w="0" w:type="dxa"/>
          </w:tblCellMar>
        </w:tblPrEx>
        <w:tc>
          <w:tcPr>
            <w:tcW w:w="2643" w:type="dxa"/>
            <w:tcBorders>
              <w:top w:val="single" w:sz="4" w:space="0" w:color="auto"/>
            </w:tcBorders>
          </w:tcPr>
          <w:p w:rsidR="00AE7BBF" w:rsidRPr="00203461" w:rsidRDefault="00AE7BBF" w:rsidP="000F45A4">
            <w:pPr>
              <w:spacing w:before="60" w:line="200" w:lineRule="exact"/>
              <w:rPr>
                <w:sz w:val="16"/>
              </w:rPr>
            </w:pPr>
            <w:r w:rsidRPr="00203461">
              <w:rPr>
                <w:sz w:val="16"/>
              </w:rPr>
              <w:t>10:1 Integrationsverket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sz w:val="16"/>
              </w:rPr>
            </w:pPr>
            <w:r w:rsidRPr="00203461">
              <w:rPr>
                <w:sz w:val="16"/>
              </w:rPr>
              <w:t>91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AE7BBF" w:rsidRPr="00203461" w:rsidRDefault="00E916DE" w:rsidP="00250A21">
            <w:pPr>
              <w:spacing w:before="60" w:line="200" w:lineRule="exact"/>
              <w:jc w:val="right"/>
              <w:rPr>
                <w:sz w:val="16"/>
              </w:rPr>
            </w:pPr>
            <w:r w:rsidRPr="00203461">
              <w:rPr>
                <w:sz w:val="16"/>
              </w:rPr>
              <w:t>–</w:t>
            </w:r>
            <w:r w:rsidR="00AE7BBF" w:rsidRPr="00203461">
              <w:rPr>
                <w:sz w:val="16"/>
              </w:rPr>
              <w:t>50</w:t>
            </w:r>
          </w:p>
        </w:tc>
      </w:tr>
      <w:tr w:rsidR="00AE7BBF" w:rsidRPr="00203461">
        <w:tblPrEx>
          <w:tblCellMar>
            <w:top w:w="0" w:type="dxa"/>
            <w:bottom w:w="0" w:type="dxa"/>
          </w:tblCellMar>
        </w:tblPrEx>
        <w:tc>
          <w:tcPr>
            <w:tcW w:w="2643" w:type="dxa"/>
          </w:tcPr>
          <w:p w:rsidR="00AE7BBF" w:rsidRPr="00203461" w:rsidRDefault="00AF5585" w:rsidP="000F45A4">
            <w:pPr>
              <w:spacing w:before="60" w:line="200" w:lineRule="exact"/>
              <w:rPr>
                <w:sz w:val="16"/>
              </w:rPr>
            </w:pPr>
            <w:r w:rsidRPr="00203461">
              <w:rPr>
                <w:sz w:val="16"/>
              </w:rPr>
              <w:t>12:5</w:t>
            </w:r>
            <w:r w:rsidR="00AE7BBF" w:rsidRPr="00203461">
              <w:rPr>
                <w:sz w:val="16"/>
              </w:rPr>
              <w:t xml:space="preserve"> </w:t>
            </w:r>
            <w:r w:rsidRPr="00203461">
              <w:rPr>
                <w:sz w:val="16"/>
              </w:rPr>
              <w:t>Kostnader vid domstolsprövning</w:t>
            </w:r>
          </w:p>
        </w:tc>
        <w:tc>
          <w:tcPr>
            <w:tcW w:w="1219" w:type="dxa"/>
          </w:tcPr>
          <w:p w:rsidR="00AE7BBF" w:rsidRPr="00203461" w:rsidRDefault="00AF5585" w:rsidP="00250A21">
            <w:pPr>
              <w:spacing w:before="60" w:line="200" w:lineRule="exact"/>
              <w:jc w:val="right"/>
              <w:rPr>
                <w:sz w:val="16"/>
              </w:rPr>
            </w:pPr>
            <w:r w:rsidRPr="00203461">
              <w:rPr>
                <w:sz w:val="16"/>
              </w:rPr>
              <w:t>149</w:t>
            </w:r>
          </w:p>
        </w:tc>
        <w:tc>
          <w:tcPr>
            <w:tcW w:w="1314" w:type="dxa"/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sz w:val="16"/>
              </w:rPr>
            </w:pPr>
            <w:r w:rsidRPr="00203461">
              <w:rPr>
                <w:sz w:val="16"/>
              </w:rPr>
              <w:t>+100</w:t>
            </w:r>
          </w:p>
        </w:tc>
      </w:tr>
      <w:tr w:rsidR="00AE7BBF" w:rsidRPr="00203461">
        <w:tblPrEx>
          <w:tblCellMar>
            <w:top w:w="0" w:type="dxa"/>
            <w:bottom w:w="0" w:type="dxa"/>
          </w:tblCellMar>
        </w:tblPrEx>
        <w:tc>
          <w:tcPr>
            <w:tcW w:w="2643" w:type="dxa"/>
            <w:tcBorders>
              <w:bottom w:val="single" w:sz="4" w:space="0" w:color="auto"/>
            </w:tcBorders>
          </w:tcPr>
          <w:p w:rsidR="00AE7BBF" w:rsidRPr="00203461" w:rsidRDefault="00AE7BBF" w:rsidP="000F45A4">
            <w:pPr>
              <w:spacing w:before="60" w:line="200" w:lineRule="exac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Summa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AE7BBF" w:rsidRPr="00203461" w:rsidRDefault="00F70C60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6</w:t>
            </w:r>
            <w:r w:rsidR="00E916DE" w:rsidRPr="00203461">
              <w:rPr>
                <w:b/>
                <w:sz w:val="16"/>
              </w:rPr>
              <w:t> </w:t>
            </w:r>
            <w:r w:rsidRPr="00203461">
              <w:rPr>
                <w:b/>
                <w:sz w:val="16"/>
              </w:rPr>
              <w:t>981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AE7BBF" w:rsidRPr="00203461" w:rsidRDefault="00AE7BBF" w:rsidP="00250A21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+50</w:t>
            </w:r>
          </w:p>
        </w:tc>
      </w:tr>
    </w:tbl>
    <w:p w:rsidR="00DC49DA" w:rsidRPr="00203461" w:rsidRDefault="00DC49DA" w:rsidP="000F45A4">
      <w:pPr>
        <w:pStyle w:val="Rubrik1"/>
      </w:pPr>
      <w:r w:rsidRPr="00203461">
        <w:t>Motivering</w:t>
      </w:r>
    </w:p>
    <w:p w:rsidR="00DC49DA" w:rsidRPr="00203461" w:rsidRDefault="00DC49DA" w:rsidP="00E916DE">
      <w:r w:rsidRPr="00203461">
        <w:t xml:space="preserve">I denna motion föreslås </w:t>
      </w:r>
      <w:r w:rsidR="000F45A4" w:rsidRPr="00203461">
        <w:t>F</w:t>
      </w:r>
      <w:r w:rsidRPr="00203461">
        <w:t>olkpartiets ekonomiska överväganden för utgiftso</w:t>
      </w:r>
      <w:r w:rsidRPr="00203461">
        <w:t>m</w:t>
      </w:r>
      <w:r w:rsidRPr="00203461">
        <w:t xml:space="preserve">råde 8 </w:t>
      </w:r>
      <w:r w:rsidR="000F45A4" w:rsidRPr="00203461">
        <w:t>I</w:t>
      </w:r>
      <w:r w:rsidRPr="00203461">
        <w:t>nvandrare och flyktingar. För kompletterande ekonomiska överväga</w:t>
      </w:r>
      <w:r w:rsidRPr="00203461">
        <w:t>n</w:t>
      </w:r>
      <w:r w:rsidRPr="00203461">
        <w:t>den rörande integrationspolitiken hänvisas till budgetmotion för utgiftsomr</w:t>
      </w:r>
      <w:r w:rsidRPr="00203461">
        <w:t>å</w:t>
      </w:r>
      <w:r w:rsidRPr="00203461">
        <w:t>de 13</w:t>
      </w:r>
      <w:r w:rsidR="000F45A4" w:rsidRPr="00203461">
        <w:t xml:space="preserve"> A</w:t>
      </w:r>
      <w:r w:rsidRPr="00203461">
        <w:t>rbetsmarknad. För närmare motivering se motionerna ”Liberal fly</w:t>
      </w:r>
      <w:r w:rsidRPr="00203461">
        <w:t>k</w:t>
      </w:r>
      <w:r w:rsidRPr="00203461">
        <w:t>ting- och migrationspolitik” 2005/06:</w:t>
      </w:r>
      <w:r w:rsidR="000F45A4" w:rsidRPr="00203461">
        <w:t>Sf364</w:t>
      </w:r>
      <w:r w:rsidRPr="00203461">
        <w:t xml:space="preserve"> och ”Egenmakt, arbete och jä</w:t>
      </w:r>
      <w:r w:rsidRPr="00203461">
        <w:t>m</w:t>
      </w:r>
      <w:r w:rsidRPr="00203461">
        <w:t>likhet – liberal integrationspolitik” 2005/06:</w:t>
      </w:r>
      <w:r w:rsidR="000F45A4" w:rsidRPr="00203461">
        <w:t>Sf383</w:t>
      </w:r>
      <w:r w:rsidRPr="00203461">
        <w:t>.</w:t>
      </w:r>
    </w:p>
    <w:p w:rsidR="00DC49DA" w:rsidRPr="00203461" w:rsidRDefault="00DC49DA" w:rsidP="00250A21">
      <w:pPr>
        <w:pStyle w:val="Rubrik1"/>
      </w:pPr>
      <w:r w:rsidRPr="00203461">
        <w:t>Integrationsverket</w:t>
      </w:r>
    </w:p>
    <w:p w:rsidR="00DC49DA" w:rsidRPr="00203461" w:rsidRDefault="00DC49DA" w:rsidP="000F45A4">
      <w:r w:rsidRPr="00203461">
        <w:t>Som en del av den process som beskrivs i motionen ”Egenmakt, arbete och jämlikhet – liberal integrationspolitik”</w:t>
      </w:r>
      <w:r w:rsidR="00BF5FE9" w:rsidRPr="00203461">
        <w:t xml:space="preserve"> som leder från myndighetsmakt till egenmakt föreslår </w:t>
      </w:r>
      <w:r w:rsidR="000F45A4" w:rsidRPr="00203461">
        <w:t>F</w:t>
      </w:r>
      <w:r w:rsidR="00BF5FE9" w:rsidRPr="00203461">
        <w:t>olkpartiet att Integrationsverket läggs ned. Integration</w:t>
      </w:r>
      <w:r w:rsidR="00BF5FE9" w:rsidRPr="00203461">
        <w:t>s</w:t>
      </w:r>
      <w:r w:rsidR="00BF5FE9" w:rsidRPr="00203461">
        <w:t>verket försvinner i samband med integrationspolitikens definitiva omoriente</w:t>
      </w:r>
      <w:r w:rsidR="00BF5FE9" w:rsidRPr="00203461">
        <w:lastRenderedPageBreak/>
        <w:t>r</w:t>
      </w:r>
      <w:r w:rsidR="00BF5FE9" w:rsidRPr="00203461">
        <w:t>ing från invandrarpolitik till en politik för social utveckling som omfattar utsatta personer och områden oavsett ursprung, etnicitet och födelseort.</w:t>
      </w:r>
    </w:p>
    <w:p w:rsidR="008214A3" w:rsidRPr="00203461" w:rsidRDefault="008214A3" w:rsidP="008214A3">
      <w:pPr>
        <w:pStyle w:val="Normaltindrag"/>
        <w:ind w:firstLine="0"/>
      </w:pPr>
    </w:p>
    <w:p w:rsidR="008214A3" w:rsidRPr="00203461" w:rsidRDefault="008214A3" w:rsidP="00250A21">
      <w:pPr>
        <w:pStyle w:val="Rubrik1"/>
      </w:pPr>
      <w:r w:rsidRPr="00203461">
        <w:t>Migrationsverket</w:t>
      </w:r>
    </w:p>
    <w:p w:rsidR="008214A3" w:rsidRPr="00203461" w:rsidRDefault="008214A3" w:rsidP="000F45A4">
      <w:r w:rsidRPr="00203461">
        <w:t>Migrationsverket står inför en stor förändring i samband med att den nya instans- och processordningen i utlännings- och medborgarskapsärenden träder i kraft den 31 mars 2006. Folkpartiet föreslår inför den nya instansor</w:t>
      </w:r>
      <w:r w:rsidRPr="00203461">
        <w:t>d</w:t>
      </w:r>
      <w:r w:rsidRPr="00203461">
        <w:t>ningen att vissa grupper beviljas en ny asylprövning enligt den nya asylpr</w:t>
      </w:r>
      <w:r w:rsidRPr="00203461">
        <w:t>o</w:t>
      </w:r>
      <w:r w:rsidRPr="00203461">
        <w:t>cessen. Detta kommer att medföra ökade kostnader</w:t>
      </w:r>
      <w:r w:rsidR="000F45A4" w:rsidRPr="00203461">
        <w:t>,</w:t>
      </w:r>
      <w:r w:rsidRPr="00203461">
        <w:t xml:space="preserve"> varför vi anslår 100 mi</w:t>
      </w:r>
      <w:r w:rsidRPr="00203461">
        <w:t>l</w:t>
      </w:r>
      <w:r w:rsidRPr="00203461">
        <w:t>joner kronor extra utöver regeringens budgetförslag</w:t>
      </w:r>
      <w:r w:rsidR="000F45A4" w:rsidRPr="00203461">
        <w:t xml:space="preserve"> 2006</w:t>
      </w:r>
      <w:r w:rsidRPr="00203461">
        <w:t>.</w:t>
      </w:r>
    </w:p>
    <w:p w:rsidR="008214A3" w:rsidRPr="00203461" w:rsidRDefault="008214A3" w:rsidP="000F45A4">
      <w:pPr>
        <w:pStyle w:val="Rubrik2"/>
      </w:pPr>
      <w:r w:rsidRPr="00203461">
        <w:t>Folkpartiets förslag till anslag för 2007 och 2008</w:t>
      </w:r>
    </w:p>
    <w:tbl>
      <w:tblPr>
        <w:tblW w:w="608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710"/>
        <w:gridCol w:w="1045"/>
        <w:gridCol w:w="1140"/>
        <w:gridCol w:w="1045"/>
        <w:gridCol w:w="1140"/>
      </w:tblGrid>
      <w:tr w:rsidR="008214A3" w:rsidRPr="00203461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lef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Anslag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Regerin</w:t>
            </w:r>
            <w:r w:rsidRPr="00203461">
              <w:rPr>
                <w:b/>
                <w:sz w:val="16"/>
              </w:rPr>
              <w:t>g</w:t>
            </w:r>
            <w:r w:rsidRPr="00203461">
              <w:rPr>
                <w:b/>
                <w:sz w:val="16"/>
              </w:rPr>
              <w:t>ens</w:t>
            </w:r>
            <w:r w:rsidRPr="00203461">
              <w:rPr>
                <w:b/>
                <w:sz w:val="16"/>
              </w:rPr>
              <w:br/>
              <w:t>förslag för 2007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Folkpartiets förändrin</w:t>
            </w:r>
            <w:r w:rsidRPr="00203461">
              <w:rPr>
                <w:b/>
                <w:sz w:val="16"/>
              </w:rPr>
              <w:t>g</w:t>
            </w:r>
            <w:r w:rsidRPr="00203461">
              <w:rPr>
                <w:b/>
                <w:sz w:val="16"/>
              </w:rPr>
              <w:t>ar</w:t>
            </w:r>
            <w:r w:rsidRPr="00203461">
              <w:rPr>
                <w:b/>
                <w:sz w:val="16"/>
              </w:rPr>
              <w:br/>
              <w:t>i förhållande till regerin</w:t>
            </w:r>
            <w:r w:rsidRPr="00203461">
              <w:rPr>
                <w:b/>
                <w:sz w:val="16"/>
              </w:rPr>
              <w:t>g</w:t>
            </w:r>
            <w:r w:rsidRPr="00203461">
              <w:rPr>
                <w:b/>
                <w:sz w:val="16"/>
              </w:rPr>
              <w:t>en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Regerin</w:t>
            </w:r>
            <w:r w:rsidRPr="00203461">
              <w:rPr>
                <w:b/>
                <w:sz w:val="16"/>
              </w:rPr>
              <w:t>g</w:t>
            </w:r>
            <w:r w:rsidRPr="00203461">
              <w:rPr>
                <w:b/>
                <w:sz w:val="16"/>
              </w:rPr>
              <w:t>ens förslag för 2008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Folkpartiets förändringar i förhållande till regerin</w:t>
            </w:r>
            <w:r w:rsidRPr="00203461">
              <w:rPr>
                <w:b/>
                <w:sz w:val="16"/>
              </w:rPr>
              <w:t>g</w:t>
            </w:r>
            <w:r w:rsidRPr="00203461">
              <w:rPr>
                <w:b/>
                <w:sz w:val="16"/>
              </w:rPr>
              <w:t>en</w:t>
            </w:r>
          </w:p>
        </w:tc>
      </w:tr>
      <w:tr w:rsidR="008214A3" w:rsidRPr="00203461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4" w:space="0" w:color="auto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left"/>
              <w:rPr>
                <w:sz w:val="16"/>
              </w:rPr>
            </w:pPr>
            <w:r w:rsidRPr="00203461">
              <w:rPr>
                <w:sz w:val="16"/>
              </w:rPr>
              <w:t>10:1 Integrationsverket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8214A3" w:rsidRPr="00203461" w:rsidRDefault="00AE7BBF" w:rsidP="000F45A4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</w:rPr>
            </w:pPr>
            <w:r w:rsidRPr="00203461">
              <w:rPr>
                <w:sz w:val="16"/>
              </w:rPr>
              <w:t>92,7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8214A3" w:rsidRPr="00203461" w:rsidRDefault="000F45A4" w:rsidP="000F45A4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</w:rPr>
            </w:pPr>
            <w:r w:rsidRPr="00203461">
              <w:rPr>
                <w:sz w:val="16"/>
              </w:rPr>
              <w:t>–</w:t>
            </w:r>
            <w:r w:rsidR="00846CA3" w:rsidRPr="00203461">
              <w:rPr>
                <w:sz w:val="16"/>
              </w:rPr>
              <w:t>92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8214A3" w:rsidRPr="00203461" w:rsidRDefault="00AE7BBF" w:rsidP="000F45A4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</w:rPr>
            </w:pPr>
            <w:r w:rsidRPr="00203461">
              <w:rPr>
                <w:sz w:val="16"/>
              </w:rPr>
              <w:t>94,5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8214A3" w:rsidRPr="00203461" w:rsidRDefault="000F45A4" w:rsidP="000F45A4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</w:rPr>
            </w:pPr>
            <w:r w:rsidRPr="00203461">
              <w:rPr>
                <w:sz w:val="16"/>
              </w:rPr>
              <w:t>–</w:t>
            </w:r>
            <w:r w:rsidR="00846CA3" w:rsidRPr="00203461">
              <w:rPr>
                <w:sz w:val="16"/>
              </w:rPr>
              <w:t>94</w:t>
            </w:r>
          </w:p>
        </w:tc>
      </w:tr>
      <w:tr w:rsidR="008214A3" w:rsidRPr="00203461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bottom w:val="single" w:sz="8" w:space="0" w:color="auto"/>
            </w:tcBorders>
          </w:tcPr>
          <w:p w:rsidR="008214A3" w:rsidRPr="00203461" w:rsidRDefault="008214A3" w:rsidP="000F45A4">
            <w:pPr>
              <w:pStyle w:val="Normaltindrag"/>
              <w:spacing w:before="60" w:line="200" w:lineRule="exact"/>
              <w:ind w:firstLine="0"/>
              <w:jc w:val="lef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Summa</w:t>
            </w:r>
          </w:p>
        </w:tc>
        <w:tc>
          <w:tcPr>
            <w:tcW w:w="1045" w:type="dxa"/>
            <w:tcBorders>
              <w:bottom w:val="single" w:sz="8" w:space="0" w:color="auto"/>
            </w:tcBorders>
            <w:vAlign w:val="center"/>
          </w:tcPr>
          <w:p w:rsidR="008214A3" w:rsidRPr="00203461" w:rsidRDefault="00AE7BBF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3</w:t>
            </w:r>
            <w:r w:rsidR="00250A21" w:rsidRPr="00203461">
              <w:rPr>
                <w:b/>
                <w:sz w:val="16"/>
              </w:rPr>
              <w:t xml:space="preserve"> </w:t>
            </w:r>
            <w:r w:rsidRPr="00203461">
              <w:rPr>
                <w:b/>
                <w:sz w:val="16"/>
              </w:rPr>
              <w:t>649,1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8214A3" w:rsidRPr="00203461" w:rsidRDefault="000F45A4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–</w:t>
            </w:r>
            <w:r w:rsidR="00846CA3" w:rsidRPr="00203461">
              <w:rPr>
                <w:b/>
                <w:sz w:val="16"/>
              </w:rPr>
              <w:t>92</w:t>
            </w:r>
          </w:p>
        </w:tc>
        <w:tc>
          <w:tcPr>
            <w:tcW w:w="1045" w:type="dxa"/>
            <w:tcBorders>
              <w:bottom w:val="single" w:sz="8" w:space="0" w:color="auto"/>
            </w:tcBorders>
            <w:vAlign w:val="center"/>
          </w:tcPr>
          <w:p w:rsidR="008214A3" w:rsidRPr="00203461" w:rsidRDefault="00AE7BBF" w:rsidP="000F45A4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3</w:t>
            </w:r>
            <w:r w:rsidR="00250A21" w:rsidRPr="00203461">
              <w:rPr>
                <w:b/>
                <w:sz w:val="16"/>
              </w:rPr>
              <w:t xml:space="preserve"> </w:t>
            </w:r>
            <w:r w:rsidRPr="00203461">
              <w:rPr>
                <w:b/>
                <w:sz w:val="16"/>
              </w:rPr>
              <w:t>622,7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8214A3" w:rsidRPr="00203461" w:rsidRDefault="000F45A4" w:rsidP="000F45A4">
            <w:pPr>
              <w:pStyle w:val="Normaltindrag"/>
              <w:spacing w:before="60" w:line="200" w:lineRule="exact"/>
              <w:ind w:hanging="2608"/>
              <w:jc w:val="right"/>
              <w:rPr>
                <w:b/>
                <w:sz w:val="16"/>
              </w:rPr>
            </w:pPr>
            <w:r w:rsidRPr="00203461">
              <w:rPr>
                <w:b/>
                <w:sz w:val="16"/>
              </w:rPr>
              <w:t>–</w:t>
            </w:r>
            <w:r w:rsidR="00846CA3" w:rsidRPr="00203461">
              <w:rPr>
                <w:b/>
                <w:sz w:val="16"/>
              </w:rPr>
              <w:t>94</w:t>
            </w:r>
          </w:p>
        </w:tc>
      </w:tr>
    </w:tbl>
    <w:p w:rsidR="00116970" w:rsidRPr="00203461" w:rsidRDefault="00116970" w:rsidP="000F45A4">
      <w:pPr>
        <w:spacing w:before="0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45A4" w:rsidRPr="00203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45A4" w:rsidRPr="00203461" w:rsidRDefault="000F45A4" w:rsidP="000F45A4">
            <w:pPr>
              <w:pStyle w:val="UnderskriftDatum"/>
              <w:spacing w:before="240"/>
            </w:pPr>
            <w:r w:rsidRPr="00203461">
              <w:t>Stockholm den 5 oktober 2005</w:t>
            </w:r>
          </w:p>
        </w:tc>
        <w:tc>
          <w:tcPr>
            <w:tcW w:w="3047" w:type="dxa"/>
          </w:tcPr>
          <w:p w:rsidR="000F45A4" w:rsidRPr="00203461" w:rsidRDefault="000F45A4" w:rsidP="000F45A4">
            <w:pPr>
              <w:pStyle w:val="Underskrifter"/>
              <w:spacing w:before="240"/>
            </w:pPr>
          </w:p>
        </w:tc>
      </w:tr>
      <w:tr w:rsidR="000F45A4" w:rsidRPr="00203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Bo Könberg (fp)</w:t>
            </w:r>
          </w:p>
        </w:tc>
        <w:tc>
          <w:tcPr>
            <w:tcW w:w="3047" w:type="dxa"/>
          </w:tcPr>
          <w:p w:rsidR="000F45A4" w:rsidRPr="00203461" w:rsidRDefault="000F45A4" w:rsidP="000F45A4">
            <w:pPr>
              <w:pStyle w:val="Underskrifter"/>
            </w:pPr>
          </w:p>
        </w:tc>
      </w:tr>
      <w:tr w:rsidR="000F45A4" w:rsidRPr="00203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Linnéa Darell (fp)</w:t>
            </w:r>
          </w:p>
        </w:tc>
        <w:tc>
          <w:tcPr>
            <w:tcW w:w="3047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Solveig Hellquist (fp)</w:t>
            </w:r>
          </w:p>
        </w:tc>
      </w:tr>
      <w:tr w:rsidR="000F45A4" w:rsidRPr="00203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Anne-Marie Ekström (fp)</w:t>
            </w:r>
          </w:p>
        </w:tc>
        <w:tc>
          <w:tcPr>
            <w:tcW w:w="3047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Nyamko Sabuni (fp)</w:t>
            </w:r>
          </w:p>
        </w:tc>
      </w:tr>
      <w:tr w:rsidR="000F45A4" w:rsidRPr="00203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45A4" w:rsidRPr="00203461" w:rsidRDefault="000F45A4" w:rsidP="000F45A4">
            <w:pPr>
              <w:pStyle w:val="Underskrifter"/>
            </w:pPr>
            <w:r w:rsidRPr="00203461">
              <w:t>Mauricio Rojas (fp)</w:t>
            </w:r>
          </w:p>
        </w:tc>
        <w:tc>
          <w:tcPr>
            <w:tcW w:w="3047" w:type="dxa"/>
          </w:tcPr>
          <w:p w:rsidR="000F45A4" w:rsidRPr="00203461" w:rsidRDefault="000F45A4" w:rsidP="000F45A4">
            <w:pPr>
              <w:pStyle w:val="Underskrifter"/>
            </w:pPr>
          </w:p>
        </w:tc>
      </w:tr>
    </w:tbl>
    <w:p w:rsidR="004F49A2" w:rsidRPr="00203461" w:rsidRDefault="004F49A2" w:rsidP="000F45A4">
      <w:pPr>
        <w:pStyle w:val="Normaltindrag"/>
      </w:pPr>
    </w:p>
    <w:sectPr w:rsidR="004F49A2" w:rsidRPr="00203461" w:rsidSect="000F4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A77" w:rsidRPr="00203461" w:rsidRDefault="006D5A77">
      <w:r w:rsidRPr="00203461">
        <w:separator/>
      </w:r>
    </w:p>
  </w:endnote>
  <w:endnote w:type="continuationSeparator" w:id="0">
    <w:p w:rsidR="006D5A77" w:rsidRPr="00203461" w:rsidRDefault="006D5A77">
      <w:r w:rsidRPr="00203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016" w:rsidRPr="00203461" w:rsidRDefault="00203461" w:rsidP="000F45A4">
    <w:pPr>
      <w:pStyle w:val="Sidfot"/>
    </w:pPr>
    <w:r w:rsidRPr="002034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466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5A4" w:rsidRDefault="000F45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38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45A4" w:rsidRDefault="000F45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38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CA3" w:rsidRPr="00203461" w:rsidRDefault="00203461" w:rsidP="000F45A4">
    <w:pPr>
      <w:pStyle w:val="Sidfot"/>
    </w:pPr>
    <w:r w:rsidRPr="002034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48528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5A4" w:rsidRDefault="000F4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A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5A4" w:rsidRDefault="000F4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A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CA3" w:rsidRPr="00203461" w:rsidRDefault="00203461" w:rsidP="000F45A4">
    <w:pPr>
      <w:pStyle w:val="Sidfot"/>
    </w:pPr>
    <w:r w:rsidRPr="002034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349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5A4" w:rsidRDefault="000F4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38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5A4" w:rsidRDefault="000F4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38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A77" w:rsidRPr="00203461" w:rsidRDefault="006D5A77">
      <w:r w:rsidRPr="00203461">
        <w:separator/>
      </w:r>
    </w:p>
  </w:footnote>
  <w:footnote w:type="continuationSeparator" w:id="0">
    <w:p w:rsidR="006D5A77" w:rsidRPr="00203461" w:rsidRDefault="006D5A77">
      <w:r w:rsidRPr="00203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016" w:rsidRPr="00203461" w:rsidRDefault="00203461" w:rsidP="000F45A4">
    <w:pPr>
      <w:pStyle w:val="Sidhuvud"/>
    </w:pPr>
    <w:r w:rsidRPr="002034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855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5A4" w:rsidRDefault="000F45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A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A21">
                            <w:t>Sf370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45A4" w:rsidRDefault="000F45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A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A21">
                      <w:t>Sf370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CA3" w:rsidRPr="00203461" w:rsidRDefault="00203461" w:rsidP="000F45A4">
    <w:pPr>
      <w:pStyle w:val="Sidhuvud"/>
    </w:pPr>
    <w:r w:rsidRPr="002034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632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5A4" w:rsidRDefault="000F45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A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A21">
                            <w:t>Sf370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45A4" w:rsidRDefault="000F45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A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A21">
                      <w:t>Sf370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5A4" w:rsidRPr="00203461" w:rsidRDefault="000F45A4">
    <w:pPr>
      <w:pStyle w:val="FSHNormal"/>
      <w:tabs>
        <w:tab w:val="right" w:pos="5840"/>
      </w:tabs>
    </w:pPr>
    <w:r w:rsidRPr="00203461">
      <w:br/>
    </w:r>
    <w:r w:rsidRPr="00203461">
      <w:fldChar w:fldCharType="begin" w:fldLock="1"/>
    </w:r>
    <w:r w:rsidRPr="00203461">
      <w:instrText xml:space="preserve"> DOCPROPERTY</w:instrText>
    </w:r>
    <w:r w:rsidRPr="00203461">
      <w:rPr>
        <w:sz w:val="18"/>
      </w:rPr>
      <w:instrText xml:space="preserve"> "YearUser" *\charformat </w:instrText>
    </w:r>
    <w:r w:rsidRPr="00203461">
      <w:fldChar w:fldCharType="separate"/>
    </w:r>
    <w:r w:rsidR="00250A21" w:rsidRPr="00203461">
      <w:t>2005/06</w:t>
    </w:r>
    <w:r w:rsidRPr="00203461">
      <w:fldChar w:fldCharType="end"/>
    </w:r>
    <w:r w:rsidRPr="00203461">
      <w:t xml:space="preserve"> </w:t>
    </w:r>
    <w:r w:rsidRPr="00203461">
      <w:tab/>
      <w:t xml:space="preserve">mnr: </w:t>
    </w:r>
    <w:r w:rsidRPr="00203461">
      <w:fldChar w:fldCharType="begin" w:fldLock="1"/>
    </w:r>
    <w:r w:rsidRPr="00203461">
      <w:instrText xml:space="preserve"> DOCPROPERTY</w:instrText>
    </w:r>
    <w:r w:rsidRPr="00203461">
      <w:rPr>
        <w:sz w:val="18"/>
      </w:rPr>
      <w:instrText xml:space="preserve"> "Motionsnummer" *\charformat </w:instrText>
    </w:r>
    <w:r w:rsidRPr="00203461">
      <w:fldChar w:fldCharType="separate"/>
    </w:r>
    <w:r w:rsidR="00250A21" w:rsidRPr="00203461">
      <w:t>Sf370</w:t>
    </w:r>
    <w:r w:rsidRPr="00203461">
      <w:fldChar w:fldCharType="end"/>
    </w:r>
    <w:r w:rsidRPr="00203461">
      <w:br/>
    </w:r>
    <w:r w:rsidRPr="00203461">
      <w:fldChar w:fldCharType="begin" w:fldLock="1"/>
    </w:r>
    <w:r w:rsidRPr="00203461">
      <w:instrText xml:space="preserve"> DOCPROPERTY</w:instrText>
    </w:r>
    <w:r w:rsidRPr="00203461">
      <w:rPr>
        <w:sz w:val="18"/>
      </w:rPr>
      <w:instrText xml:space="preserve"> "Samling" *\charformat </w:instrText>
    </w:r>
    <w:r w:rsidRPr="00203461">
      <w:fldChar w:fldCharType="end"/>
    </w:r>
    <w:r w:rsidRPr="00203461">
      <w:tab/>
      <w:t xml:space="preserve">pnr: </w:t>
    </w:r>
    <w:r w:rsidRPr="00203461">
      <w:fldChar w:fldCharType="begin" w:fldLock="1"/>
    </w:r>
    <w:r w:rsidRPr="00203461">
      <w:instrText xml:space="preserve"> DOCPROPERTY</w:instrText>
    </w:r>
    <w:r w:rsidRPr="00203461">
      <w:rPr>
        <w:sz w:val="18"/>
      </w:rPr>
      <w:instrText xml:space="preserve"> "Partinummer" *\charformat </w:instrText>
    </w:r>
    <w:r w:rsidRPr="00203461">
      <w:fldChar w:fldCharType="separate"/>
    </w:r>
    <w:r w:rsidR="00250A21" w:rsidRPr="00203461">
      <w:t>fp192</w:t>
    </w:r>
    <w:r w:rsidRPr="00203461">
      <w:fldChar w:fldCharType="end"/>
    </w:r>
  </w:p>
  <w:p w:rsidR="000F45A4" w:rsidRPr="00203461" w:rsidRDefault="000F45A4">
    <w:pPr>
      <w:pStyle w:val="FSHRub1"/>
    </w:pPr>
    <w:r w:rsidRPr="00203461">
      <w:t>Motion till riksdagen</w:t>
    </w:r>
    <w:r w:rsidRPr="00203461">
      <w:br/>
    </w:r>
    <w:r w:rsidRPr="00203461">
      <w:fldChar w:fldCharType="begin" w:fldLock="1"/>
    </w:r>
    <w:r w:rsidRPr="00203461">
      <w:instrText xml:space="preserve"> DOCPROPERTY "YearUser" *\charformat </w:instrText>
    </w:r>
    <w:r w:rsidRPr="00203461">
      <w:fldChar w:fldCharType="separate"/>
    </w:r>
    <w:r w:rsidR="00250A21" w:rsidRPr="00203461">
      <w:t>2005/06</w:t>
    </w:r>
    <w:r w:rsidRPr="00203461">
      <w:fldChar w:fldCharType="end"/>
    </w:r>
    <w:r w:rsidRPr="00203461">
      <w:t>:</w:t>
    </w:r>
    <w:r w:rsidRPr="00203461">
      <w:fldChar w:fldCharType="begin" w:fldLock="1"/>
    </w:r>
    <w:r w:rsidRPr="00203461">
      <w:instrText xml:space="preserve"> DOCPROPERTY "Motionsnummer" *\charformat </w:instrText>
    </w:r>
    <w:r w:rsidRPr="00203461">
      <w:fldChar w:fldCharType="separate"/>
    </w:r>
    <w:r w:rsidR="00250A21" w:rsidRPr="00203461">
      <w:t>Sf370</w:t>
    </w:r>
    <w:r w:rsidRPr="00203461">
      <w:fldChar w:fldCharType="end"/>
    </w:r>
  </w:p>
  <w:p w:rsidR="000F45A4" w:rsidRPr="00203461" w:rsidRDefault="000F45A4">
    <w:pPr>
      <w:pStyle w:val="FSHNormalS5"/>
    </w:pPr>
    <w:r w:rsidRPr="00203461">
      <w:fldChar w:fldCharType="begin" w:fldLock="1"/>
    </w:r>
    <w:r w:rsidRPr="00203461">
      <w:instrText xml:space="preserve"> DOCPROPERTY "MotionarText" *\charformat </w:instrText>
    </w:r>
    <w:r w:rsidRPr="00203461">
      <w:fldChar w:fldCharType="separate"/>
    </w:r>
    <w:r w:rsidR="00250A21" w:rsidRPr="00203461">
      <w:t>av Bo Könberg m.fl. (fp)</w:t>
    </w:r>
    <w:r w:rsidRPr="00203461">
      <w:fldChar w:fldCharType="end"/>
    </w:r>
    <w:r w:rsidRPr="00203461">
      <w:br/>
    </w:r>
    <w:r w:rsidRPr="00203461">
      <w:fldChar w:fldCharType="begin" w:fldLock="1"/>
    </w:r>
    <w:r w:rsidRPr="00203461">
      <w:instrText xml:space="preserve"> DOCPROPERTY "SvarFrasKort" *\charformat </w:instrText>
    </w:r>
    <w:r w:rsidRPr="00203461">
      <w:fldChar w:fldCharType="end"/>
    </w:r>
  </w:p>
  <w:p w:rsidR="000F45A4" w:rsidRPr="00203461" w:rsidRDefault="000F45A4">
    <w:pPr>
      <w:pStyle w:val="FSHTitel"/>
    </w:pPr>
    <w:r w:rsidRPr="00203461">
      <w:fldChar w:fldCharType="begin" w:fldLock="1"/>
    </w:r>
    <w:r w:rsidRPr="00203461">
      <w:instrText xml:space="preserve"> DOCPROPERTY</w:instrText>
    </w:r>
    <w:r w:rsidRPr="00203461">
      <w:rPr>
        <w:sz w:val="18"/>
      </w:rPr>
      <w:instrText xml:space="preserve"> "RubrikSvar" *\charformat </w:instrText>
    </w:r>
    <w:r w:rsidRPr="00203461">
      <w:fldChar w:fldCharType="separate"/>
    </w:r>
    <w:r w:rsidR="00250A21" w:rsidRPr="00203461">
      <w:t>Utgiftsområde 8 Invandrare och flyktingar</w:t>
    </w:r>
    <w:r w:rsidRPr="00203461">
      <w:fldChar w:fldCharType="end"/>
    </w:r>
  </w:p>
  <w:p w:rsidR="000F45A4" w:rsidRPr="00203461" w:rsidRDefault="000F45A4" w:rsidP="000F45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22B05"/>
    <w:multiLevelType w:val="hybridMultilevel"/>
    <w:tmpl w:val="1CE49ABC"/>
    <w:lvl w:ilvl="0" w:tplc="C92E866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385817">
    <w:abstractNumId w:val="13"/>
  </w:num>
  <w:num w:numId="2" w16cid:durableId="1825125165">
    <w:abstractNumId w:val="10"/>
  </w:num>
  <w:num w:numId="3" w16cid:durableId="346760748">
    <w:abstractNumId w:val="11"/>
  </w:num>
  <w:num w:numId="4" w16cid:durableId="220019273">
    <w:abstractNumId w:val="12"/>
  </w:num>
  <w:num w:numId="5" w16cid:durableId="1119646028">
    <w:abstractNumId w:val="8"/>
  </w:num>
  <w:num w:numId="6" w16cid:durableId="1377195650">
    <w:abstractNumId w:val="3"/>
  </w:num>
  <w:num w:numId="7" w16cid:durableId="43869681">
    <w:abstractNumId w:val="2"/>
  </w:num>
  <w:num w:numId="8" w16cid:durableId="774793525">
    <w:abstractNumId w:val="1"/>
  </w:num>
  <w:num w:numId="9" w16cid:durableId="1431663307">
    <w:abstractNumId w:val="0"/>
  </w:num>
  <w:num w:numId="10" w16cid:durableId="487987542">
    <w:abstractNumId w:val="9"/>
  </w:num>
  <w:num w:numId="11" w16cid:durableId="1076828615">
    <w:abstractNumId w:val="7"/>
  </w:num>
  <w:num w:numId="12" w16cid:durableId="699401882">
    <w:abstractNumId w:val="6"/>
  </w:num>
  <w:num w:numId="13" w16cid:durableId="1737629104">
    <w:abstractNumId w:val="5"/>
  </w:num>
  <w:num w:numId="14" w16cid:durableId="235628366">
    <w:abstractNumId w:val="4"/>
  </w:num>
  <w:num w:numId="15" w16cid:durableId="1745445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2621AA"/>
    <w:rsid w:val="0004381F"/>
    <w:rsid w:val="00064BC3"/>
    <w:rsid w:val="00066775"/>
    <w:rsid w:val="00072FB9"/>
    <w:rsid w:val="000F45A4"/>
    <w:rsid w:val="00100531"/>
    <w:rsid w:val="00116016"/>
    <w:rsid w:val="00116970"/>
    <w:rsid w:val="00201DFB"/>
    <w:rsid w:val="00203461"/>
    <w:rsid w:val="00204A63"/>
    <w:rsid w:val="00212FF1"/>
    <w:rsid w:val="00230193"/>
    <w:rsid w:val="0025068A"/>
    <w:rsid w:val="00250A21"/>
    <w:rsid w:val="002621AA"/>
    <w:rsid w:val="002818D3"/>
    <w:rsid w:val="002D11A8"/>
    <w:rsid w:val="00445271"/>
    <w:rsid w:val="00463288"/>
    <w:rsid w:val="004A0504"/>
    <w:rsid w:val="004E38D9"/>
    <w:rsid w:val="004F49A2"/>
    <w:rsid w:val="005B145B"/>
    <w:rsid w:val="006D5A77"/>
    <w:rsid w:val="00740D6D"/>
    <w:rsid w:val="00794149"/>
    <w:rsid w:val="007B67A7"/>
    <w:rsid w:val="007C6092"/>
    <w:rsid w:val="008214A3"/>
    <w:rsid w:val="00846CA3"/>
    <w:rsid w:val="00A053C6"/>
    <w:rsid w:val="00AE7BBF"/>
    <w:rsid w:val="00AF5585"/>
    <w:rsid w:val="00B13BF0"/>
    <w:rsid w:val="00BF5FE9"/>
    <w:rsid w:val="00C1285C"/>
    <w:rsid w:val="00C27B7D"/>
    <w:rsid w:val="00CF7A43"/>
    <w:rsid w:val="00D1174F"/>
    <w:rsid w:val="00DC49DA"/>
    <w:rsid w:val="00DC6C70"/>
    <w:rsid w:val="00E22893"/>
    <w:rsid w:val="00E360DE"/>
    <w:rsid w:val="00E75D28"/>
    <w:rsid w:val="00E84F25"/>
    <w:rsid w:val="00E916DE"/>
    <w:rsid w:val="00EE3E7C"/>
    <w:rsid w:val="00F238CA"/>
    <w:rsid w:val="00F70C6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776AEF-E70B-49EA-B1BA-58E5514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45A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16D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278</Words>
  <Characters>1909</Characters>
  <Application>Microsoft Office Word</Application>
  <DocSecurity>4</DocSecurity>
  <Lines>86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Sf370</vt:lpstr>
    </vt:vector>
  </TitlesOfParts>
  <Company>Riksdagen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Sf370</dc:title>
  <dc:subject>Sf370</dc:subject>
  <dc:creator>Riksdagen</dc:creator>
  <cp:keywords>Riksdagen</cp:keywords>
  <dc:description/>
  <cp:lastModifiedBy>Lars Brink</cp:lastModifiedBy>
  <cp:revision>2</cp:revision>
  <cp:lastPrinted>2006-01-12T13:26:00Z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8 Invandrare och flyktingar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8 Invandrare och flyktingar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Bo Könberg m.fl. (fp)</vt:lpwstr>
  </property>
  <property fmtid="{D5CDD505-2E9C-101B-9397-08002B2CF9AE}" pid="26" name="MotionarLista">
    <vt:lpwstr>Könberg, Bo (fp)\Darell, Linnéa (fp)\Hellquist, Solveig (fp)\Ekström, Anne-Marie (fp)\Sabuni, Nyamko (fp)\Rojas, Mauricio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Könberg (fp), Linnéa Darell (fp), Solveig Hellquist (fp), Anne-Marie Ekström (fp), Nyamko Sabuni (fp), Mauricio Rojas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20052006000001020112000001920075</vt:lpwstr>
  </property>
  <property fmtid="{D5CDD505-2E9C-101B-9397-08002B2CF9AE}" pid="47" name="datum">
    <vt:lpwstr>051005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20052006000001020112000001920075</vt:lpwstr>
  </property>
  <property fmtid="{D5CDD505-2E9C-101B-9397-08002B2CF9AE}" pid="50" name="nummer">
    <vt:lpwstr>370</vt:lpwstr>
  </property>
  <property fmtid="{D5CDD505-2E9C-101B-9397-08002B2CF9AE}" pid="51" name="utskottsbeteckning">
    <vt:lpwstr>Sf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