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9C0" w:rsidRPr="00ED74A5" w:rsidRDefault="007949C0" w:rsidP="00072B9B">
      <w:pPr>
        <w:framePr w:w="3119" w:h="1406" w:hRule="exact" w:wrap="around" w:vAnchor="page" w:hAnchor="page" w:x="1441" w:y="781"/>
        <w:tabs>
          <w:tab w:val="left" w:pos="142"/>
        </w:tabs>
        <w:spacing w:after="120"/>
      </w:pPr>
      <w:bookmarkStart w:id="0" w:name="RapportLogga"/>
      <w:r w:rsidRPr="00ED74A5">
        <w:t xml:space="preserve">  </w:t>
      </w:r>
      <w:bookmarkStart w:id="1" w:name="logga"/>
      <w:bookmarkStart w:id="2" w:name="webtabort"/>
      <w:r w:rsidRPr="000753A9">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style="width:149.4pt;height:65.4pt;visibility:visible">
            <v:imagedata r:id="rId7" o:title=""/>
          </v:shape>
        </w:pict>
      </w:r>
      <w:bookmarkEnd w:id="1"/>
    </w:p>
    <w:p w:rsidR="007949C0" w:rsidRPr="00ED74A5" w:rsidRDefault="007949C0" w:rsidP="00072B9B">
      <w:pPr>
        <w:framePr w:w="3119" w:h="1406" w:hRule="exact" w:wrap="around" w:vAnchor="page" w:hAnchor="page" w:x="1441" w:y="781"/>
        <w:tabs>
          <w:tab w:val="left" w:pos="142"/>
        </w:tabs>
        <w:spacing w:after="120"/>
      </w:pPr>
    </w:p>
    <w:p w:rsidR="007949C0" w:rsidRPr="00ED74A5" w:rsidRDefault="007949C0" w:rsidP="00072B9B">
      <w:pPr>
        <w:framePr w:w="3119" w:h="1406" w:hRule="exact" w:wrap="around" w:vAnchor="page" w:hAnchor="page" w:x="1441" w:y="781"/>
        <w:tabs>
          <w:tab w:val="left" w:pos="142"/>
        </w:tabs>
        <w:spacing w:after="120"/>
      </w:pPr>
      <w:r w:rsidRPr="000753A9">
        <w:rPr>
          <w:noProof/>
          <w:lang w:eastAsia="sv-SE"/>
        </w:rPr>
        <w:pict>
          <v:shape id="Bild 2" o:spid="_x0000_i1026" type="#_x0000_t75" alt="sreu_600" style="width:154.8pt;height:67.8pt;visibility:visible">
            <v:imagedata r:id="rId8" o:title=""/>
          </v:shape>
        </w:pict>
      </w:r>
      <w:bookmarkEnd w:id="0"/>
    </w:p>
    <w:tbl>
      <w:tblPr>
        <w:tblW w:w="0" w:type="auto"/>
        <w:tblInd w:w="8" w:type="dxa"/>
        <w:tblLayout w:type="fixed"/>
        <w:tblCellMar>
          <w:left w:w="0" w:type="dxa"/>
          <w:right w:w="0" w:type="dxa"/>
        </w:tblCellMar>
        <w:tblLook w:val="0000"/>
      </w:tblPr>
      <w:tblGrid>
        <w:gridCol w:w="3380"/>
        <w:gridCol w:w="1893"/>
      </w:tblGrid>
      <w:tr w:rsidR="007949C0" w:rsidRPr="00ED74A5">
        <w:tc>
          <w:tcPr>
            <w:tcW w:w="3380" w:type="dxa"/>
          </w:tcPr>
          <w:p w:rsidR="007949C0" w:rsidRPr="00ED74A5" w:rsidRDefault="007949C0" w:rsidP="00072B9B">
            <w:pPr>
              <w:pStyle w:val="Brdtexthuvud"/>
              <w:framePr w:hSpace="0" w:wrap="around" w:x="6601" w:y="852"/>
              <w:spacing w:after="120"/>
            </w:pPr>
            <w:bookmarkStart w:id="3" w:name="UDkoncept"/>
            <w:bookmarkEnd w:id="3"/>
          </w:p>
        </w:tc>
        <w:tc>
          <w:tcPr>
            <w:tcW w:w="1893" w:type="dxa"/>
          </w:tcPr>
          <w:p w:rsidR="007949C0" w:rsidRPr="00ED74A5" w:rsidRDefault="007949C0" w:rsidP="00072B9B">
            <w:pPr>
              <w:pStyle w:val="Brdtexthuvud"/>
              <w:framePr w:hSpace="0" w:wrap="around" w:x="6601" w:y="852"/>
              <w:spacing w:after="120"/>
            </w:pPr>
            <w:bookmarkStart w:id="4" w:name="UDsidan"/>
            <w:bookmarkEnd w:id="4"/>
          </w:p>
        </w:tc>
      </w:tr>
      <w:tr w:rsidR="007949C0" w:rsidRPr="00ED74A5">
        <w:tc>
          <w:tcPr>
            <w:tcW w:w="3380" w:type="dxa"/>
          </w:tcPr>
          <w:p w:rsidR="007949C0" w:rsidRPr="00ED74A5" w:rsidRDefault="007949C0" w:rsidP="00072B9B">
            <w:pPr>
              <w:pStyle w:val="Brdtexthuvud"/>
              <w:framePr w:hSpace="0" w:wrap="around" w:x="6601" w:y="852"/>
              <w:spacing w:after="120"/>
              <w:rPr>
                <w:b/>
                <w:sz w:val="22"/>
              </w:rPr>
            </w:pPr>
            <w:bookmarkStart w:id="5" w:name="UDdokname"/>
            <w:bookmarkStart w:id="6" w:name="RapportExpsatt"/>
            <w:bookmarkEnd w:id="5"/>
            <w:bookmarkEnd w:id="6"/>
            <w:r w:rsidRPr="00ED74A5">
              <w:rPr>
                <w:b/>
                <w:sz w:val="22"/>
              </w:rPr>
              <w:t>E-post</w:t>
            </w:r>
          </w:p>
        </w:tc>
        <w:bookmarkStart w:id="7" w:name="UDnr"/>
        <w:bookmarkEnd w:id="7"/>
        <w:tc>
          <w:tcPr>
            <w:tcW w:w="1893" w:type="dxa"/>
          </w:tcPr>
          <w:p w:rsidR="007949C0" w:rsidRPr="00ED74A5" w:rsidRDefault="007949C0" w:rsidP="00072B9B">
            <w:pPr>
              <w:pStyle w:val="Brdtexthuvud"/>
              <w:framePr w:hSpace="0" w:wrap="around" w:x="6601" w:y="852"/>
              <w:spacing w:after="120"/>
              <w:rPr>
                <w:rFonts w:ascii="Garamond" w:hAnsi="Garamond"/>
              </w:rPr>
            </w:pPr>
            <w:r w:rsidRPr="00ED74A5">
              <w:rPr>
                <w:rFonts w:ascii="Garamond" w:hAnsi="Garamond"/>
              </w:rPr>
              <w:fldChar w:fldCharType="begin"/>
            </w:r>
            <w:r w:rsidRPr="00ED74A5">
              <w:rPr>
                <w:rFonts w:ascii="Garamond" w:hAnsi="Garamond"/>
              </w:rPr>
              <w:instrText xml:space="preserve"> PAGE  \* MERGEFORMAT </w:instrText>
            </w:r>
            <w:r w:rsidRPr="00ED74A5">
              <w:rPr>
                <w:rFonts w:ascii="Garamond" w:hAnsi="Garamond"/>
              </w:rPr>
              <w:fldChar w:fldCharType="separate"/>
            </w:r>
            <w:r>
              <w:rPr>
                <w:rFonts w:ascii="Garamond" w:hAnsi="Garamond"/>
                <w:noProof/>
              </w:rPr>
              <w:t>1</w:t>
            </w:r>
            <w:r w:rsidRPr="00ED74A5">
              <w:rPr>
                <w:rFonts w:ascii="Garamond" w:hAnsi="Garamond"/>
              </w:rPr>
              <w:fldChar w:fldCharType="end"/>
            </w:r>
            <w:r w:rsidRPr="00ED74A5">
              <w:rPr>
                <w:rFonts w:ascii="Garamond" w:hAnsi="Garamond"/>
              </w:rPr>
              <w:t xml:space="preserve"> (3 )</w:t>
            </w:r>
          </w:p>
        </w:tc>
      </w:tr>
      <w:tr w:rsidR="007949C0" w:rsidRPr="00ED74A5">
        <w:tc>
          <w:tcPr>
            <w:tcW w:w="3380" w:type="dxa"/>
          </w:tcPr>
          <w:p w:rsidR="007949C0" w:rsidRPr="00ED74A5" w:rsidRDefault="007949C0" w:rsidP="00072B9B">
            <w:pPr>
              <w:pStyle w:val="Brdtexthuvud"/>
              <w:framePr w:hSpace="0" w:wrap="around" w:x="6601" w:y="852"/>
              <w:spacing w:after="120"/>
            </w:pPr>
          </w:p>
        </w:tc>
        <w:tc>
          <w:tcPr>
            <w:tcW w:w="1893" w:type="dxa"/>
          </w:tcPr>
          <w:p w:rsidR="007949C0" w:rsidRPr="00ED74A5" w:rsidRDefault="007949C0" w:rsidP="00072B9B">
            <w:pPr>
              <w:pStyle w:val="Brdtexthuvud"/>
              <w:framePr w:hSpace="0" w:wrap="around" w:x="6601" w:y="852"/>
              <w:spacing w:after="120"/>
            </w:pPr>
          </w:p>
        </w:tc>
      </w:tr>
      <w:tr w:rsidR="007949C0" w:rsidRPr="00ED74A5">
        <w:tc>
          <w:tcPr>
            <w:tcW w:w="3380" w:type="dxa"/>
          </w:tcPr>
          <w:p w:rsidR="007949C0" w:rsidRPr="00ED74A5" w:rsidRDefault="007949C0" w:rsidP="00072B9B">
            <w:pPr>
              <w:pStyle w:val="Brdtexthuvud"/>
              <w:framePr w:hSpace="0" w:wrap="around" w:x="6601" w:y="852"/>
              <w:spacing w:after="120"/>
              <w:rPr>
                <w:rFonts w:ascii="Garamond" w:hAnsi="Garamond"/>
              </w:rPr>
            </w:pPr>
            <w:bookmarkStart w:id="8" w:name="RapportDatumRef"/>
            <w:bookmarkEnd w:id="8"/>
            <w:r w:rsidRPr="00ED74A5">
              <w:rPr>
                <w:rFonts w:ascii="Garamond" w:hAnsi="Garamond"/>
              </w:rPr>
              <w:t>201</w:t>
            </w:r>
            <w:r>
              <w:rPr>
                <w:rFonts w:ascii="Garamond" w:hAnsi="Garamond"/>
              </w:rPr>
              <w:t>2-11-12</w:t>
            </w:r>
          </w:p>
        </w:tc>
        <w:tc>
          <w:tcPr>
            <w:tcW w:w="1893" w:type="dxa"/>
          </w:tcPr>
          <w:p w:rsidR="007949C0" w:rsidRPr="00ED74A5" w:rsidRDefault="007949C0" w:rsidP="00072B9B">
            <w:pPr>
              <w:pStyle w:val="Brdtexthuvud"/>
              <w:framePr w:hSpace="0" w:wrap="around" w:x="6601" w:y="852"/>
              <w:spacing w:after="120"/>
              <w:rPr>
                <w:rFonts w:ascii="Garamond" w:hAnsi="Garamond"/>
              </w:rPr>
            </w:pPr>
            <w:bookmarkStart w:id="9" w:name="UDdnr"/>
            <w:bookmarkEnd w:id="9"/>
          </w:p>
          <w:p w:rsidR="007949C0" w:rsidRPr="00ED74A5" w:rsidRDefault="007949C0" w:rsidP="00072B9B">
            <w:pPr>
              <w:pStyle w:val="Brdtexthuvud"/>
              <w:framePr w:hSpace="0" w:wrap="around" w:x="6601" w:y="852"/>
              <w:spacing w:after="120"/>
            </w:pPr>
            <w:bookmarkStart w:id="10" w:name="UDskrivnr"/>
            <w:bookmarkEnd w:id="10"/>
          </w:p>
          <w:p w:rsidR="007949C0" w:rsidRPr="00ED74A5" w:rsidRDefault="007949C0" w:rsidP="00072B9B">
            <w:pPr>
              <w:pStyle w:val="Brdtexthuvud"/>
              <w:framePr w:hSpace="0" w:wrap="around" w:x="6601" w:y="852"/>
              <w:spacing w:after="120"/>
            </w:pPr>
          </w:p>
        </w:tc>
      </w:tr>
    </w:tbl>
    <w:p w:rsidR="007949C0" w:rsidRPr="00194B96" w:rsidRDefault="007949C0" w:rsidP="00194B96">
      <w:pPr>
        <w:rPr>
          <w:vanish/>
        </w:rPr>
      </w:pPr>
      <w:bookmarkStart w:id="11" w:name="UDdepartement"/>
      <w:bookmarkEnd w:id="11"/>
    </w:p>
    <w:tbl>
      <w:tblPr>
        <w:tblW w:w="0" w:type="auto"/>
        <w:tblInd w:w="8" w:type="dxa"/>
        <w:tblLayout w:type="fixed"/>
        <w:tblCellMar>
          <w:left w:w="0" w:type="dxa"/>
          <w:right w:w="0" w:type="dxa"/>
        </w:tblCellMar>
        <w:tblLook w:val="0000"/>
      </w:tblPr>
      <w:tblGrid>
        <w:gridCol w:w="5157"/>
        <w:gridCol w:w="4908"/>
      </w:tblGrid>
      <w:tr w:rsidR="007949C0" w:rsidRPr="00ED74A5">
        <w:tc>
          <w:tcPr>
            <w:tcW w:w="5157" w:type="dxa"/>
          </w:tcPr>
          <w:p w:rsidR="007949C0" w:rsidRPr="00ED74A5" w:rsidRDefault="007949C0" w:rsidP="001600A6">
            <w:pPr>
              <w:pStyle w:val="Namnenhet"/>
              <w:framePr w:wrap="notBeside" w:vAnchor="page" w:x="1441" w:y="2496"/>
              <w:spacing w:line="240" w:lineRule="auto"/>
              <w:rPr>
                <w:rFonts w:cs="Arial"/>
                <w:szCs w:val="18"/>
              </w:rPr>
            </w:pPr>
          </w:p>
          <w:p w:rsidR="007949C0" w:rsidRPr="00ED74A5" w:rsidRDefault="007949C0" w:rsidP="001600A6">
            <w:pPr>
              <w:pStyle w:val="Namnenhet"/>
              <w:framePr w:wrap="notBeside" w:vAnchor="page" w:x="1441" w:y="2496"/>
              <w:spacing w:line="240" w:lineRule="auto"/>
              <w:rPr>
                <w:rFonts w:cs="Arial"/>
                <w:szCs w:val="18"/>
              </w:rPr>
            </w:pPr>
            <w:r>
              <w:rPr>
                <w:rFonts w:cs="Arial"/>
                <w:szCs w:val="18"/>
              </w:rPr>
              <w:t>Regionalråd</w:t>
            </w:r>
          </w:p>
          <w:p w:rsidR="007949C0" w:rsidRPr="00ED74A5" w:rsidRDefault="007949C0" w:rsidP="001600A6">
            <w:pPr>
              <w:pStyle w:val="Namnenhet"/>
              <w:framePr w:wrap="notBeside" w:vAnchor="page" w:x="1441" w:y="2496"/>
              <w:spacing w:line="240" w:lineRule="auto"/>
              <w:rPr>
                <w:rFonts w:cs="Arial"/>
                <w:szCs w:val="18"/>
              </w:rPr>
            </w:pPr>
            <w:bookmarkStart w:id="12" w:name="UDnamn"/>
            <w:bookmarkStart w:id="13" w:name="RapportNamn"/>
            <w:bookmarkEnd w:id="12"/>
            <w:bookmarkEnd w:id="13"/>
            <w:r>
              <w:rPr>
                <w:rFonts w:cs="Arial"/>
                <w:szCs w:val="18"/>
              </w:rPr>
              <w:t>Anders Lindholm</w:t>
            </w:r>
          </w:p>
          <w:p w:rsidR="007949C0" w:rsidRPr="00ED74A5" w:rsidRDefault="007949C0" w:rsidP="001600A6">
            <w:pPr>
              <w:pStyle w:val="Namnenhet"/>
              <w:framePr w:wrap="notBeside" w:vAnchor="page" w:x="1441" w:y="2496"/>
              <w:spacing w:line="240" w:lineRule="auto"/>
              <w:rPr>
                <w:rFonts w:cs="Arial"/>
                <w:szCs w:val="18"/>
              </w:rPr>
            </w:pPr>
            <w:bookmarkStart w:id="14" w:name="UDtelefon"/>
            <w:bookmarkStart w:id="15" w:name="RapportTel"/>
            <w:bookmarkEnd w:id="14"/>
            <w:bookmarkEnd w:id="15"/>
            <w:r>
              <w:rPr>
                <w:rFonts w:cs="Arial"/>
                <w:szCs w:val="18"/>
              </w:rPr>
              <w:t>+32-2-289 56 26</w:t>
            </w:r>
          </w:p>
          <w:p w:rsidR="007949C0" w:rsidRPr="00ED74A5" w:rsidRDefault="007949C0" w:rsidP="001600A6">
            <w:pPr>
              <w:pStyle w:val="Namnenhet"/>
              <w:framePr w:wrap="notBeside" w:vAnchor="page" w:x="1441" w:y="2496"/>
              <w:spacing w:line="240" w:lineRule="auto"/>
              <w:rPr>
                <w:rFonts w:cs="Arial"/>
                <w:szCs w:val="18"/>
              </w:rPr>
            </w:pPr>
            <w:bookmarkStart w:id="16" w:name="UDdelges"/>
            <w:bookmarkStart w:id="17" w:name="RapportInterndelgivning"/>
            <w:bookmarkEnd w:id="16"/>
            <w:bookmarkEnd w:id="17"/>
          </w:p>
          <w:p w:rsidR="007949C0" w:rsidRPr="00ED74A5" w:rsidRDefault="007949C0" w:rsidP="002675FA">
            <w:pPr>
              <w:pStyle w:val="Namnenhet"/>
              <w:framePr w:wrap="notBeside" w:vAnchor="page" w:x="1441" w:y="2496"/>
              <w:spacing w:line="240" w:lineRule="auto"/>
            </w:pPr>
          </w:p>
        </w:tc>
        <w:tc>
          <w:tcPr>
            <w:tcW w:w="4908" w:type="dxa"/>
          </w:tcPr>
          <w:p w:rsidR="007949C0" w:rsidRPr="00ED74A5" w:rsidRDefault="007949C0" w:rsidP="00072B9B">
            <w:pPr>
              <w:pStyle w:val="BodyText"/>
              <w:framePr w:h="2183" w:wrap="notBeside" w:vAnchor="page" w:hAnchor="page" w:x="1441" w:y="2496"/>
              <w:spacing w:after="120"/>
              <w:rPr>
                <w:rFonts w:ascii="Garamond" w:hAnsi="Garamond"/>
              </w:rPr>
            </w:pPr>
            <w:bookmarkStart w:id="18" w:name="UDmottagare"/>
            <w:bookmarkEnd w:id="18"/>
          </w:p>
          <w:p w:rsidR="007949C0" w:rsidRPr="00ED74A5" w:rsidRDefault="007949C0" w:rsidP="00072B9B">
            <w:pPr>
              <w:pStyle w:val="BodyText"/>
              <w:framePr w:h="2183" w:wrap="notBeside" w:vAnchor="page" w:hAnchor="page" w:x="1441" w:y="2496"/>
              <w:spacing w:after="120"/>
            </w:pPr>
            <w:r w:rsidRPr="00ED74A5">
              <w:t>Till: Näringsdepartementet</w:t>
            </w:r>
          </w:p>
          <w:p w:rsidR="007949C0" w:rsidRPr="00ED74A5" w:rsidRDefault="007949C0" w:rsidP="00072B9B">
            <w:pPr>
              <w:pStyle w:val="BodyText"/>
              <w:framePr w:h="2183" w:wrap="notBeside" w:vAnchor="page" w:hAnchor="page" w:x="1441" w:y="2496"/>
              <w:spacing w:after="120"/>
            </w:pPr>
          </w:p>
          <w:p w:rsidR="007949C0" w:rsidRPr="00ED74A5" w:rsidRDefault="007949C0" w:rsidP="00072B9B">
            <w:pPr>
              <w:pStyle w:val="BodyText"/>
              <w:framePr w:h="2183" w:wrap="notBeside" w:vAnchor="page" w:hAnchor="page" w:x="1441" w:y="2496"/>
              <w:spacing w:after="120"/>
            </w:pPr>
          </w:p>
        </w:tc>
      </w:tr>
    </w:tbl>
    <w:p w:rsidR="007949C0" w:rsidRPr="00ED74A5" w:rsidRDefault="007949C0" w:rsidP="00072B9B">
      <w:pPr>
        <w:pStyle w:val="BodyText"/>
        <w:spacing w:after="120" w:line="120" w:lineRule="exact"/>
        <w:ind w:firstLine="2127"/>
        <w:rPr>
          <w:rFonts w:ascii="Garamond" w:hAnsi="Garamond"/>
          <w:szCs w:val="24"/>
        </w:rPr>
      </w:pPr>
    </w:p>
    <w:p w:rsidR="007949C0" w:rsidRPr="00ED74A5" w:rsidRDefault="007949C0" w:rsidP="00D47196">
      <w:pPr>
        <w:pStyle w:val="BodyText"/>
        <w:spacing w:line="240" w:lineRule="auto"/>
        <w:rPr>
          <w:rFonts w:ascii="Arial" w:hAnsi="Arial" w:cs="Arial"/>
          <w:b/>
          <w:szCs w:val="24"/>
          <w:u w:val="single"/>
        </w:rPr>
      </w:pPr>
      <w:bookmarkStart w:id="19" w:name="UDfaxmottagare"/>
      <w:bookmarkStart w:id="20" w:name="RapportUDDnr"/>
      <w:bookmarkStart w:id="21" w:name="RapportDnr"/>
      <w:bookmarkStart w:id="22" w:name="RapportPrioritet"/>
      <w:bookmarkStart w:id="23" w:name="UDrubrik"/>
      <w:bookmarkStart w:id="24" w:name="UDtext"/>
      <w:bookmarkStart w:id="25" w:name="UDArendemening"/>
      <w:bookmarkStart w:id="26" w:name="RapportRubrik"/>
      <w:bookmarkEnd w:id="19"/>
      <w:bookmarkEnd w:id="20"/>
      <w:bookmarkEnd w:id="21"/>
      <w:bookmarkEnd w:id="22"/>
      <w:bookmarkEnd w:id="23"/>
      <w:bookmarkEnd w:id="24"/>
      <w:bookmarkEnd w:id="25"/>
      <w:bookmarkEnd w:id="26"/>
      <w:r w:rsidRPr="00ED74A5">
        <w:rPr>
          <w:rFonts w:ascii="Arial" w:hAnsi="Arial" w:cs="Arial"/>
          <w:b/>
          <w:szCs w:val="24"/>
          <w:u w:val="single"/>
        </w:rPr>
        <w:t>Rapport från info</w:t>
      </w:r>
      <w:r>
        <w:rPr>
          <w:rFonts w:ascii="Arial" w:hAnsi="Arial" w:cs="Arial"/>
          <w:b/>
          <w:szCs w:val="24"/>
          <w:u w:val="single"/>
        </w:rPr>
        <w:t xml:space="preserve">rmellt regionalministermöte i Nicosia </w:t>
      </w:r>
      <w:r w:rsidRPr="00ED74A5">
        <w:rPr>
          <w:rFonts w:ascii="Arial" w:hAnsi="Arial" w:cs="Arial"/>
          <w:b/>
          <w:szCs w:val="24"/>
          <w:u w:val="single"/>
        </w:rPr>
        <w:t xml:space="preserve">den </w:t>
      </w:r>
      <w:r>
        <w:rPr>
          <w:rFonts w:ascii="Arial" w:hAnsi="Arial" w:cs="Arial"/>
          <w:b/>
          <w:szCs w:val="24"/>
          <w:u w:val="single"/>
        </w:rPr>
        <w:t>6</w:t>
      </w:r>
      <w:r w:rsidRPr="00ED74A5">
        <w:rPr>
          <w:rFonts w:ascii="Arial" w:hAnsi="Arial" w:cs="Arial"/>
          <w:b/>
          <w:szCs w:val="24"/>
          <w:u w:val="single"/>
        </w:rPr>
        <w:t xml:space="preserve"> </w:t>
      </w:r>
      <w:r>
        <w:rPr>
          <w:rFonts w:ascii="Arial" w:hAnsi="Arial" w:cs="Arial"/>
          <w:b/>
          <w:szCs w:val="24"/>
          <w:u w:val="single"/>
        </w:rPr>
        <w:t>november 2012</w:t>
      </w:r>
    </w:p>
    <w:p w:rsidR="007949C0" w:rsidRPr="00ED74A5" w:rsidRDefault="007949C0" w:rsidP="00D47196">
      <w:pPr>
        <w:pStyle w:val="BodyText"/>
        <w:spacing w:line="240" w:lineRule="auto"/>
        <w:rPr>
          <w:rFonts w:ascii="Arial" w:hAnsi="Arial" w:cs="Arial"/>
          <w:b/>
          <w:szCs w:val="24"/>
          <w:u w:val="single"/>
        </w:rPr>
      </w:pPr>
    </w:p>
    <w:p w:rsidR="007949C0" w:rsidRPr="00ED74A5" w:rsidRDefault="007949C0" w:rsidP="00367655">
      <w:pPr>
        <w:pStyle w:val="RKnormal"/>
      </w:pPr>
    </w:p>
    <w:p w:rsidR="007949C0" w:rsidRPr="00ED74A5" w:rsidRDefault="007949C0" w:rsidP="0006316E">
      <w:pPr>
        <w:pStyle w:val="EntRefer"/>
        <w:rPr>
          <w:lang w:val="sv-SE"/>
        </w:rPr>
      </w:pPr>
      <w:r w:rsidRPr="00ED74A5">
        <w:rPr>
          <w:lang w:val="sv-SE"/>
        </w:rPr>
        <w:t>1.</w:t>
      </w:r>
      <w:r w:rsidRPr="00ED74A5">
        <w:rPr>
          <w:lang w:val="sv-SE"/>
        </w:rPr>
        <w:tab/>
      </w:r>
      <w:r>
        <w:rPr>
          <w:lang w:val="sv-SE"/>
        </w:rPr>
        <w:t xml:space="preserve">Debatt om hur man uppnår ökad effektivitet inom sammanhållningspolitiken </w:t>
      </w:r>
    </w:p>
    <w:p w:rsidR="007949C0" w:rsidRPr="00ED74A5" w:rsidRDefault="007949C0" w:rsidP="00367655">
      <w:pPr>
        <w:pStyle w:val="RKnormal"/>
        <w:rPr>
          <w:rFonts w:ascii="Garamond" w:hAnsi="Garamond"/>
        </w:rPr>
      </w:pPr>
    </w:p>
    <w:p w:rsidR="007949C0" w:rsidRDefault="007949C0" w:rsidP="00367655">
      <w:pPr>
        <w:pStyle w:val="RKnormal"/>
        <w:rPr>
          <w:rFonts w:ascii="Garamond" w:hAnsi="Garamond"/>
        </w:rPr>
      </w:pPr>
      <w:r>
        <w:rPr>
          <w:rFonts w:ascii="Garamond" w:hAnsi="Garamond"/>
        </w:rPr>
        <w:t xml:space="preserve">Det cypriotiska ordförandeskapet hade i förväg ställt tre frågor till ministrarna för att strukturera debatten. Frågorna avsåg 1. Om man anser att de nya element som introducerats inom sammanhållningspolitiken (SHP) är tillräckligt för att förbättra effektiviteten och öka kvalitén på utgifterna eller kan mer göras för att förbättra mervärdet av policyn, 2. Säkerställer det nya lagstiftningspaketet för SHP en effektivare koordinering mellan olika politikområden på EU- och nationell nivå. Vilka åtgärder krävs för att uppnå ökad koordinering i praktiken. 3. Hur ska ni som medlemsstat arbeta för att säkerställa kopplingen mellan förberedelserna för och implementeringen av SHP med den Europeiska semestern.  </w:t>
      </w:r>
    </w:p>
    <w:p w:rsidR="007949C0" w:rsidRDefault="007949C0" w:rsidP="00367655">
      <w:pPr>
        <w:pStyle w:val="RKnormal"/>
        <w:rPr>
          <w:rFonts w:ascii="Garamond" w:hAnsi="Garamond"/>
        </w:rPr>
      </w:pPr>
    </w:p>
    <w:p w:rsidR="007949C0" w:rsidRDefault="007949C0" w:rsidP="00367655">
      <w:pPr>
        <w:pStyle w:val="RKnormal"/>
        <w:rPr>
          <w:rFonts w:ascii="Garamond" w:hAnsi="Garamond"/>
        </w:rPr>
      </w:pPr>
      <w:r>
        <w:rPr>
          <w:rFonts w:ascii="Garamond" w:hAnsi="Garamond"/>
        </w:rPr>
        <w:t xml:space="preserve">Kommissionen betonade i sitt inlägg att sammanhållningspolitiken gått från att vara en kompensatorisk policy till att vara en investeringspolicy med tydliga och mätbara mål. Kommissionär Hahn menade i sitt inlägg att om detta skifte ska lyckas fullt ut krävdes en ökad koncentration av resurserna till prioriterade områden samt ett tydligare ramverk där ökad kvalitet på utgifterna (better spending) ska premieras. Europeiska Parlamentet uttalade att det var viktigt att skapa en plattform för formell politisk dialog kring SHP och därmed öka transparensen och legitimiteten. Ordföranden för det regionalpolitiska utskottet Hübner uttryckte även kritik mot den förhandlingsbox som presenterats gällande MFF förhandlingarna, de nedskärningar som presenteras där är de tredje i ordningen och sammantaget har man nu nått en kritisk nivå, man var även emot förslaget om makroekonomisk konditionalitet. Regionkommittén och Ekonomiska och Sociala Kommittén betonade i sina inlägg att de ville se en tydligare roll för den lokala och regionala nivån och det civila samhället i det förordningspaket som förhandlas för SHP.  </w:t>
      </w:r>
    </w:p>
    <w:p w:rsidR="007949C0" w:rsidRDefault="007949C0" w:rsidP="00367655">
      <w:pPr>
        <w:pStyle w:val="RKnormal"/>
        <w:rPr>
          <w:rFonts w:ascii="Garamond" w:hAnsi="Garamond"/>
        </w:rPr>
      </w:pPr>
    </w:p>
    <w:p w:rsidR="007949C0" w:rsidRDefault="007949C0" w:rsidP="00367655">
      <w:pPr>
        <w:pStyle w:val="RKnormal"/>
        <w:rPr>
          <w:rFonts w:ascii="Garamond" w:hAnsi="Garamond"/>
        </w:rPr>
      </w:pPr>
      <w:r>
        <w:rPr>
          <w:rFonts w:ascii="Garamond" w:hAnsi="Garamond"/>
        </w:rPr>
        <w:t xml:space="preserve">De flesta medlemstater, däribland Sverige, sade sig stödja de nya vägledande principer som etablerats för SHP, där kopplingen till EU2020, ökad tematisk koncentration av resurserna och tydliga och mätbara mål står i centrum. Många menade att politiken måste bli tydligare på att visa hur den bidrar till nödvändiga strukturförändringar och gör unionen mer konkurrenskraftig. En del MS betonade dock att en regional anpassning fortfarande var nödvändig då förutsättningarna varierade kraftigt mellan länder och regioner, strategiska vägval måste därför fortsatt ske nationellt eller regionalt. De flesta MS, Sverige inkluderat, betonade vikten av en ökad kvalitet på utgifterna och Italien presenterade ett nyligen framtaget icke papper om detta. En del MS som Tyskland, Nederländerna, Storbritannien och Danmark förde fram att med en minskad budget så ökade vikten av en att de medel som spenderas gör det på ett effektivt och korrekt sätt. Flera MS som Lettland, Bulgarien, Ungern uttalade sig kritiskt om det nya förhandlingsförslag som ordförandeskapet lagt fram om den framtida budgeten som de menade slog alldeles för hårt mot SHP. Ett flertal MS, däribland Sverige, förde fram att koordineringen mellan de olika fonderna måste öka och att ett mer integrerat arbetssätt måste tillämpas, man pekade särskilt på att kopplingen till Horizon 2020, Connecting Europe Facility och programmen för grannskapssamarbete, ENPI, IPA och EDF, måste stärkas. Gällande ordförandeskapets utskickade frågor så beskrev flera MS hur de avsåg att arbeta under den kommande finansiella perioden för att öka effektiviteten i genomförandet och säkerställa ett mer integrerad arbetssätt. Finland och Sverige förde även fram vikten av att beakta de särskilda förhållanden som råder i de norra glestbefolkade delarna av unionen. Avslutningsvis så uttalade sig fem organisationer som representerade den lokala och regionala nivån sig om förslagen till en ny programperiod inom SHP. De betonade vikten av regional anpassning och att lokala och regionala aktörer ska ha ett större inflytande över genomförandet.  </w:t>
      </w:r>
    </w:p>
    <w:p w:rsidR="007949C0" w:rsidRDefault="007949C0" w:rsidP="00367655">
      <w:pPr>
        <w:pStyle w:val="RKnormal"/>
        <w:rPr>
          <w:rFonts w:ascii="Garamond" w:hAnsi="Garamond"/>
        </w:rPr>
      </w:pPr>
    </w:p>
    <w:p w:rsidR="007949C0" w:rsidRPr="00ED74A5" w:rsidRDefault="007949C0" w:rsidP="00367655">
      <w:pPr>
        <w:pStyle w:val="RKnormal"/>
        <w:rPr>
          <w:rFonts w:ascii="Garamond" w:hAnsi="Garamond"/>
        </w:rPr>
      </w:pPr>
      <w:r w:rsidRPr="00ED74A5">
        <w:rPr>
          <w:rFonts w:ascii="Garamond" w:hAnsi="Garamond"/>
        </w:rPr>
        <w:t>Ordförandeskapet avslutade debatten med att tacka för alla muntliga och skriftliga bidrag och uppmanade medlemsstaterna att komma med ytterligare idéer</w:t>
      </w:r>
      <w:r>
        <w:rPr>
          <w:rFonts w:ascii="Garamond" w:hAnsi="Garamond"/>
        </w:rPr>
        <w:t>. De ansåg att det rådde konsensus kring de slutsatser som de formulerat inför mötet.</w:t>
      </w:r>
    </w:p>
    <w:p w:rsidR="007949C0" w:rsidRPr="00ED74A5" w:rsidRDefault="007949C0" w:rsidP="00367655">
      <w:pPr>
        <w:pStyle w:val="RKnormal"/>
        <w:rPr>
          <w:rFonts w:ascii="Garamond" w:hAnsi="Garamond"/>
        </w:rPr>
      </w:pPr>
    </w:p>
    <w:p w:rsidR="007949C0" w:rsidRPr="00ED74A5" w:rsidRDefault="007949C0" w:rsidP="00367655">
      <w:pPr>
        <w:pStyle w:val="RKnormal"/>
        <w:rPr>
          <w:rFonts w:ascii="Garamond" w:hAnsi="Garamond"/>
        </w:rPr>
      </w:pPr>
    </w:p>
    <w:p w:rsidR="007949C0" w:rsidRPr="00ED74A5" w:rsidRDefault="007949C0" w:rsidP="00FA63C1">
      <w:pPr>
        <w:pStyle w:val="EntRefer"/>
        <w:rPr>
          <w:lang w:val="sv-SE"/>
        </w:rPr>
      </w:pPr>
      <w:r w:rsidRPr="00ED74A5">
        <w:rPr>
          <w:lang w:val="sv-SE"/>
        </w:rPr>
        <w:t xml:space="preserve">2. </w:t>
      </w:r>
      <w:r>
        <w:rPr>
          <w:lang w:val="sv-SE"/>
        </w:rPr>
        <w:t>Diskussion om styrning av sammanhållningspolitiken på EU nivån</w:t>
      </w:r>
    </w:p>
    <w:p w:rsidR="007949C0" w:rsidRDefault="007949C0" w:rsidP="007D0CB4">
      <w:pPr>
        <w:autoSpaceDE w:val="0"/>
        <w:autoSpaceDN w:val="0"/>
        <w:adjustRightInd w:val="0"/>
        <w:rPr>
          <w:rFonts w:ascii="Comic Sans MS" w:hAnsi="Comic Sans MS" w:cs="Comic Sans MS"/>
          <w:color w:val="000000"/>
          <w:sz w:val="24"/>
          <w:szCs w:val="24"/>
          <w:lang w:eastAsia="sv-SE"/>
        </w:rPr>
      </w:pPr>
      <w:r w:rsidRPr="00ED74A5">
        <w:rPr>
          <w:rFonts w:ascii="Comic Sans MS" w:hAnsi="Comic Sans MS" w:cs="Comic Sans MS"/>
          <w:color w:val="000000"/>
          <w:sz w:val="24"/>
          <w:szCs w:val="24"/>
          <w:lang w:eastAsia="sv-SE"/>
        </w:rPr>
        <w:t xml:space="preserve"> </w:t>
      </w:r>
    </w:p>
    <w:p w:rsidR="007949C0" w:rsidRDefault="007949C0" w:rsidP="007D0CB4">
      <w:pPr>
        <w:autoSpaceDE w:val="0"/>
        <w:autoSpaceDN w:val="0"/>
        <w:adjustRightInd w:val="0"/>
        <w:rPr>
          <w:rFonts w:ascii="Garamond" w:hAnsi="Garamond" w:cs="Comic Sans MS"/>
          <w:color w:val="000000"/>
          <w:sz w:val="24"/>
          <w:szCs w:val="24"/>
          <w:lang w:eastAsia="sv-SE"/>
        </w:rPr>
      </w:pPr>
      <w:r w:rsidRPr="00ED74A5">
        <w:rPr>
          <w:rFonts w:ascii="Garamond" w:hAnsi="Garamond" w:cs="Comic Sans MS"/>
          <w:color w:val="000000"/>
          <w:sz w:val="24"/>
          <w:szCs w:val="24"/>
          <w:lang w:eastAsia="sv-SE"/>
        </w:rPr>
        <w:t xml:space="preserve">Ordförandeskapet hade </w:t>
      </w:r>
      <w:r>
        <w:rPr>
          <w:rFonts w:ascii="Garamond" w:hAnsi="Garamond" w:cs="Comic Sans MS"/>
          <w:color w:val="000000"/>
          <w:sz w:val="24"/>
          <w:szCs w:val="24"/>
          <w:lang w:eastAsia="sv-SE"/>
        </w:rPr>
        <w:t>skickat ut ett icke-papper där man diskuterade behovet av en ökad styrning av SHP på EU nivån. De påpekade det paradoxala i att SHP som omfattar ca 1/3 av unionens budget endast diskuteras på informella ministermöten och därmed är föremål för ordförandelandets goda vilja. Förslaget som ordförandeskapet förde fram var att man skulle koppla de politiska diskussionerna till den årliga rapporteringscykeln och utvärdera hur SHP bidrar till EU 2020s målsättningar och ifall politiken lever upp till målsättningarna om en ökad kvalitet på utgifterna. Man ville även se en förstärkt dialog kring hur koordineringen mellan de olika fonderna kan effektiviseras. Då man inte såg det som framkomligt att inrätta ett nytt formellt råd var förslaget att den politiska diskussionen skulle ske inom ramen för det allmänna rådet där åtminstone två möten per års skulle vikas åt SHP relaterade frågor.</w:t>
      </w:r>
    </w:p>
    <w:p w:rsidR="007949C0" w:rsidRDefault="007949C0" w:rsidP="007D0CB4">
      <w:pPr>
        <w:autoSpaceDE w:val="0"/>
        <w:autoSpaceDN w:val="0"/>
        <w:adjustRightInd w:val="0"/>
        <w:rPr>
          <w:rFonts w:ascii="Garamond" w:hAnsi="Garamond" w:cs="Comic Sans MS"/>
          <w:color w:val="000000"/>
          <w:sz w:val="24"/>
          <w:szCs w:val="24"/>
          <w:lang w:eastAsia="sv-SE"/>
        </w:rPr>
      </w:pPr>
    </w:p>
    <w:p w:rsidR="007949C0" w:rsidRDefault="007949C0" w:rsidP="007D0CB4">
      <w:pPr>
        <w:autoSpaceDE w:val="0"/>
        <w:autoSpaceDN w:val="0"/>
        <w:adjustRightInd w:val="0"/>
        <w:rPr>
          <w:rFonts w:ascii="Garamond" w:hAnsi="Garamond" w:cs="Comic Sans MS"/>
          <w:color w:val="000000"/>
          <w:sz w:val="24"/>
          <w:szCs w:val="24"/>
          <w:lang w:eastAsia="sv-SE"/>
        </w:rPr>
      </w:pPr>
      <w:r>
        <w:rPr>
          <w:rFonts w:ascii="Garamond" w:hAnsi="Garamond" w:cs="Comic Sans MS"/>
          <w:color w:val="000000"/>
          <w:sz w:val="24"/>
          <w:szCs w:val="24"/>
          <w:lang w:eastAsia="sv-SE"/>
        </w:rPr>
        <w:t xml:space="preserve"> Kommissionen uttalade att de stödde förslaget och ansåg att mötet under våren skulle tillägnas de årliga genomföranderapporterna medan höstmötet skulle ha en mer tematisk inriktning, finansiella instrument och demografiska utmaningar nämndes som två exempel på möjliga teman. MS, däribland Sverige</w:t>
      </w:r>
      <w:bookmarkStart w:id="27" w:name="_GoBack"/>
      <w:bookmarkEnd w:id="27"/>
      <w:r>
        <w:rPr>
          <w:rFonts w:ascii="Garamond" w:hAnsi="Garamond" w:cs="Comic Sans MS"/>
          <w:color w:val="000000"/>
          <w:sz w:val="24"/>
          <w:szCs w:val="24"/>
          <w:lang w:eastAsia="sv-SE"/>
        </w:rPr>
        <w:t xml:space="preserve">, stödde generellt idéerna dock utrycktes viss tveksamhet om frekvensen och om det verkligen fanns intresse hos ministrarna för två möten per år.  </w:t>
      </w:r>
    </w:p>
    <w:p w:rsidR="007949C0" w:rsidRDefault="007949C0" w:rsidP="007D0CB4">
      <w:pPr>
        <w:autoSpaceDE w:val="0"/>
        <w:autoSpaceDN w:val="0"/>
        <w:adjustRightInd w:val="0"/>
        <w:rPr>
          <w:rFonts w:ascii="Garamond" w:hAnsi="Garamond" w:cs="Comic Sans MS"/>
          <w:color w:val="000000"/>
          <w:sz w:val="24"/>
          <w:szCs w:val="24"/>
          <w:lang w:eastAsia="sv-SE"/>
        </w:rPr>
      </w:pPr>
    </w:p>
    <w:bookmarkEnd w:id="2"/>
    <w:p w:rsidR="007949C0" w:rsidRPr="00ED74A5" w:rsidRDefault="007949C0" w:rsidP="00A7410A">
      <w:pPr>
        <w:rPr>
          <w:rFonts w:ascii="Garamond" w:hAnsi="Garamond"/>
          <w:color w:val="000000"/>
          <w:sz w:val="24"/>
          <w:u w:val="single"/>
        </w:rPr>
      </w:pPr>
    </w:p>
    <w:sectPr w:rsidR="007949C0" w:rsidRPr="00ED74A5" w:rsidSect="002B122F">
      <w:headerReference w:type="default" r:id="rId9"/>
      <w:footerReference w:type="default" r:id="rId10"/>
      <w:footerReference w:type="first" r:id="rId11"/>
      <w:pgSz w:w="11907" w:h="16840" w:code="9"/>
      <w:pgMar w:top="2529" w:right="992" w:bottom="1418" w:left="2835" w:header="851" w:footer="11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9C0" w:rsidRDefault="007949C0">
      <w:r>
        <w:separator/>
      </w:r>
    </w:p>
  </w:endnote>
  <w:endnote w:type="continuationSeparator" w:id="0">
    <w:p w:rsidR="007949C0" w:rsidRDefault="007949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Bold">
    <w:panose1 w:val="00000000000000000000"/>
    <w:charset w:val="00"/>
    <w:family w:val="auto"/>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9C0" w:rsidRDefault="007949C0">
    <w:pPr>
      <w:pStyle w:val="Footer"/>
      <w:spacing w:line="160" w:lineRule="exact"/>
      <w:rPr>
        <w:rFonts w:ascii="TradeGothic" w:hAnsi="TradeGothic"/>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871"/>
      <w:gridCol w:w="1928"/>
      <w:gridCol w:w="3572"/>
    </w:tblGrid>
    <w:tr w:rsidR="007949C0">
      <w:tc>
        <w:tcPr>
          <w:tcW w:w="1871" w:type="dxa"/>
          <w:tcBorders>
            <w:top w:val="nil"/>
            <w:left w:val="nil"/>
            <w:bottom w:val="nil"/>
            <w:right w:val="nil"/>
          </w:tcBorders>
        </w:tcPr>
        <w:p w:rsidR="007949C0" w:rsidRDefault="007949C0">
          <w:pPr>
            <w:pStyle w:val="Footer"/>
            <w:rPr>
              <w:rFonts w:ascii="Arial" w:hAnsi="Arial"/>
              <w:sz w:val="12"/>
            </w:rPr>
          </w:pPr>
        </w:p>
      </w:tc>
      <w:tc>
        <w:tcPr>
          <w:tcW w:w="1928" w:type="dxa"/>
          <w:tcBorders>
            <w:top w:val="nil"/>
            <w:left w:val="nil"/>
            <w:bottom w:val="nil"/>
            <w:right w:val="nil"/>
          </w:tcBorders>
        </w:tcPr>
        <w:p w:rsidR="007949C0" w:rsidRDefault="007949C0">
          <w:pPr>
            <w:pStyle w:val="Footer"/>
            <w:rPr>
              <w:rFonts w:ascii="TradeGothic" w:hAnsi="TradeGothic"/>
              <w:sz w:val="12"/>
            </w:rPr>
          </w:pPr>
        </w:p>
      </w:tc>
      <w:tc>
        <w:tcPr>
          <w:tcW w:w="3572" w:type="dxa"/>
          <w:tcBorders>
            <w:top w:val="nil"/>
            <w:left w:val="nil"/>
            <w:bottom w:val="nil"/>
            <w:right w:val="nil"/>
          </w:tcBorders>
        </w:tcPr>
        <w:p w:rsidR="007949C0" w:rsidRDefault="007949C0">
          <w:pPr>
            <w:pStyle w:val="Footer"/>
            <w:rPr>
              <w:rFonts w:ascii="TradeGothic" w:hAnsi="TradeGothic"/>
              <w:sz w:val="12"/>
            </w:rPr>
          </w:pPr>
        </w:p>
      </w:tc>
    </w:tr>
    <w:tr w:rsidR="007949C0">
      <w:tc>
        <w:tcPr>
          <w:tcW w:w="1871" w:type="dxa"/>
          <w:tcBorders>
            <w:top w:val="single" w:sz="6" w:space="0" w:color="auto"/>
            <w:left w:val="nil"/>
            <w:bottom w:val="nil"/>
            <w:right w:val="nil"/>
          </w:tcBorders>
        </w:tcPr>
        <w:p w:rsidR="007949C0" w:rsidRDefault="007949C0">
          <w:pPr>
            <w:pStyle w:val="Footer"/>
            <w:spacing w:before="40"/>
            <w:rPr>
              <w:rFonts w:ascii="TradeGothic" w:hAnsi="TradeGothic"/>
              <w:i/>
              <w:sz w:val="12"/>
            </w:rPr>
          </w:pPr>
          <w:r>
            <w:rPr>
              <w:rFonts w:ascii="TradeGothic" w:hAnsi="TradeGothic"/>
              <w:i/>
              <w:sz w:val="12"/>
            </w:rPr>
            <w:t>Postadress</w:t>
          </w:r>
        </w:p>
      </w:tc>
      <w:tc>
        <w:tcPr>
          <w:tcW w:w="1928" w:type="dxa"/>
          <w:tcBorders>
            <w:top w:val="single" w:sz="6" w:space="0" w:color="auto"/>
            <w:left w:val="nil"/>
            <w:bottom w:val="nil"/>
            <w:right w:val="nil"/>
          </w:tcBorders>
        </w:tcPr>
        <w:p w:rsidR="007949C0" w:rsidRDefault="007949C0">
          <w:pPr>
            <w:pStyle w:val="Footer"/>
            <w:spacing w:before="40"/>
            <w:rPr>
              <w:rFonts w:ascii="TradeGothic" w:hAnsi="TradeGothic"/>
              <w:i/>
              <w:sz w:val="12"/>
            </w:rPr>
          </w:pPr>
          <w:r>
            <w:rPr>
              <w:rFonts w:ascii="TradeGothic" w:hAnsi="TradeGothic"/>
              <w:i/>
              <w:sz w:val="12"/>
            </w:rPr>
            <w:t>Telefon</w:t>
          </w:r>
        </w:p>
      </w:tc>
      <w:tc>
        <w:tcPr>
          <w:tcW w:w="3572" w:type="dxa"/>
          <w:tcBorders>
            <w:top w:val="single" w:sz="6" w:space="0" w:color="auto"/>
            <w:left w:val="nil"/>
            <w:bottom w:val="nil"/>
            <w:right w:val="nil"/>
          </w:tcBorders>
        </w:tcPr>
        <w:p w:rsidR="007949C0" w:rsidRDefault="007949C0">
          <w:pPr>
            <w:pStyle w:val="Footer"/>
            <w:spacing w:before="40"/>
            <w:rPr>
              <w:rFonts w:ascii="TradeGothic" w:hAnsi="TradeGothic"/>
              <w:i/>
              <w:sz w:val="12"/>
            </w:rPr>
          </w:pPr>
          <w:r>
            <w:rPr>
              <w:rFonts w:ascii="TradeGothic" w:hAnsi="TradeGothic"/>
              <w:i/>
              <w:sz w:val="12"/>
            </w:rPr>
            <w:t>E-post</w:t>
          </w:r>
        </w:p>
      </w:tc>
    </w:tr>
    <w:tr w:rsidR="007949C0">
      <w:tc>
        <w:tcPr>
          <w:tcW w:w="1871" w:type="dxa"/>
          <w:tcBorders>
            <w:top w:val="nil"/>
            <w:left w:val="nil"/>
            <w:bottom w:val="nil"/>
            <w:right w:val="nil"/>
          </w:tcBorders>
        </w:tcPr>
        <w:p w:rsidR="007949C0" w:rsidRDefault="007949C0">
          <w:pPr>
            <w:pStyle w:val="Footer"/>
            <w:rPr>
              <w:rFonts w:ascii="TradeGothic" w:hAnsi="TradeGothic"/>
              <w:sz w:val="12"/>
            </w:rPr>
          </w:pPr>
          <w:r>
            <w:rPr>
              <w:rFonts w:ascii="TradeGothic" w:hAnsi="TradeGothic"/>
              <w:sz w:val="12"/>
            </w:rPr>
            <w:t>Square de Meeûs 30</w:t>
          </w:r>
        </w:p>
      </w:tc>
      <w:tc>
        <w:tcPr>
          <w:tcW w:w="1928" w:type="dxa"/>
          <w:tcBorders>
            <w:top w:val="nil"/>
            <w:left w:val="nil"/>
            <w:bottom w:val="nil"/>
            <w:right w:val="nil"/>
          </w:tcBorders>
        </w:tcPr>
        <w:p w:rsidR="007949C0" w:rsidRDefault="007949C0">
          <w:pPr>
            <w:pStyle w:val="Footer"/>
            <w:rPr>
              <w:rFonts w:ascii="TradeGothic" w:hAnsi="TradeGothic"/>
              <w:sz w:val="12"/>
            </w:rPr>
          </w:pPr>
          <w:r>
            <w:rPr>
              <w:rFonts w:ascii="TradeGothic" w:hAnsi="TradeGothic"/>
              <w:sz w:val="12"/>
            </w:rPr>
            <w:t>+32 2 289 56 11</w:t>
          </w:r>
        </w:p>
      </w:tc>
      <w:tc>
        <w:tcPr>
          <w:tcW w:w="3572" w:type="dxa"/>
          <w:tcBorders>
            <w:top w:val="nil"/>
            <w:left w:val="nil"/>
            <w:bottom w:val="nil"/>
            <w:right w:val="nil"/>
          </w:tcBorders>
        </w:tcPr>
        <w:p w:rsidR="007949C0" w:rsidRDefault="007949C0">
          <w:pPr>
            <w:pStyle w:val="Footer"/>
            <w:rPr>
              <w:rFonts w:ascii="TradeGothic" w:hAnsi="TradeGothic"/>
              <w:sz w:val="12"/>
            </w:rPr>
          </w:pPr>
          <w:r>
            <w:rPr>
              <w:rFonts w:ascii="TradeGothic" w:hAnsi="TradeGothic"/>
              <w:sz w:val="12"/>
            </w:rPr>
            <w:t>representationen.bryssel@gov.se</w:t>
          </w:r>
        </w:p>
      </w:tc>
    </w:tr>
    <w:tr w:rsidR="007949C0">
      <w:tc>
        <w:tcPr>
          <w:tcW w:w="1871" w:type="dxa"/>
          <w:tcBorders>
            <w:top w:val="nil"/>
            <w:left w:val="nil"/>
            <w:bottom w:val="nil"/>
            <w:right w:val="nil"/>
          </w:tcBorders>
        </w:tcPr>
        <w:p w:rsidR="007949C0" w:rsidRDefault="007949C0">
          <w:pPr>
            <w:pStyle w:val="Footer"/>
            <w:rPr>
              <w:rFonts w:ascii="TradeGothic" w:hAnsi="TradeGothic"/>
              <w:sz w:val="12"/>
            </w:rPr>
          </w:pPr>
          <w:r>
            <w:rPr>
              <w:rFonts w:ascii="TradeGothic" w:hAnsi="TradeGothic"/>
              <w:sz w:val="12"/>
            </w:rPr>
            <w:t>B - 1000 BRYSSEL</w:t>
          </w:r>
        </w:p>
      </w:tc>
      <w:tc>
        <w:tcPr>
          <w:tcW w:w="1928" w:type="dxa"/>
          <w:tcBorders>
            <w:top w:val="nil"/>
            <w:left w:val="nil"/>
            <w:bottom w:val="nil"/>
            <w:right w:val="nil"/>
          </w:tcBorders>
        </w:tcPr>
        <w:p w:rsidR="007949C0" w:rsidRDefault="007949C0">
          <w:pPr>
            <w:pStyle w:val="Footer"/>
            <w:rPr>
              <w:rFonts w:ascii="TradeGothic" w:hAnsi="TradeGothic"/>
              <w:sz w:val="12"/>
            </w:rPr>
          </w:pPr>
        </w:p>
      </w:tc>
      <w:tc>
        <w:tcPr>
          <w:tcW w:w="3572" w:type="dxa"/>
          <w:tcBorders>
            <w:top w:val="nil"/>
            <w:left w:val="nil"/>
            <w:bottom w:val="nil"/>
            <w:right w:val="nil"/>
          </w:tcBorders>
        </w:tcPr>
        <w:p w:rsidR="007949C0" w:rsidRDefault="007949C0">
          <w:pPr>
            <w:pStyle w:val="Footer"/>
            <w:rPr>
              <w:rFonts w:ascii="TradeGothic" w:hAnsi="TradeGothic"/>
              <w:sz w:val="12"/>
            </w:rPr>
          </w:pPr>
        </w:p>
      </w:tc>
    </w:tr>
    <w:tr w:rsidR="007949C0">
      <w:tc>
        <w:tcPr>
          <w:tcW w:w="1871" w:type="dxa"/>
          <w:tcBorders>
            <w:top w:val="nil"/>
            <w:left w:val="nil"/>
            <w:bottom w:val="nil"/>
            <w:right w:val="nil"/>
          </w:tcBorders>
        </w:tcPr>
        <w:p w:rsidR="007949C0" w:rsidRDefault="007949C0">
          <w:pPr>
            <w:pStyle w:val="Footer"/>
            <w:rPr>
              <w:rFonts w:ascii="TradeGothic" w:hAnsi="TradeGothic"/>
              <w:sz w:val="12"/>
            </w:rPr>
          </w:pPr>
          <w:r>
            <w:rPr>
              <w:rFonts w:ascii="TradeGothic" w:hAnsi="TradeGothic"/>
              <w:sz w:val="12"/>
            </w:rPr>
            <w:t>Belgien</w:t>
          </w:r>
        </w:p>
      </w:tc>
      <w:tc>
        <w:tcPr>
          <w:tcW w:w="1928" w:type="dxa"/>
          <w:tcBorders>
            <w:top w:val="nil"/>
            <w:left w:val="nil"/>
            <w:bottom w:val="nil"/>
            <w:right w:val="nil"/>
          </w:tcBorders>
        </w:tcPr>
        <w:p w:rsidR="007949C0" w:rsidRDefault="007949C0">
          <w:pPr>
            <w:pStyle w:val="Footer"/>
            <w:rPr>
              <w:rFonts w:ascii="TradeGothic" w:hAnsi="TradeGothic"/>
              <w:sz w:val="12"/>
            </w:rPr>
          </w:pPr>
        </w:p>
      </w:tc>
      <w:tc>
        <w:tcPr>
          <w:tcW w:w="3572" w:type="dxa"/>
          <w:tcBorders>
            <w:top w:val="nil"/>
            <w:left w:val="nil"/>
            <w:bottom w:val="nil"/>
            <w:right w:val="nil"/>
          </w:tcBorders>
        </w:tcPr>
        <w:p w:rsidR="007949C0" w:rsidRDefault="007949C0">
          <w:pPr>
            <w:pStyle w:val="Footer"/>
            <w:rPr>
              <w:rFonts w:ascii="TradeGothic" w:hAnsi="TradeGothic"/>
              <w:sz w:val="12"/>
            </w:rPr>
          </w:pPr>
        </w:p>
      </w:tc>
    </w:tr>
    <w:tr w:rsidR="007949C0">
      <w:trPr>
        <w:trHeight w:hRule="exact" w:val="80"/>
      </w:trPr>
      <w:tc>
        <w:tcPr>
          <w:tcW w:w="1871" w:type="dxa"/>
          <w:tcBorders>
            <w:top w:val="nil"/>
            <w:left w:val="nil"/>
            <w:bottom w:val="nil"/>
            <w:right w:val="nil"/>
          </w:tcBorders>
        </w:tcPr>
        <w:p w:rsidR="007949C0" w:rsidRDefault="007949C0">
          <w:pPr>
            <w:pStyle w:val="Footer"/>
            <w:rPr>
              <w:rFonts w:ascii="TradeGothic" w:hAnsi="TradeGothic"/>
              <w:sz w:val="12"/>
            </w:rPr>
          </w:pPr>
        </w:p>
      </w:tc>
      <w:tc>
        <w:tcPr>
          <w:tcW w:w="1928" w:type="dxa"/>
          <w:tcBorders>
            <w:top w:val="nil"/>
            <w:left w:val="nil"/>
            <w:bottom w:val="nil"/>
            <w:right w:val="nil"/>
          </w:tcBorders>
        </w:tcPr>
        <w:p w:rsidR="007949C0" w:rsidRDefault="007949C0">
          <w:pPr>
            <w:pStyle w:val="Footer"/>
            <w:rPr>
              <w:rFonts w:ascii="TradeGothic" w:hAnsi="TradeGothic"/>
              <w:sz w:val="12"/>
            </w:rPr>
          </w:pPr>
        </w:p>
      </w:tc>
      <w:tc>
        <w:tcPr>
          <w:tcW w:w="3572" w:type="dxa"/>
          <w:tcBorders>
            <w:top w:val="nil"/>
            <w:left w:val="nil"/>
            <w:bottom w:val="nil"/>
            <w:right w:val="nil"/>
          </w:tcBorders>
        </w:tcPr>
        <w:p w:rsidR="007949C0" w:rsidRDefault="007949C0">
          <w:pPr>
            <w:pStyle w:val="Footer"/>
            <w:rPr>
              <w:rFonts w:ascii="TradeGothic" w:hAnsi="TradeGothic"/>
              <w:sz w:val="12"/>
            </w:rPr>
          </w:pPr>
        </w:p>
      </w:tc>
    </w:tr>
    <w:tr w:rsidR="007949C0">
      <w:tc>
        <w:tcPr>
          <w:tcW w:w="1871" w:type="dxa"/>
          <w:tcBorders>
            <w:top w:val="nil"/>
            <w:left w:val="nil"/>
            <w:bottom w:val="nil"/>
            <w:right w:val="nil"/>
          </w:tcBorders>
        </w:tcPr>
        <w:p w:rsidR="007949C0" w:rsidRDefault="007949C0">
          <w:pPr>
            <w:pStyle w:val="Footer"/>
            <w:rPr>
              <w:rFonts w:ascii="TradeGothic" w:hAnsi="TradeGothic"/>
              <w:i/>
              <w:sz w:val="12"/>
            </w:rPr>
          </w:pPr>
          <w:r>
            <w:rPr>
              <w:rFonts w:ascii="TradeGothic" w:hAnsi="TradeGothic"/>
              <w:i/>
              <w:sz w:val="12"/>
            </w:rPr>
            <w:t>Telegram:</w:t>
          </w:r>
        </w:p>
      </w:tc>
      <w:tc>
        <w:tcPr>
          <w:tcW w:w="1928" w:type="dxa"/>
          <w:tcBorders>
            <w:top w:val="nil"/>
            <w:left w:val="nil"/>
            <w:bottom w:val="nil"/>
            <w:right w:val="nil"/>
          </w:tcBorders>
        </w:tcPr>
        <w:p w:rsidR="007949C0" w:rsidRDefault="007949C0">
          <w:pPr>
            <w:pStyle w:val="Footer"/>
            <w:rPr>
              <w:rFonts w:ascii="TradeGothic" w:hAnsi="TradeGothic"/>
              <w:i/>
              <w:sz w:val="12"/>
            </w:rPr>
          </w:pPr>
          <w:r>
            <w:rPr>
              <w:rFonts w:ascii="TradeGothic" w:hAnsi="TradeGothic"/>
              <w:i/>
              <w:sz w:val="12"/>
            </w:rPr>
            <w:t>Telefax</w:t>
          </w:r>
        </w:p>
      </w:tc>
      <w:tc>
        <w:tcPr>
          <w:tcW w:w="3572" w:type="dxa"/>
          <w:tcBorders>
            <w:top w:val="nil"/>
            <w:left w:val="nil"/>
            <w:bottom w:val="nil"/>
            <w:right w:val="nil"/>
          </w:tcBorders>
        </w:tcPr>
        <w:p w:rsidR="007949C0" w:rsidRDefault="007949C0">
          <w:pPr>
            <w:pStyle w:val="Footer"/>
            <w:rPr>
              <w:rFonts w:ascii="TradeGothic" w:hAnsi="TradeGothic"/>
              <w:i/>
              <w:sz w:val="12"/>
            </w:rPr>
          </w:pPr>
          <w:r>
            <w:rPr>
              <w:rFonts w:ascii="TradeGothic" w:hAnsi="TradeGothic"/>
              <w:i/>
              <w:sz w:val="12"/>
            </w:rPr>
            <w:t>Telex:</w:t>
          </w:r>
        </w:p>
      </w:tc>
    </w:tr>
    <w:tr w:rsidR="007949C0">
      <w:tc>
        <w:tcPr>
          <w:tcW w:w="1871" w:type="dxa"/>
          <w:tcBorders>
            <w:top w:val="nil"/>
            <w:left w:val="nil"/>
            <w:bottom w:val="nil"/>
            <w:right w:val="nil"/>
          </w:tcBorders>
        </w:tcPr>
        <w:p w:rsidR="007949C0" w:rsidRDefault="007949C0">
          <w:pPr>
            <w:pStyle w:val="Footer"/>
            <w:rPr>
              <w:rFonts w:ascii="TradeGothic" w:hAnsi="TradeGothic"/>
              <w:sz w:val="12"/>
            </w:rPr>
          </w:pPr>
        </w:p>
      </w:tc>
      <w:tc>
        <w:tcPr>
          <w:tcW w:w="1928" w:type="dxa"/>
          <w:tcBorders>
            <w:top w:val="nil"/>
            <w:left w:val="nil"/>
            <w:bottom w:val="nil"/>
            <w:right w:val="nil"/>
          </w:tcBorders>
        </w:tcPr>
        <w:p w:rsidR="007949C0" w:rsidRDefault="007949C0">
          <w:pPr>
            <w:pStyle w:val="Footer"/>
            <w:rPr>
              <w:rFonts w:ascii="TradeGothic" w:hAnsi="TradeGothic"/>
              <w:sz w:val="12"/>
            </w:rPr>
          </w:pPr>
          <w:r>
            <w:rPr>
              <w:rFonts w:ascii="TradeGothic" w:hAnsi="TradeGothic"/>
              <w:sz w:val="12"/>
            </w:rPr>
            <w:t>+32 2 289 56 00</w:t>
          </w:r>
        </w:p>
      </w:tc>
      <w:tc>
        <w:tcPr>
          <w:tcW w:w="3572" w:type="dxa"/>
          <w:tcBorders>
            <w:top w:val="nil"/>
            <w:left w:val="nil"/>
            <w:bottom w:val="nil"/>
            <w:right w:val="nil"/>
          </w:tcBorders>
        </w:tcPr>
        <w:p w:rsidR="007949C0" w:rsidRDefault="007949C0">
          <w:pPr>
            <w:pStyle w:val="Footer"/>
            <w:rPr>
              <w:rFonts w:ascii="TradeGothic" w:hAnsi="TradeGothic"/>
              <w:sz w:val="12"/>
            </w:rPr>
          </w:pPr>
        </w:p>
      </w:tc>
    </w:tr>
    <w:tr w:rsidR="007949C0">
      <w:tc>
        <w:tcPr>
          <w:tcW w:w="1871" w:type="dxa"/>
          <w:tcBorders>
            <w:top w:val="nil"/>
            <w:left w:val="nil"/>
            <w:bottom w:val="nil"/>
            <w:right w:val="nil"/>
          </w:tcBorders>
        </w:tcPr>
        <w:p w:rsidR="007949C0" w:rsidRDefault="007949C0">
          <w:pPr>
            <w:pStyle w:val="Footer"/>
            <w:rPr>
              <w:rFonts w:ascii="TradeGothic" w:hAnsi="TradeGothic"/>
              <w:sz w:val="12"/>
            </w:rPr>
          </w:pPr>
        </w:p>
      </w:tc>
      <w:tc>
        <w:tcPr>
          <w:tcW w:w="1928" w:type="dxa"/>
          <w:tcBorders>
            <w:top w:val="nil"/>
            <w:left w:val="nil"/>
            <w:bottom w:val="nil"/>
            <w:right w:val="nil"/>
          </w:tcBorders>
        </w:tcPr>
        <w:p w:rsidR="007949C0" w:rsidRDefault="007949C0">
          <w:pPr>
            <w:pStyle w:val="Footer"/>
            <w:rPr>
              <w:rFonts w:ascii="TradeGothic" w:hAnsi="TradeGothic"/>
              <w:sz w:val="12"/>
            </w:rPr>
          </w:pPr>
        </w:p>
      </w:tc>
      <w:tc>
        <w:tcPr>
          <w:tcW w:w="3572" w:type="dxa"/>
          <w:tcBorders>
            <w:top w:val="nil"/>
            <w:left w:val="nil"/>
            <w:bottom w:val="nil"/>
            <w:right w:val="nil"/>
          </w:tcBorders>
        </w:tcPr>
        <w:p w:rsidR="007949C0" w:rsidRDefault="007949C0">
          <w:pPr>
            <w:pStyle w:val="Footer"/>
            <w:rPr>
              <w:rFonts w:ascii="TradeGothic" w:hAnsi="TradeGothic"/>
              <w:sz w:val="12"/>
            </w:rPr>
          </w:pPr>
        </w:p>
      </w:tc>
    </w:tr>
    <w:tr w:rsidR="007949C0">
      <w:tc>
        <w:tcPr>
          <w:tcW w:w="1871" w:type="dxa"/>
          <w:tcBorders>
            <w:top w:val="nil"/>
            <w:left w:val="nil"/>
            <w:bottom w:val="nil"/>
            <w:right w:val="nil"/>
          </w:tcBorders>
        </w:tcPr>
        <w:p w:rsidR="007949C0" w:rsidRDefault="007949C0">
          <w:pPr>
            <w:pStyle w:val="Footer"/>
            <w:rPr>
              <w:rFonts w:ascii="TradeGothic" w:hAnsi="TradeGothic"/>
              <w:sz w:val="12"/>
            </w:rPr>
          </w:pPr>
        </w:p>
      </w:tc>
      <w:tc>
        <w:tcPr>
          <w:tcW w:w="1928" w:type="dxa"/>
          <w:tcBorders>
            <w:top w:val="nil"/>
            <w:left w:val="nil"/>
            <w:bottom w:val="nil"/>
            <w:right w:val="nil"/>
          </w:tcBorders>
        </w:tcPr>
        <w:p w:rsidR="007949C0" w:rsidRDefault="007949C0">
          <w:pPr>
            <w:pStyle w:val="Footer"/>
            <w:rPr>
              <w:rFonts w:ascii="TradeGothic" w:hAnsi="TradeGothic"/>
              <w:sz w:val="12"/>
            </w:rPr>
          </w:pPr>
        </w:p>
      </w:tc>
      <w:tc>
        <w:tcPr>
          <w:tcW w:w="3572" w:type="dxa"/>
          <w:tcBorders>
            <w:top w:val="nil"/>
            <w:left w:val="nil"/>
            <w:bottom w:val="nil"/>
            <w:right w:val="nil"/>
          </w:tcBorders>
        </w:tcPr>
        <w:p w:rsidR="007949C0" w:rsidRDefault="007949C0">
          <w:pPr>
            <w:pStyle w:val="Footer"/>
            <w:rPr>
              <w:rFonts w:ascii="TradeGothic" w:hAnsi="TradeGothic"/>
              <w:sz w:val="12"/>
            </w:rPr>
          </w:pPr>
        </w:p>
      </w:tc>
    </w:tr>
  </w:tbl>
  <w:p w:rsidR="007949C0" w:rsidRDefault="007949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9C0" w:rsidRDefault="007949C0">
      <w:r>
        <w:separator/>
      </w:r>
    </w:p>
  </w:footnote>
  <w:footnote w:type="continuationSeparator" w:id="0">
    <w:p w:rsidR="007949C0" w:rsidRDefault="007949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9C0" w:rsidRDefault="007949C0">
    <w:pPr>
      <w:pStyle w:val="Header"/>
      <w:tabs>
        <w:tab w:val="clear" w:pos="4320"/>
        <w:tab w:val="clear" w:pos="8640"/>
        <w:tab w:val="left" w:pos="3799"/>
        <w:tab w:val="left" w:pos="7229"/>
        <w:tab w:val="right" w:pos="8448"/>
      </w:tabs>
      <w:ind w:left="-1418" w:right="-947"/>
      <w:rPr>
        <w:rFonts w:ascii="Garamond" w:hAnsi="Garamond"/>
        <w:sz w:val="22"/>
      </w:rPr>
    </w:pPr>
    <w:bookmarkStart w:id="28" w:name="UDsidan2"/>
    <w:bookmarkEnd w:id="28"/>
    <w:r>
      <w:rPr>
        <w:rFonts w:ascii="Arial" w:hAnsi="Arial"/>
        <w:b/>
        <w:sz w:val="16"/>
      </w:rPr>
      <w:t>Sveriges ständiga representation</w:t>
    </w:r>
    <w:r>
      <w:rPr>
        <w:rFonts w:ascii="Garamond" w:hAnsi="Garamond"/>
      </w:rPr>
      <w:tab/>
    </w:r>
    <w:bookmarkStart w:id="29" w:name="UDsidan2doknamn"/>
    <w:bookmarkEnd w:id="29"/>
    <w:r>
      <w:rPr>
        <w:rFonts w:ascii="Arial" w:hAnsi="Arial"/>
        <w:b/>
        <w:sz w:val="22"/>
      </w:rPr>
      <w:t>E-post</w:t>
    </w:r>
    <w:r>
      <w:rPr>
        <w:rFonts w:ascii="Garamond" w:hAnsi="Garamond"/>
        <w:sz w:val="22"/>
      </w:rPr>
      <w:tab/>
    </w:r>
    <w:r>
      <w:rPr>
        <w:rFonts w:ascii="Garamond" w:hAnsi="Garamond"/>
        <w:sz w:val="22"/>
      </w:rPr>
      <w:tab/>
    </w:r>
    <w:r>
      <w:rPr>
        <w:rFonts w:ascii="Garamond" w:hAnsi="Garamond"/>
        <w:sz w:val="22"/>
      </w:rPr>
      <w:fldChar w:fldCharType="begin"/>
    </w:r>
    <w:r>
      <w:rPr>
        <w:rFonts w:ascii="Garamond" w:hAnsi="Garamond"/>
        <w:sz w:val="22"/>
      </w:rPr>
      <w:instrText xml:space="preserve"> PAGE  \* MERGEFORMAT </w:instrText>
    </w:r>
    <w:r>
      <w:rPr>
        <w:rFonts w:ascii="Garamond" w:hAnsi="Garamond"/>
        <w:sz w:val="22"/>
      </w:rPr>
      <w:fldChar w:fldCharType="separate"/>
    </w:r>
    <w:r>
      <w:rPr>
        <w:rFonts w:ascii="Garamond" w:hAnsi="Garamond"/>
        <w:noProof/>
        <w:sz w:val="22"/>
      </w:rPr>
      <w:t>3</w:t>
    </w:r>
    <w:r>
      <w:rPr>
        <w:rFonts w:ascii="Garamond" w:hAnsi="Garamond"/>
        <w:sz w:val="22"/>
      </w:rPr>
      <w:fldChar w:fldCharType="end"/>
    </w:r>
    <w:r>
      <w:rPr>
        <w:rFonts w:ascii="Garamond" w:hAnsi="Garamond"/>
        <w:sz w:val="22"/>
      </w:rPr>
      <w:t xml:space="preserve"> (3)</w:t>
    </w:r>
  </w:p>
  <w:p w:rsidR="007949C0" w:rsidRDefault="007949C0">
    <w:pPr>
      <w:pStyle w:val="Header"/>
      <w:tabs>
        <w:tab w:val="clear" w:pos="4320"/>
        <w:tab w:val="clear" w:pos="8640"/>
        <w:tab w:val="left" w:pos="3799"/>
        <w:tab w:val="left" w:pos="7229"/>
        <w:tab w:val="right" w:pos="8448"/>
      </w:tabs>
      <w:ind w:left="-1418" w:right="-947"/>
      <w:rPr>
        <w:rFonts w:ascii="Arial" w:hAnsi="Arial"/>
        <w:b/>
        <w:sz w:val="16"/>
      </w:rPr>
    </w:pPr>
    <w:r>
      <w:rPr>
        <w:rFonts w:ascii="Arial" w:hAnsi="Arial"/>
        <w:b/>
        <w:sz w:val="16"/>
      </w:rPr>
      <w:t>vid Europeiska Unionen</w:t>
    </w:r>
  </w:p>
  <w:p w:rsidR="007949C0" w:rsidRDefault="007949C0">
    <w:pPr>
      <w:pStyle w:val="Header"/>
      <w:tabs>
        <w:tab w:val="clear" w:pos="4320"/>
        <w:tab w:val="clear" w:pos="8640"/>
        <w:tab w:val="left" w:pos="3799"/>
        <w:tab w:val="left" w:pos="7229"/>
        <w:tab w:val="right" w:pos="8448"/>
      </w:tabs>
      <w:ind w:left="-1418" w:right="-947"/>
      <w:rPr>
        <w:rFonts w:ascii="Garamond" w:hAnsi="Garamond"/>
        <w:sz w:val="24"/>
      </w:rPr>
    </w:pPr>
    <w:r>
      <w:rPr>
        <w:noProof/>
        <w:lang w:eastAsia="sv-SE"/>
      </w:rPr>
      <w:pict>
        <v:line id="Line 1" o:spid="_x0000_s2049" style="position:absolute;left:0;text-align:left;z-index:251660288;visibility:visible;mso-position-horizontal-relative:page" from="70.9pt,17.45pt" to="561.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" o:allowincell="f" strokeweight=".25pt">
          <v:stroke startarrowwidth="narrow" startarrowlength="short" endarrowwidth="narrow" endarrowlength="short"/>
          <w10:wrap anchorx="page"/>
        </v:line>
      </w:pict>
    </w:r>
    <w:r>
      <w:rPr>
        <w:rFonts w:ascii="Garamond" w:hAnsi="Garamond"/>
        <w:sz w:val="22"/>
      </w:rPr>
      <w:tab/>
    </w:r>
    <w:bookmarkStart w:id="30" w:name="UDsidan2datum"/>
    <w:bookmarkStart w:id="31" w:name="UDsidan2doss"/>
    <w:bookmarkEnd w:id="30"/>
    <w:bookmarkEnd w:id="31"/>
    <w:r>
      <w:rPr>
        <w:rFonts w:ascii="Garamond" w:hAnsi="Garamond"/>
        <w:sz w:val="24"/>
      </w:rPr>
      <w:t>2012-11-12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9505E"/>
    <w:multiLevelType w:val="hybridMultilevel"/>
    <w:tmpl w:val="D53E3388"/>
    <w:lvl w:ilvl="0" w:tplc="83720F4A">
      <w:start w:val="1"/>
      <w:numFmt w:val="bullet"/>
      <w:lvlText w:val=""/>
      <w:lvlJc w:val="left"/>
      <w:pPr>
        <w:tabs>
          <w:tab w:val="num" w:pos="1134"/>
        </w:tabs>
        <w:ind w:left="1701" w:hanging="567"/>
      </w:pPr>
      <w:rPr>
        <w:rFonts w:ascii="Symbol" w:hAnsi="Symbol" w:hint="default"/>
      </w:rPr>
    </w:lvl>
    <w:lvl w:ilvl="1" w:tplc="080C0003" w:tentative="1">
      <w:start w:val="1"/>
      <w:numFmt w:val="bullet"/>
      <w:lvlText w:val="o"/>
      <w:lvlJc w:val="left"/>
      <w:pPr>
        <w:tabs>
          <w:tab w:val="num" w:pos="1854"/>
        </w:tabs>
        <w:ind w:left="1854" w:hanging="360"/>
      </w:pPr>
      <w:rPr>
        <w:rFonts w:ascii="Courier New" w:hAnsi="Courier New" w:hint="default"/>
      </w:rPr>
    </w:lvl>
    <w:lvl w:ilvl="2" w:tplc="080C0005" w:tentative="1">
      <w:start w:val="1"/>
      <w:numFmt w:val="bullet"/>
      <w:lvlText w:val=""/>
      <w:lvlJc w:val="left"/>
      <w:pPr>
        <w:tabs>
          <w:tab w:val="num" w:pos="2574"/>
        </w:tabs>
        <w:ind w:left="2574" w:hanging="360"/>
      </w:pPr>
      <w:rPr>
        <w:rFonts w:ascii="Wingdings" w:hAnsi="Wingdings" w:hint="default"/>
      </w:rPr>
    </w:lvl>
    <w:lvl w:ilvl="3" w:tplc="080C0001" w:tentative="1">
      <w:start w:val="1"/>
      <w:numFmt w:val="bullet"/>
      <w:lvlText w:val=""/>
      <w:lvlJc w:val="left"/>
      <w:pPr>
        <w:tabs>
          <w:tab w:val="num" w:pos="3294"/>
        </w:tabs>
        <w:ind w:left="3294" w:hanging="360"/>
      </w:pPr>
      <w:rPr>
        <w:rFonts w:ascii="Symbol" w:hAnsi="Symbol" w:hint="default"/>
      </w:rPr>
    </w:lvl>
    <w:lvl w:ilvl="4" w:tplc="080C0003" w:tentative="1">
      <w:start w:val="1"/>
      <w:numFmt w:val="bullet"/>
      <w:lvlText w:val="o"/>
      <w:lvlJc w:val="left"/>
      <w:pPr>
        <w:tabs>
          <w:tab w:val="num" w:pos="4014"/>
        </w:tabs>
        <w:ind w:left="4014" w:hanging="360"/>
      </w:pPr>
      <w:rPr>
        <w:rFonts w:ascii="Courier New" w:hAnsi="Courier New" w:hint="default"/>
      </w:rPr>
    </w:lvl>
    <w:lvl w:ilvl="5" w:tplc="080C0005" w:tentative="1">
      <w:start w:val="1"/>
      <w:numFmt w:val="bullet"/>
      <w:lvlText w:val=""/>
      <w:lvlJc w:val="left"/>
      <w:pPr>
        <w:tabs>
          <w:tab w:val="num" w:pos="4734"/>
        </w:tabs>
        <w:ind w:left="4734" w:hanging="360"/>
      </w:pPr>
      <w:rPr>
        <w:rFonts w:ascii="Wingdings" w:hAnsi="Wingdings" w:hint="default"/>
      </w:rPr>
    </w:lvl>
    <w:lvl w:ilvl="6" w:tplc="080C0001" w:tentative="1">
      <w:start w:val="1"/>
      <w:numFmt w:val="bullet"/>
      <w:lvlText w:val=""/>
      <w:lvlJc w:val="left"/>
      <w:pPr>
        <w:tabs>
          <w:tab w:val="num" w:pos="5454"/>
        </w:tabs>
        <w:ind w:left="5454" w:hanging="360"/>
      </w:pPr>
      <w:rPr>
        <w:rFonts w:ascii="Symbol" w:hAnsi="Symbol" w:hint="default"/>
      </w:rPr>
    </w:lvl>
    <w:lvl w:ilvl="7" w:tplc="080C0003" w:tentative="1">
      <w:start w:val="1"/>
      <w:numFmt w:val="bullet"/>
      <w:lvlText w:val="o"/>
      <w:lvlJc w:val="left"/>
      <w:pPr>
        <w:tabs>
          <w:tab w:val="num" w:pos="6174"/>
        </w:tabs>
        <w:ind w:left="6174" w:hanging="360"/>
      </w:pPr>
      <w:rPr>
        <w:rFonts w:ascii="Courier New" w:hAnsi="Courier New" w:hint="default"/>
      </w:rPr>
    </w:lvl>
    <w:lvl w:ilvl="8" w:tplc="080C0005" w:tentative="1">
      <w:start w:val="1"/>
      <w:numFmt w:val="bullet"/>
      <w:lvlText w:val=""/>
      <w:lvlJc w:val="left"/>
      <w:pPr>
        <w:tabs>
          <w:tab w:val="num" w:pos="6894"/>
        </w:tabs>
        <w:ind w:left="6894" w:hanging="360"/>
      </w:pPr>
      <w:rPr>
        <w:rFonts w:ascii="Wingdings" w:hAnsi="Wingdings" w:hint="default"/>
      </w:rPr>
    </w:lvl>
  </w:abstractNum>
  <w:abstractNum w:abstractNumId="1">
    <w:nsid w:val="3FC80B1B"/>
    <w:multiLevelType w:val="singleLevel"/>
    <w:tmpl w:val="C11CD6E2"/>
    <w:lvl w:ilvl="0">
      <w:start w:val="1"/>
      <w:numFmt w:val="decimal"/>
      <w:pStyle w:val="Par-number1"/>
      <w:lvlText w:val="%1)"/>
      <w:lvlJc w:val="left"/>
      <w:pPr>
        <w:tabs>
          <w:tab w:val="num" w:pos="567"/>
        </w:tabs>
        <w:ind w:left="567" w:hanging="567"/>
      </w:pPr>
      <w:rPr>
        <w:rFonts w:cs="Times New Roman"/>
      </w:rPr>
    </w:lvl>
  </w:abstractNum>
  <w:abstractNum w:abstractNumId="2">
    <w:nsid w:val="4F595789"/>
    <w:multiLevelType w:val="hybridMultilevel"/>
    <w:tmpl w:val="9B98ACBC"/>
    <w:lvl w:ilvl="0" w:tplc="B6067A40">
      <w:start w:val="1"/>
      <w:numFmt w:val="decimal"/>
      <w:lvlText w:val="%1)"/>
      <w:lvlJc w:val="left"/>
      <w:pPr>
        <w:tabs>
          <w:tab w:val="num" w:pos="720"/>
        </w:tabs>
        <w:ind w:left="720" w:hanging="360"/>
      </w:pPr>
      <w:rPr>
        <w:rFonts w:cs="Times New Roman" w:hint="default"/>
      </w:rPr>
    </w:lvl>
    <w:lvl w:ilvl="1" w:tplc="4E989E26" w:tentative="1">
      <w:start w:val="1"/>
      <w:numFmt w:val="lowerLetter"/>
      <w:lvlText w:val="%2."/>
      <w:lvlJc w:val="left"/>
      <w:pPr>
        <w:tabs>
          <w:tab w:val="num" w:pos="1440"/>
        </w:tabs>
        <w:ind w:left="1440" w:hanging="360"/>
      </w:pPr>
      <w:rPr>
        <w:rFonts w:cs="Times New Roman"/>
      </w:rPr>
    </w:lvl>
    <w:lvl w:ilvl="2" w:tplc="8E060F48" w:tentative="1">
      <w:start w:val="1"/>
      <w:numFmt w:val="lowerRoman"/>
      <w:lvlText w:val="%3."/>
      <w:lvlJc w:val="right"/>
      <w:pPr>
        <w:tabs>
          <w:tab w:val="num" w:pos="2160"/>
        </w:tabs>
        <w:ind w:left="2160" w:hanging="180"/>
      </w:pPr>
      <w:rPr>
        <w:rFonts w:cs="Times New Roman"/>
      </w:rPr>
    </w:lvl>
    <w:lvl w:ilvl="3" w:tplc="C20E135E" w:tentative="1">
      <w:start w:val="1"/>
      <w:numFmt w:val="decimal"/>
      <w:lvlText w:val="%4."/>
      <w:lvlJc w:val="left"/>
      <w:pPr>
        <w:tabs>
          <w:tab w:val="num" w:pos="2880"/>
        </w:tabs>
        <w:ind w:left="2880" w:hanging="360"/>
      </w:pPr>
      <w:rPr>
        <w:rFonts w:cs="Times New Roman"/>
      </w:rPr>
    </w:lvl>
    <w:lvl w:ilvl="4" w:tplc="84366F0E" w:tentative="1">
      <w:start w:val="1"/>
      <w:numFmt w:val="lowerLetter"/>
      <w:lvlText w:val="%5."/>
      <w:lvlJc w:val="left"/>
      <w:pPr>
        <w:tabs>
          <w:tab w:val="num" w:pos="3600"/>
        </w:tabs>
        <w:ind w:left="3600" w:hanging="360"/>
      </w:pPr>
      <w:rPr>
        <w:rFonts w:cs="Times New Roman"/>
      </w:rPr>
    </w:lvl>
    <w:lvl w:ilvl="5" w:tplc="0A06CDB6" w:tentative="1">
      <w:start w:val="1"/>
      <w:numFmt w:val="lowerRoman"/>
      <w:lvlText w:val="%6."/>
      <w:lvlJc w:val="right"/>
      <w:pPr>
        <w:tabs>
          <w:tab w:val="num" w:pos="4320"/>
        </w:tabs>
        <w:ind w:left="4320" w:hanging="180"/>
      </w:pPr>
      <w:rPr>
        <w:rFonts w:cs="Times New Roman"/>
      </w:rPr>
    </w:lvl>
    <w:lvl w:ilvl="6" w:tplc="46B02F56" w:tentative="1">
      <w:start w:val="1"/>
      <w:numFmt w:val="decimal"/>
      <w:lvlText w:val="%7."/>
      <w:lvlJc w:val="left"/>
      <w:pPr>
        <w:tabs>
          <w:tab w:val="num" w:pos="5040"/>
        </w:tabs>
        <w:ind w:left="5040" w:hanging="360"/>
      </w:pPr>
      <w:rPr>
        <w:rFonts w:cs="Times New Roman"/>
      </w:rPr>
    </w:lvl>
    <w:lvl w:ilvl="7" w:tplc="62C82C44" w:tentative="1">
      <w:start w:val="1"/>
      <w:numFmt w:val="lowerLetter"/>
      <w:lvlText w:val="%8."/>
      <w:lvlJc w:val="left"/>
      <w:pPr>
        <w:tabs>
          <w:tab w:val="num" w:pos="5760"/>
        </w:tabs>
        <w:ind w:left="5760" w:hanging="360"/>
      </w:pPr>
      <w:rPr>
        <w:rFonts w:cs="Times New Roman"/>
      </w:rPr>
    </w:lvl>
    <w:lvl w:ilvl="8" w:tplc="BA2EE7E0" w:tentative="1">
      <w:start w:val="1"/>
      <w:numFmt w:val="lowerRoman"/>
      <w:lvlText w:val="%9."/>
      <w:lvlJc w:val="right"/>
      <w:pPr>
        <w:tabs>
          <w:tab w:val="num" w:pos="6480"/>
        </w:tabs>
        <w:ind w:left="6480" w:hanging="180"/>
      </w:pPr>
      <w:rPr>
        <w:rFonts w:cs="Times New Roman"/>
      </w:rPr>
    </w:lvl>
  </w:abstractNum>
  <w:abstractNum w:abstractNumId="3">
    <w:nsid w:val="52EC777E"/>
    <w:multiLevelType w:val="hybridMultilevel"/>
    <w:tmpl w:val="57BAD800"/>
    <w:lvl w:ilvl="0" w:tplc="04090011">
      <w:start w:val="1"/>
      <w:numFmt w:val="bullet"/>
      <w:lvlText w:val=""/>
      <w:lvlJc w:val="left"/>
      <w:pPr>
        <w:tabs>
          <w:tab w:val="num" w:pos="927"/>
        </w:tabs>
        <w:ind w:left="927" w:hanging="360"/>
      </w:pPr>
      <w:rPr>
        <w:rFonts w:ascii="Symbol" w:hAnsi="Symbol" w:hint="default"/>
      </w:rPr>
    </w:lvl>
    <w:lvl w:ilvl="1" w:tplc="04090019">
      <w:start w:val="1"/>
      <w:numFmt w:val="bullet"/>
      <w:lvlText w:val="-"/>
      <w:lvlJc w:val="left"/>
      <w:pPr>
        <w:tabs>
          <w:tab w:val="num" w:pos="1647"/>
        </w:tabs>
        <w:ind w:left="1647" w:hanging="360"/>
      </w:pPr>
      <w:rPr>
        <w:rFonts w:hint="default"/>
      </w:rPr>
    </w:lvl>
    <w:lvl w:ilvl="2" w:tplc="0409001B" w:tentative="1">
      <w:start w:val="1"/>
      <w:numFmt w:val="bullet"/>
      <w:lvlText w:val=""/>
      <w:lvlJc w:val="left"/>
      <w:pPr>
        <w:tabs>
          <w:tab w:val="num" w:pos="2367"/>
        </w:tabs>
        <w:ind w:left="2367" w:hanging="360"/>
      </w:pPr>
      <w:rPr>
        <w:rFonts w:ascii="Wingdings" w:hAnsi="Wingdings" w:hint="default"/>
      </w:rPr>
    </w:lvl>
    <w:lvl w:ilvl="3" w:tplc="0409000F" w:tentative="1">
      <w:start w:val="1"/>
      <w:numFmt w:val="bullet"/>
      <w:lvlText w:val=""/>
      <w:lvlJc w:val="left"/>
      <w:pPr>
        <w:tabs>
          <w:tab w:val="num" w:pos="3087"/>
        </w:tabs>
        <w:ind w:left="3087" w:hanging="360"/>
      </w:pPr>
      <w:rPr>
        <w:rFonts w:ascii="Symbol" w:hAnsi="Symbol" w:hint="default"/>
      </w:rPr>
    </w:lvl>
    <w:lvl w:ilvl="4" w:tplc="04090019" w:tentative="1">
      <w:start w:val="1"/>
      <w:numFmt w:val="bullet"/>
      <w:lvlText w:val="o"/>
      <w:lvlJc w:val="left"/>
      <w:pPr>
        <w:tabs>
          <w:tab w:val="num" w:pos="3807"/>
        </w:tabs>
        <w:ind w:left="3807" w:hanging="360"/>
      </w:pPr>
      <w:rPr>
        <w:rFonts w:ascii="Courier New" w:hAnsi="Courier New" w:hint="default"/>
      </w:rPr>
    </w:lvl>
    <w:lvl w:ilvl="5" w:tplc="0409001B" w:tentative="1">
      <w:start w:val="1"/>
      <w:numFmt w:val="bullet"/>
      <w:lvlText w:val=""/>
      <w:lvlJc w:val="left"/>
      <w:pPr>
        <w:tabs>
          <w:tab w:val="num" w:pos="4527"/>
        </w:tabs>
        <w:ind w:left="4527" w:hanging="360"/>
      </w:pPr>
      <w:rPr>
        <w:rFonts w:ascii="Wingdings" w:hAnsi="Wingdings" w:hint="default"/>
      </w:rPr>
    </w:lvl>
    <w:lvl w:ilvl="6" w:tplc="0409000F" w:tentative="1">
      <w:start w:val="1"/>
      <w:numFmt w:val="bullet"/>
      <w:lvlText w:val=""/>
      <w:lvlJc w:val="left"/>
      <w:pPr>
        <w:tabs>
          <w:tab w:val="num" w:pos="5247"/>
        </w:tabs>
        <w:ind w:left="5247" w:hanging="360"/>
      </w:pPr>
      <w:rPr>
        <w:rFonts w:ascii="Symbol" w:hAnsi="Symbol" w:hint="default"/>
      </w:rPr>
    </w:lvl>
    <w:lvl w:ilvl="7" w:tplc="04090019" w:tentative="1">
      <w:start w:val="1"/>
      <w:numFmt w:val="bullet"/>
      <w:lvlText w:val="o"/>
      <w:lvlJc w:val="left"/>
      <w:pPr>
        <w:tabs>
          <w:tab w:val="num" w:pos="5967"/>
        </w:tabs>
        <w:ind w:left="5967" w:hanging="360"/>
      </w:pPr>
      <w:rPr>
        <w:rFonts w:ascii="Courier New" w:hAnsi="Courier New" w:hint="default"/>
      </w:rPr>
    </w:lvl>
    <w:lvl w:ilvl="8" w:tplc="0409001B" w:tentative="1">
      <w:start w:val="1"/>
      <w:numFmt w:val="bullet"/>
      <w:lvlText w:val=""/>
      <w:lvlJc w:val="left"/>
      <w:pPr>
        <w:tabs>
          <w:tab w:val="num" w:pos="6687"/>
        </w:tabs>
        <w:ind w:left="6687" w:hanging="360"/>
      </w:pPr>
      <w:rPr>
        <w:rFonts w:ascii="Wingdings" w:hAnsi="Wingdings" w:hint="default"/>
      </w:rPr>
    </w:lvl>
  </w:abstractNum>
  <w:abstractNum w:abstractNumId="4">
    <w:nsid w:val="58E93B6B"/>
    <w:multiLevelType w:val="hybridMultilevel"/>
    <w:tmpl w:val="6FFA68E0"/>
    <w:lvl w:ilvl="0" w:tplc="F0904884">
      <w:start w:val="1"/>
      <w:numFmt w:val="lowerRoman"/>
      <w:lvlText w:val="%1."/>
      <w:lvlJc w:val="righ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
    <w:nsid w:val="69E30861"/>
    <w:multiLevelType w:val="singleLevel"/>
    <w:tmpl w:val="518CE40A"/>
    <w:lvl w:ilvl="0">
      <w:start w:val="1"/>
      <w:numFmt w:val="bullet"/>
      <w:pStyle w:val="Par-dash"/>
      <w:lvlText w:val=""/>
      <w:lvlJc w:val="left"/>
      <w:pPr>
        <w:tabs>
          <w:tab w:val="num" w:pos="1134"/>
        </w:tabs>
        <w:ind w:left="1134" w:hanging="567"/>
      </w:pPr>
      <w:rPr>
        <w:rFonts w:ascii="Symbol" w:hAnsi="Symbol" w:hint="default"/>
      </w:rPr>
    </w:lvl>
  </w:abstractNum>
  <w:abstractNum w:abstractNumId="6">
    <w:nsid w:val="6C902D33"/>
    <w:multiLevelType w:val="hybridMultilevel"/>
    <w:tmpl w:val="6944D212"/>
    <w:lvl w:ilvl="0" w:tplc="BF4E97C4">
      <w:start w:val="1"/>
      <w:numFmt w:val="bullet"/>
      <w:lvlText w:val=""/>
      <w:lvlJc w:val="left"/>
      <w:pPr>
        <w:tabs>
          <w:tab w:val="num" w:pos="720"/>
        </w:tabs>
        <w:ind w:left="720" w:hanging="360"/>
      </w:pPr>
      <w:rPr>
        <w:rFonts w:ascii="Symbol" w:hAnsi="Symbol" w:hint="default"/>
      </w:rPr>
    </w:lvl>
    <w:lvl w:ilvl="1" w:tplc="D41CB25C" w:tentative="1">
      <w:start w:val="1"/>
      <w:numFmt w:val="bullet"/>
      <w:lvlText w:val="o"/>
      <w:lvlJc w:val="left"/>
      <w:pPr>
        <w:tabs>
          <w:tab w:val="num" w:pos="1440"/>
        </w:tabs>
        <w:ind w:left="1440" w:hanging="360"/>
      </w:pPr>
      <w:rPr>
        <w:rFonts w:ascii="Courier New" w:hAnsi="Courier New" w:hint="default"/>
      </w:rPr>
    </w:lvl>
    <w:lvl w:ilvl="2" w:tplc="F21814FA" w:tentative="1">
      <w:start w:val="1"/>
      <w:numFmt w:val="bullet"/>
      <w:lvlText w:val=""/>
      <w:lvlJc w:val="left"/>
      <w:pPr>
        <w:tabs>
          <w:tab w:val="num" w:pos="2160"/>
        </w:tabs>
        <w:ind w:left="2160" w:hanging="360"/>
      </w:pPr>
      <w:rPr>
        <w:rFonts w:ascii="Wingdings" w:hAnsi="Wingdings" w:hint="default"/>
      </w:rPr>
    </w:lvl>
    <w:lvl w:ilvl="3" w:tplc="3F1C8F68" w:tentative="1">
      <w:start w:val="1"/>
      <w:numFmt w:val="bullet"/>
      <w:lvlText w:val=""/>
      <w:lvlJc w:val="left"/>
      <w:pPr>
        <w:tabs>
          <w:tab w:val="num" w:pos="2880"/>
        </w:tabs>
        <w:ind w:left="2880" w:hanging="360"/>
      </w:pPr>
      <w:rPr>
        <w:rFonts w:ascii="Symbol" w:hAnsi="Symbol" w:hint="default"/>
      </w:rPr>
    </w:lvl>
    <w:lvl w:ilvl="4" w:tplc="24122754" w:tentative="1">
      <w:start w:val="1"/>
      <w:numFmt w:val="bullet"/>
      <w:lvlText w:val="o"/>
      <w:lvlJc w:val="left"/>
      <w:pPr>
        <w:tabs>
          <w:tab w:val="num" w:pos="3600"/>
        </w:tabs>
        <w:ind w:left="3600" w:hanging="360"/>
      </w:pPr>
      <w:rPr>
        <w:rFonts w:ascii="Courier New" w:hAnsi="Courier New" w:hint="default"/>
      </w:rPr>
    </w:lvl>
    <w:lvl w:ilvl="5" w:tplc="0F7EB9D8" w:tentative="1">
      <w:start w:val="1"/>
      <w:numFmt w:val="bullet"/>
      <w:lvlText w:val=""/>
      <w:lvlJc w:val="left"/>
      <w:pPr>
        <w:tabs>
          <w:tab w:val="num" w:pos="4320"/>
        </w:tabs>
        <w:ind w:left="4320" w:hanging="360"/>
      </w:pPr>
      <w:rPr>
        <w:rFonts w:ascii="Wingdings" w:hAnsi="Wingdings" w:hint="default"/>
      </w:rPr>
    </w:lvl>
    <w:lvl w:ilvl="6" w:tplc="36164F1C" w:tentative="1">
      <w:start w:val="1"/>
      <w:numFmt w:val="bullet"/>
      <w:lvlText w:val=""/>
      <w:lvlJc w:val="left"/>
      <w:pPr>
        <w:tabs>
          <w:tab w:val="num" w:pos="5040"/>
        </w:tabs>
        <w:ind w:left="5040" w:hanging="360"/>
      </w:pPr>
      <w:rPr>
        <w:rFonts w:ascii="Symbol" w:hAnsi="Symbol" w:hint="default"/>
      </w:rPr>
    </w:lvl>
    <w:lvl w:ilvl="7" w:tplc="534ACF1C" w:tentative="1">
      <w:start w:val="1"/>
      <w:numFmt w:val="bullet"/>
      <w:lvlText w:val="o"/>
      <w:lvlJc w:val="left"/>
      <w:pPr>
        <w:tabs>
          <w:tab w:val="num" w:pos="5760"/>
        </w:tabs>
        <w:ind w:left="5760" w:hanging="360"/>
      </w:pPr>
      <w:rPr>
        <w:rFonts w:ascii="Courier New" w:hAnsi="Courier New" w:hint="default"/>
      </w:rPr>
    </w:lvl>
    <w:lvl w:ilvl="8" w:tplc="F586A7B2" w:tentative="1">
      <w:start w:val="1"/>
      <w:numFmt w:val="bullet"/>
      <w:lvlText w:val=""/>
      <w:lvlJc w:val="left"/>
      <w:pPr>
        <w:tabs>
          <w:tab w:val="num" w:pos="6480"/>
        </w:tabs>
        <w:ind w:left="6480" w:hanging="360"/>
      </w:pPr>
      <w:rPr>
        <w:rFonts w:ascii="Wingdings" w:hAnsi="Wingdings" w:hint="default"/>
      </w:rPr>
    </w:lvl>
  </w:abstractNum>
  <w:abstractNum w:abstractNumId="7">
    <w:nsid w:val="6E4E71E4"/>
    <w:multiLevelType w:val="singleLevel"/>
    <w:tmpl w:val="21145626"/>
    <w:lvl w:ilvl="0">
      <w:start w:val="1"/>
      <w:numFmt w:val="decimal"/>
      <w:pStyle w:val="Par-number10"/>
      <w:lvlText w:val="%1."/>
      <w:lvlJc w:val="left"/>
      <w:pPr>
        <w:tabs>
          <w:tab w:val="num" w:pos="567"/>
        </w:tabs>
        <w:ind w:left="567" w:hanging="567"/>
      </w:pPr>
      <w:rPr>
        <w:rFonts w:cs="Times New Roman"/>
      </w:rPr>
    </w:lvl>
  </w:abstractNum>
  <w:num w:numId="1">
    <w:abstractNumId w:val="3"/>
  </w:num>
  <w:num w:numId="2">
    <w:abstractNumId w:val="5"/>
  </w:num>
  <w:num w:numId="3">
    <w:abstractNumId w:val="4"/>
  </w:num>
  <w:num w:numId="4">
    <w:abstractNumId w:val="1"/>
  </w:num>
  <w:num w:numId="5">
    <w:abstractNumId w:val="6"/>
  </w:num>
  <w:num w:numId="6">
    <w:abstractNumId w:val="2"/>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122F"/>
    <w:rsid w:val="00003699"/>
    <w:rsid w:val="00021DC9"/>
    <w:rsid w:val="0002238D"/>
    <w:rsid w:val="000245FE"/>
    <w:rsid w:val="000452F2"/>
    <w:rsid w:val="000467E8"/>
    <w:rsid w:val="0006316E"/>
    <w:rsid w:val="0006616A"/>
    <w:rsid w:val="00072B9B"/>
    <w:rsid w:val="000753A9"/>
    <w:rsid w:val="000951AC"/>
    <w:rsid w:val="000A799C"/>
    <w:rsid w:val="000B1A24"/>
    <w:rsid w:val="000B3A5D"/>
    <w:rsid w:val="000C1950"/>
    <w:rsid w:val="000D7C18"/>
    <w:rsid w:val="00106588"/>
    <w:rsid w:val="00137C06"/>
    <w:rsid w:val="00142A3F"/>
    <w:rsid w:val="001450ED"/>
    <w:rsid w:val="001468E9"/>
    <w:rsid w:val="001557E5"/>
    <w:rsid w:val="001600A6"/>
    <w:rsid w:val="0016442A"/>
    <w:rsid w:val="001741FF"/>
    <w:rsid w:val="00194B96"/>
    <w:rsid w:val="0019712D"/>
    <w:rsid w:val="001A56CF"/>
    <w:rsid w:val="001B14E7"/>
    <w:rsid w:val="001C6474"/>
    <w:rsid w:val="001C7624"/>
    <w:rsid w:val="001D6924"/>
    <w:rsid w:val="001F3D29"/>
    <w:rsid w:val="00201341"/>
    <w:rsid w:val="0021317E"/>
    <w:rsid w:val="00224FB9"/>
    <w:rsid w:val="00225931"/>
    <w:rsid w:val="002675FA"/>
    <w:rsid w:val="002713B3"/>
    <w:rsid w:val="0027144F"/>
    <w:rsid w:val="00271D79"/>
    <w:rsid w:val="002A0A12"/>
    <w:rsid w:val="002B122F"/>
    <w:rsid w:val="002D590B"/>
    <w:rsid w:val="00321B2F"/>
    <w:rsid w:val="003367E9"/>
    <w:rsid w:val="00367655"/>
    <w:rsid w:val="003809F6"/>
    <w:rsid w:val="00382403"/>
    <w:rsid w:val="00382DD4"/>
    <w:rsid w:val="0039287C"/>
    <w:rsid w:val="00392935"/>
    <w:rsid w:val="003C71BE"/>
    <w:rsid w:val="003F0EDE"/>
    <w:rsid w:val="003F59B8"/>
    <w:rsid w:val="004025AB"/>
    <w:rsid w:val="00413793"/>
    <w:rsid w:val="004619E6"/>
    <w:rsid w:val="004972D6"/>
    <w:rsid w:val="004B1DED"/>
    <w:rsid w:val="004B2F64"/>
    <w:rsid w:val="004D0C19"/>
    <w:rsid w:val="004D638E"/>
    <w:rsid w:val="004E0AB5"/>
    <w:rsid w:val="004E4054"/>
    <w:rsid w:val="004F0065"/>
    <w:rsid w:val="00500B44"/>
    <w:rsid w:val="0050325D"/>
    <w:rsid w:val="0050789B"/>
    <w:rsid w:val="00517235"/>
    <w:rsid w:val="005228D8"/>
    <w:rsid w:val="00531F3C"/>
    <w:rsid w:val="00533DDF"/>
    <w:rsid w:val="00537E65"/>
    <w:rsid w:val="00547FCC"/>
    <w:rsid w:val="00577B92"/>
    <w:rsid w:val="00585F5C"/>
    <w:rsid w:val="0059692C"/>
    <w:rsid w:val="005B6E2F"/>
    <w:rsid w:val="005E549B"/>
    <w:rsid w:val="00641822"/>
    <w:rsid w:val="00653077"/>
    <w:rsid w:val="0065436C"/>
    <w:rsid w:val="00667934"/>
    <w:rsid w:val="006C2EF5"/>
    <w:rsid w:val="006E0FB6"/>
    <w:rsid w:val="006F7EDE"/>
    <w:rsid w:val="007056C6"/>
    <w:rsid w:val="0072328C"/>
    <w:rsid w:val="00726B1B"/>
    <w:rsid w:val="00742827"/>
    <w:rsid w:val="0077028C"/>
    <w:rsid w:val="00784B06"/>
    <w:rsid w:val="00786DE1"/>
    <w:rsid w:val="007949C0"/>
    <w:rsid w:val="007A63D9"/>
    <w:rsid w:val="007C38D2"/>
    <w:rsid w:val="007D0CB4"/>
    <w:rsid w:val="007D5318"/>
    <w:rsid w:val="007F52A4"/>
    <w:rsid w:val="007F7A84"/>
    <w:rsid w:val="00824019"/>
    <w:rsid w:val="0082781E"/>
    <w:rsid w:val="00841944"/>
    <w:rsid w:val="0086556D"/>
    <w:rsid w:val="0086713E"/>
    <w:rsid w:val="008760A6"/>
    <w:rsid w:val="008801E0"/>
    <w:rsid w:val="0088179D"/>
    <w:rsid w:val="0088680D"/>
    <w:rsid w:val="008B4C49"/>
    <w:rsid w:val="008D01E2"/>
    <w:rsid w:val="008D4DF5"/>
    <w:rsid w:val="008E3C5F"/>
    <w:rsid w:val="009011AD"/>
    <w:rsid w:val="009013DD"/>
    <w:rsid w:val="009051CF"/>
    <w:rsid w:val="00951342"/>
    <w:rsid w:val="00962A77"/>
    <w:rsid w:val="00963AEA"/>
    <w:rsid w:val="00971412"/>
    <w:rsid w:val="00976AC0"/>
    <w:rsid w:val="009826DC"/>
    <w:rsid w:val="00994364"/>
    <w:rsid w:val="009A1E1E"/>
    <w:rsid w:val="009C601A"/>
    <w:rsid w:val="009C7DBD"/>
    <w:rsid w:val="009F0C3D"/>
    <w:rsid w:val="009F2306"/>
    <w:rsid w:val="00A17328"/>
    <w:rsid w:val="00A26E9B"/>
    <w:rsid w:val="00A30492"/>
    <w:rsid w:val="00A32848"/>
    <w:rsid w:val="00A503D4"/>
    <w:rsid w:val="00A66C03"/>
    <w:rsid w:val="00A7410A"/>
    <w:rsid w:val="00A93255"/>
    <w:rsid w:val="00AF1933"/>
    <w:rsid w:val="00B150B1"/>
    <w:rsid w:val="00B40581"/>
    <w:rsid w:val="00B4358F"/>
    <w:rsid w:val="00B570C4"/>
    <w:rsid w:val="00B72D4F"/>
    <w:rsid w:val="00B81884"/>
    <w:rsid w:val="00BA50DC"/>
    <w:rsid w:val="00BD1E26"/>
    <w:rsid w:val="00BD287C"/>
    <w:rsid w:val="00C004F9"/>
    <w:rsid w:val="00C100A9"/>
    <w:rsid w:val="00C21249"/>
    <w:rsid w:val="00C27B76"/>
    <w:rsid w:val="00C42D77"/>
    <w:rsid w:val="00C42E80"/>
    <w:rsid w:val="00C67F67"/>
    <w:rsid w:val="00CA196E"/>
    <w:rsid w:val="00CC56A7"/>
    <w:rsid w:val="00CC718A"/>
    <w:rsid w:val="00CD1736"/>
    <w:rsid w:val="00CD7A8D"/>
    <w:rsid w:val="00CF23DE"/>
    <w:rsid w:val="00D002DD"/>
    <w:rsid w:val="00D03AA0"/>
    <w:rsid w:val="00D03D04"/>
    <w:rsid w:val="00D16953"/>
    <w:rsid w:val="00D1753C"/>
    <w:rsid w:val="00D437FD"/>
    <w:rsid w:val="00D47196"/>
    <w:rsid w:val="00D542FF"/>
    <w:rsid w:val="00D87679"/>
    <w:rsid w:val="00D87D49"/>
    <w:rsid w:val="00DB40A2"/>
    <w:rsid w:val="00DB5589"/>
    <w:rsid w:val="00DB7142"/>
    <w:rsid w:val="00DC2A42"/>
    <w:rsid w:val="00DE106D"/>
    <w:rsid w:val="00DE2A91"/>
    <w:rsid w:val="00DF11ED"/>
    <w:rsid w:val="00DF32DB"/>
    <w:rsid w:val="00E02564"/>
    <w:rsid w:val="00E05E56"/>
    <w:rsid w:val="00E345A4"/>
    <w:rsid w:val="00E35E4E"/>
    <w:rsid w:val="00E42A1D"/>
    <w:rsid w:val="00E85B17"/>
    <w:rsid w:val="00ED18FE"/>
    <w:rsid w:val="00ED2190"/>
    <w:rsid w:val="00ED6D54"/>
    <w:rsid w:val="00ED74A5"/>
    <w:rsid w:val="00EE7519"/>
    <w:rsid w:val="00EF0B5D"/>
    <w:rsid w:val="00F26A37"/>
    <w:rsid w:val="00F41E72"/>
    <w:rsid w:val="00F47927"/>
    <w:rsid w:val="00F621AA"/>
    <w:rsid w:val="00F643EA"/>
    <w:rsid w:val="00F81AE1"/>
    <w:rsid w:val="00F84E72"/>
    <w:rsid w:val="00F87192"/>
    <w:rsid w:val="00F932BA"/>
    <w:rsid w:val="00FA4562"/>
    <w:rsid w:val="00FA63C1"/>
    <w:rsid w:val="00FB1712"/>
    <w:rsid w:val="00FB23D4"/>
    <w:rsid w:val="00FC1496"/>
    <w:rsid w:val="00FC437C"/>
    <w:rsid w:val="00FD5372"/>
    <w:rsid w:val="00FD62CB"/>
    <w:rsid w:val="00FE372F"/>
    <w:rsid w:val="00FF051C"/>
    <w:rsid w:val="00FF2D03"/>
    <w:rsid w:val="00FF784F"/>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12D"/>
    <w:rPr>
      <w:sz w:val="20"/>
      <w:szCs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712D"/>
    <w:pPr>
      <w:tabs>
        <w:tab w:val="center" w:pos="4320"/>
        <w:tab w:val="right" w:pos="8640"/>
      </w:tabs>
    </w:pPr>
  </w:style>
  <w:style w:type="character" w:customStyle="1" w:styleId="HeaderChar">
    <w:name w:val="Header Char"/>
    <w:basedOn w:val="DefaultParagraphFont"/>
    <w:link w:val="Header"/>
    <w:uiPriority w:val="99"/>
    <w:semiHidden/>
    <w:rsid w:val="002D256C"/>
    <w:rPr>
      <w:sz w:val="20"/>
      <w:szCs w:val="20"/>
      <w:lang w:eastAsia="en-US"/>
    </w:rPr>
  </w:style>
  <w:style w:type="paragraph" w:customStyle="1" w:styleId="Depnamn">
    <w:name w:val="Depnamn"/>
    <w:basedOn w:val="Normal"/>
    <w:uiPriority w:val="99"/>
    <w:rsid w:val="0019712D"/>
    <w:pPr>
      <w:spacing w:line="260" w:lineRule="exact"/>
    </w:pPr>
    <w:rPr>
      <w:rFonts w:ascii="TradeGothic Bold" w:hAnsi="TradeGothic Bold"/>
      <w:b/>
      <w:sz w:val="22"/>
    </w:rPr>
  </w:style>
  <w:style w:type="paragraph" w:customStyle="1" w:styleId="Enhetnamn">
    <w:name w:val="Enhetnamn"/>
    <w:basedOn w:val="Normal"/>
    <w:uiPriority w:val="99"/>
    <w:rsid w:val="0019712D"/>
    <w:pPr>
      <w:spacing w:after="260"/>
    </w:pPr>
    <w:rPr>
      <w:rFonts w:ascii="TradeGothic" w:hAnsi="TradeGothic"/>
      <w:i/>
      <w:sz w:val="18"/>
    </w:rPr>
  </w:style>
  <w:style w:type="paragraph" w:styleId="BodyText">
    <w:name w:val="Body Text"/>
    <w:basedOn w:val="Normal"/>
    <w:link w:val="BodyTextChar"/>
    <w:uiPriority w:val="99"/>
    <w:rsid w:val="0019712D"/>
    <w:pPr>
      <w:spacing w:line="320" w:lineRule="exact"/>
    </w:pPr>
    <w:rPr>
      <w:sz w:val="24"/>
    </w:rPr>
  </w:style>
  <w:style w:type="character" w:customStyle="1" w:styleId="BodyTextChar">
    <w:name w:val="Body Text Char"/>
    <w:basedOn w:val="DefaultParagraphFont"/>
    <w:link w:val="BodyText"/>
    <w:uiPriority w:val="99"/>
    <w:semiHidden/>
    <w:rsid w:val="002D256C"/>
    <w:rPr>
      <w:sz w:val="20"/>
      <w:szCs w:val="20"/>
      <w:lang w:eastAsia="en-US"/>
    </w:rPr>
  </w:style>
  <w:style w:type="paragraph" w:styleId="Footer">
    <w:name w:val="footer"/>
    <w:basedOn w:val="Normal"/>
    <w:link w:val="FooterChar"/>
    <w:uiPriority w:val="99"/>
    <w:rsid w:val="0019712D"/>
    <w:pPr>
      <w:tabs>
        <w:tab w:val="center" w:pos="4320"/>
        <w:tab w:val="right" w:pos="8640"/>
      </w:tabs>
    </w:pPr>
  </w:style>
  <w:style w:type="character" w:customStyle="1" w:styleId="FooterChar">
    <w:name w:val="Footer Char"/>
    <w:basedOn w:val="DefaultParagraphFont"/>
    <w:link w:val="Footer"/>
    <w:uiPriority w:val="99"/>
    <w:semiHidden/>
    <w:rsid w:val="002D256C"/>
    <w:rPr>
      <w:sz w:val="20"/>
      <w:szCs w:val="20"/>
      <w:lang w:eastAsia="en-US"/>
    </w:rPr>
  </w:style>
  <w:style w:type="paragraph" w:customStyle="1" w:styleId="Namnenhet">
    <w:name w:val="Namnenhet"/>
    <w:basedOn w:val="Depnamn"/>
    <w:uiPriority w:val="99"/>
    <w:rsid w:val="0019712D"/>
    <w:pPr>
      <w:framePr w:h="2183" w:wrap="notBeside" w:vAnchor="text" w:hAnchor="page" w:x="1447" w:y="1"/>
    </w:pPr>
    <w:rPr>
      <w:rFonts w:ascii="Arial" w:hAnsi="Arial"/>
      <w:b w:val="0"/>
      <w:i/>
      <w:sz w:val="18"/>
    </w:rPr>
  </w:style>
  <w:style w:type="paragraph" w:customStyle="1" w:styleId="Brdtexthuvud">
    <w:name w:val="Brödtext huvud"/>
    <w:basedOn w:val="BodyText"/>
    <w:uiPriority w:val="99"/>
    <w:rsid w:val="0019712D"/>
    <w:pPr>
      <w:framePr w:w="4570" w:h="1701" w:hRule="exact" w:hSpace="181" w:wrap="around" w:vAnchor="page" w:hAnchor="page" w:x="6697" w:y="681"/>
    </w:pPr>
    <w:rPr>
      <w:rFonts w:ascii="Arial" w:hAnsi="Arial"/>
    </w:rPr>
  </w:style>
  <w:style w:type="paragraph" w:customStyle="1" w:styleId="UDrubrik">
    <w:name w:val="UDrubrik"/>
    <w:basedOn w:val="Normal"/>
    <w:next w:val="BodyText"/>
    <w:uiPriority w:val="99"/>
    <w:rsid w:val="0019712D"/>
    <w:pPr>
      <w:spacing w:line="320" w:lineRule="exact"/>
    </w:pPr>
    <w:rPr>
      <w:rFonts w:ascii="TradeGothic Bold" w:hAnsi="TradeGothic Bold"/>
      <w:b/>
      <w:sz w:val="22"/>
    </w:rPr>
  </w:style>
  <w:style w:type="paragraph" w:customStyle="1" w:styleId="Mellanrubrik">
    <w:name w:val="Mellanrubrik"/>
    <w:basedOn w:val="BodyText"/>
    <w:next w:val="BodyText"/>
    <w:uiPriority w:val="99"/>
    <w:rsid w:val="0019712D"/>
    <w:rPr>
      <w:rFonts w:ascii="TradeGothic" w:hAnsi="TradeGothic"/>
      <w:b/>
      <w:sz w:val="22"/>
    </w:rPr>
  </w:style>
  <w:style w:type="paragraph" w:customStyle="1" w:styleId="Par-dash">
    <w:name w:val="Par-dash"/>
    <w:basedOn w:val="Normal"/>
    <w:next w:val="Normal"/>
    <w:link w:val="Par-dashZchn"/>
    <w:uiPriority w:val="99"/>
    <w:rsid w:val="0019712D"/>
    <w:pPr>
      <w:widowControl w:val="0"/>
      <w:numPr>
        <w:numId w:val="2"/>
      </w:numPr>
    </w:pPr>
    <w:rPr>
      <w:i/>
      <w:sz w:val="24"/>
      <w:lang w:val="en-GB" w:eastAsia="fr-BE"/>
    </w:rPr>
  </w:style>
  <w:style w:type="paragraph" w:customStyle="1" w:styleId="Par-number1">
    <w:name w:val="Par-number 1)"/>
    <w:basedOn w:val="Normal"/>
    <w:next w:val="Normal"/>
    <w:uiPriority w:val="99"/>
    <w:rsid w:val="0019712D"/>
    <w:pPr>
      <w:widowControl w:val="0"/>
      <w:numPr>
        <w:numId w:val="4"/>
      </w:numPr>
      <w:spacing w:line="360" w:lineRule="auto"/>
    </w:pPr>
    <w:rPr>
      <w:sz w:val="24"/>
      <w:lang w:eastAsia="fr-BE"/>
    </w:rPr>
  </w:style>
  <w:style w:type="paragraph" w:customStyle="1" w:styleId="RKrubrik">
    <w:name w:val="RKrubrik"/>
    <w:basedOn w:val="RKnormal"/>
    <w:next w:val="RKnormal"/>
    <w:link w:val="RKrubrikChar"/>
    <w:uiPriority w:val="99"/>
    <w:rsid w:val="0019712D"/>
    <w:pPr>
      <w:keepNext/>
      <w:tabs>
        <w:tab w:val="left" w:pos="1134"/>
      </w:tabs>
      <w:spacing w:before="360" w:after="120"/>
    </w:pPr>
    <w:rPr>
      <w:rFonts w:ascii="TradeGothic" w:hAnsi="TradeGothic"/>
      <w:b/>
      <w:sz w:val="22"/>
    </w:rPr>
  </w:style>
  <w:style w:type="paragraph" w:customStyle="1" w:styleId="RKnormal">
    <w:name w:val="RKnormal"/>
    <w:basedOn w:val="Normal"/>
    <w:link w:val="RKnormalChar"/>
    <w:uiPriority w:val="99"/>
    <w:rsid w:val="0019712D"/>
    <w:pPr>
      <w:tabs>
        <w:tab w:val="left" w:pos="2835"/>
      </w:tabs>
      <w:overflowPunct w:val="0"/>
      <w:autoSpaceDE w:val="0"/>
      <w:autoSpaceDN w:val="0"/>
      <w:adjustRightInd w:val="0"/>
      <w:spacing w:line="240" w:lineRule="atLeast"/>
      <w:textAlignment w:val="baseline"/>
    </w:pPr>
    <w:rPr>
      <w:rFonts w:ascii="OrigGarmnd BT" w:hAnsi="OrigGarmnd BT"/>
      <w:sz w:val="24"/>
    </w:rPr>
  </w:style>
  <w:style w:type="paragraph" w:customStyle="1" w:styleId="Default">
    <w:name w:val="Default"/>
    <w:uiPriority w:val="99"/>
    <w:rsid w:val="002B122F"/>
    <w:pPr>
      <w:widowControl w:val="0"/>
      <w:autoSpaceDE w:val="0"/>
      <w:autoSpaceDN w:val="0"/>
      <w:adjustRightInd w:val="0"/>
    </w:pPr>
    <w:rPr>
      <w:rFonts w:ascii="TradeGothic" w:hAnsi="TradeGothic" w:cs="TradeGothic"/>
      <w:color w:val="000000"/>
      <w:sz w:val="24"/>
      <w:szCs w:val="24"/>
    </w:rPr>
  </w:style>
  <w:style w:type="character" w:customStyle="1" w:styleId="RKnormalChar">
    <w:name w:val="RKnormal Char"/>
    <w:link w:val="RKnormal"/>
    <w:uiPriority w:val="99"/>
    <w:locked/>
    <w:rsid w:val="002B122F"/>
    <w:rPr>
      <w:rFonts w:ascii="OrigGarmnd BT" w:hAnsi="OrigGarmnd BT"/>
      <w:sz w:val="24"/>
      <w:lang w:val="sv-SE" w:eastAsia="en-US"/>
    </w:rPr>
  </w:style>
  <w:style w:type="paragraph" w:styleId="BalloonText">
    <w:name w:val="Balloon Text"/>
    <w:basedOn w:val="Normal"/>
    <w:link w:val="BalloonTextChar"/>
    <w:uiPriority w:val="99"/>
    <w:semiHidden/>
    <w:rsid w:val="004E0AB5"/>
    <w:rPr>
      <w:rFonts w:ascii="Tahoma" w:hAnsi="Tahoma" w:cs="Tahoma"/>
      <w:sz w:val="16"/>
      <w:szCs w:val="16"/>
    </w:rPr>
  </w:style>
  <w:style w:type="character" w:customStyle="1" w:styleId="BalloonTextChar">
    <w:name w:val="Balloon Text Char"/>
    <w:basedOn w:val="DefaultParagraphFont"/>
    <w:link w:val="BalloonText"/>
    <w:uiPriority w:val="99"/>
    <w:semiHidden/>
    <w:rsid w:val="002D256C"/>
    <w:rPr>
      <w:sz w:val="0"/>
      <w:szCs w:val="0"/>
      <w:lang w:eastAsia="en-US"/>
    </w:rPr>
  </w:style>
  <w:style w:type="paragraph" w:customStyle="1" w:styleId="Formatmall1">
    <w:name w:val="Formatmall1"/>
    <w:basedOn w:val="RKrubrik"/>
    <w:uiPriority w:val="99"/>
    <w:rsid w:val="000B1A24"/>
    <w:pPr>
      <w:spacing w:before="0"/>
    </w:pPr>
  </w:style>
  <w:style w:type="character" w:styleId="Hyperlink">
    <w:name w:val="Hyperlink"/>
    <w:basedOn w:val="DefaultParagraphFont"/>
    <w:uiPriority w:val="99"/>
    <w:rsid w:val="00DE2A91"/>
    <w:rPr>
      <w:rFonts w:cs="Times New Roman"/>
      <w:color w:val="0000FF"/>
      <w:u w:val="single"/>
    </w:rPr>
  </w:style>
  <w:style w:type="paragraph" w:customStyle="1" w:styleId="EntRefer">
    <w:name w:val="EntRefer"/>
    <w:basedOn w:val="Normal"/>
    <w:uiPriority w:val="99"/>
    <w:rsid w:val="003367E9"/>
    <w:pPr>
      <w:widowControl w:val="0"/>
    </w:pPr>
    <w:rPr>
      <w:b/>
      <w:sz w:val="24"/>
      <w:lang w:val="en-GB" w:eastAsia="fr-BE"/>
    </w:rPr>
  </w:style>
  <w:style w:type="character" w:customStyle="1" w:styleId="RKrubrikChar">
    <w:name w:val="RKrubrik Char"/>
    <w:link w:val="RKrubrik"/>
    <w:uiPriority w:val="99"/>
    <w:locked/>
    <w:rsid w:val="00726B1B"/>
    <w:rPr>
      <w:rFonts w:ascii="TradeGothic" w:hAnsi="TradeGothic"/>
      <w:b/>
      <w:sz w:val="22"/>
      <w:lang w:val="sv-SE" w:eastAsia="en-US"/>
    </w:rPr>
  </w:style>
  <w:style w:type="paragraph" w:customStyle="1" w:styleId="EntEmet">
    <w:name w:val="EntEmet"/>
    <w:basedOn w:val="Normal"/>
    <w:uiPriority w:val="99"/>
    <w:rsid w:val="00A7410A"/>
    <w:pPr>
      <w:widowControl w:val="0"/>
      <w:tabs>
        <w:tab w:val="left" w:pos="284"/>
        <w:tab w:val="left" w:pos="567"/>
        <w:tab w:val="left" w:pos="851"/>
        <w:tab w:val="left" w:pos="1134"/>
        <w:tab w:val="left" w:pos="1418"/>
      </w:tabs>
      <w:spacing w:before="40"/>
    </w:pPr>
    <w:rPr>
      <w:sz w:val="24"/>
      <w:lang w:eastAsia="fr-BE"/>
    </w:rPr>
  </w:style>
  <w:style w:type="paragraph" w:customStyle="1" w:styleId="Par-number10">
    <w:name w:val="Par-number 1."/>
    <w:basedOn w:val="Normal"/>
    <w:next w:val="Normal"/>
    <w:link w:val="Par-number1Char"/>
    <w:uiPriority w:val="99"/>
    <w:rsid w:val="00A7410A"/>
    <w:pPr>
      <w:widowControl w:val="0"/>
      <w:numPr>
        <w:numId w:val="7"/>
      </w:numPr>
      <w:spacing w:line="360" w:lineRule="auto"/>
    </w:pPr>
    <w:rPr>
      <w:sz w:val="24"/>
      <w:lang w:eastAsia="fr-BE"/>
    </w:rPr>
  </w:style>
  <w:style w:type="character" w:customStyle="1" w:styleId="Par-number1Char">
    <w:name w:val="Par-number 1. Char"/>
    <w:link w:val="Par-number10"/>
    <w:uiPriority w:val="99"/>
    <w:locked/>
    <w:rsid w:val="00A7410A"/>
    <w:rPr>
      <w:sz w:val="24"/>
      <w:lang w:val="sv-SE" w:eastAsia="fr-BE"/>
    </w:rPr>
  </w:style>
  <w:style w:type="character" w:customStyle="1" w:styleId="Par-dashZchn">
    <w:name w:val="Par-dash Zchn"/>
    <w:link w:val="Par-dash"/>
    <w:uiPriority w:val="99"/>
    <w:locked/>
    <w:rsid w:val="00A7410A"/>
    <w:rPr>
      <w:i/>
      <w:sz w:val="24"/>
      <w:lang w:val="en-GB" w:eastAsia="fr-B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appor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RapportMall</Template>
  <TotalTime>1</TotalTime>
  <Pages>3</Pages>
  <Words>860</Words>
  <Characters>5032</Characters>
  <Application>Microsoft Office Outlook</Application>
  <DocSecurity>0</DocSecurity>
  <Lines>0</Lines>
  <Paragraphs>0</Paragraphs>
  <ScaleCrop>false</ScaleCrop>
  <Company>UD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Erik Kiesow</dc:creator>
  <cp:keywords/>
  <dc:description/>
  <cp:lastModifiedBy>ha0808ab</cp:lastModifiedBy>
  <cp:revision>2</cp:revision>
  <cp:lastPrinted>2012-11-13T08:18:00Z</cp:lastPrinted>
  <dcterms:created xsi:type="dcterms:W3CDTF">2012-11-13T15:28:00Z</dcterms:created>
  <dcterms:modified xsi:type="dcterms:W3CDTF">2012-11-13T15:28:00Z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KOrdnaDepartement">
    <vt:lpwstr>Näringsdepartementet</vt:lpwstr>
  </property>
  <property fmtid="{D5CDD505-2E9C-101B-9397-08002B2CF9AE}" pid="3" name="RKOrdnaActivityCategory">
    <vt:lpwstr>4.1. Europeiska unionen</vt:lpwstr>
  </property>
  <property fmtid="{D5CDD505-2E9C-101B-9397-08002B2CF9AE}" pid="4" name="RKOrdnaDiarienummer">
    <vt:lpwstr/>
  </property>
  <property fmtid="{D5CDD505-2E9C-101B-9397-08002B2CF9AE}" pid="5" name="ContentType">
    <vt:lpwstr>Word</vt:lpwstr>
  </property>
  <property fmtid="{D5CDD505-2E9C-101B-9397-08002B2CF9AE}" pid="6" name="RKOrdnaSearchKeywords">
    <vt:lpwstr/>
  </property>
  <property fmtid="{D5CDD505-2E9C-101B-9397-08002B2CF9AE}" pid="7" name="RKOrdnaSarskildSkyddsvard">
    <vt:lpwstr>0</vt:lpwstr>
  </property>
  <property fmtid="{D5CDD505-2E9C-101B-9397-08002B2CF9AE}" pid="8" name="RKOrdnaDepartement2">
    <vt:lpwstr>Näringsdepartementet</vt:lpwstr>
  </property>
  <property fmtid="{D5CDD505-2E9C-101B-9397-08002B2CF9AE}" pid="9" name="RKOrdnaActivityCategory2">
    <vt:lpwstr>4.1. Europeiska unionen</vt:lpwstr>
  </property>
  <property fmtid="{D5CDD505-2E9C-101B-9397-08002B2CF9AE}" pid="10" name="display_urn:schemas-microsoft-com:office:office#Editor">
    <vt:lpwstr>Jenny Malmberg</vt:lpwstr>
  </property>
  <property fmtid="{D5CDD505-2E9C-101B-9397-08002B2CF9AE}" pid="11" name="display_urn:schemas-microsoft-com:office:office#Author">
    <vt:lpwstr>Jenny Malmberg</vt:lpwstr>
  </property>
  <property fmtid="{D5CDD505-2E9C-101B-9397-08002B2CF9AE}" pid="12" name="Order">
    <vt:lpwstr>2025500.00000000</vt:lpwstr>
  </property>
  <property fmtid="{D5CDD505-2E9C-101B-9397-08002B2CF9AE}" pid="13" name="ContentTypeId">
    <vt:lpwstr>0x01010053E1D612BA3F4E21AA250ECD751942B300CACADFE77341D845B81CC2022C55BFDF</vt:lpwstr>
  </property>
  <property fmtid="{D5CDD505-2E9C-101B-9397-08002B2CF9AE}" pid="14" name="QFMSP source name">
    <vt:lpwstr/>
  </property>
  <property fmtid="{D5CDD505-2E9C-101B-9397-08002B2CF9AE}" pid="15" name="Aktivitetskategori">
    <vt:lpwstr>3;#4.1. Europeiska unionen|3702a388-75a8-47ca-a3cb-a45aec6679e6</vt:lpwstr>
  </property>
  <property fmtid="{D5CDD505-2E9C-101B-9397-08002B2CF9AE}" pid="16" name="Departementsenhet">
    <vt:lpwstr>1;#Näringsdepartementet|6a8d1c8a-1d2b-4b66-bd42-fbe9e2cc78cf</vt:lpwstr>
  </property>
  <property fmtid="{D5CDD505-2E9C-101B-9397-08002B2CF9AE}" pid="17" name="_dlc_DocId">
    <vt:lpwstr>KWSQ2AKCCCHU-2-21670</vt:lpwstr>
  </property>
  <property fmtid="{D5CDD505-2E9C-101B-9397-08002B2CF9AE}" pid="18" name="_dlc_DocIdItemGuid">
    <vt:lpwstr>2127e0af-d8c4-4864-a5fd-94121a2cfa35</vt:lpwstr>
  </property>
  <property fmtid="{D5CDD505-2E9C-101B-9397-08002B2CF9AE}" pid="19" name="_dlc_DocIdUrl">
    <vt:lpwstr>http://rkdhs-n/enhet/is/_layouts/DocIdRedir.aspx?ID=KWSQ2AKCCCHU-2-21670, KWSQ2AKCCCHU-2-21670</vt:lpwstr>
  </property>
  <property fmtid="{D5CDD505-2E9C-101B-9397-08002B2CF9AE}" pid="20" name="k46d94c0acf84ab9a79866a9d8b1905f">
    <vt:lpwstr>Näringsdepartementet6a8d1c8a-1d2b-4b66-bd42-fbe9e2cc78cf</vt:lpwstr>
  </property>
  <property fmtid="{D5CDD505-2E9C-101B-9397-08002B2CF9AE}" pid="21" name="Nyckelord">
    <vt:lpwstr/>
  </property>
  <property fmtid="{D5CDD505-2E9C-101B-9397-08002B2CF9AE}" pid="22" name="RKOrdnaClass">
    <vt:lpwstr>3</vt:lpwstr>
  </property>
  <property fmtid="{D5CDD505-2E9C-101B-9397-08002B2CF9AE}" pid="23" name="Sekretess">
    <vt:lpwstr/>
  </property>
  <property fmtid="{D5CDD505-2E9C-101B-9397-08002B2CF9AE}" pid="24" name="TaxCatchAll">
    <vt:lpwstr>3;#;#1;#</vt:lpwstr>
  </property>
  <property fmtid="{D5CDD505-2E9C-101B-9397-08002B2CF9AE}" pid="25" name="Diarienummer">
    <vt:lpwstr/>
  </property>
  <property fmtid="{D5CDD505-2E9C-101B-9397-08002B2CF9AE}" pid="26" name="RKOrdnaCheckInComment">
    <vt:lpwstr/>
  </property>
  <property fmtid="{D5CDD505-2E9C-101B-9397-08002B2CF9AE}" pid="27" name="c9cd366cc722410295b9eacffbd73909">
    <vt:lpwstr>4.1. Europeiska unionen3702a388-75a8-47ca-a3cb-a45aec6679e6</vt:lpwstr>
  </property>
</Properties>
</file>