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B04C9">
        <w:tblPrEx>
          <w:tblCellMar>
            <w:top w:w="0" w:type="dxa"/>
            <w:left w:w="0" w:type="dxa"/>
            <w:bottom w:w="0" w:type="dxa"/>
            <w:right w:w="0" w:type="dxa"/>
          </w:tblCellMar>
        </w:tblPrEx>
        <w:trPr>
          <w:gridAfter w:val="2"/>
          <w:wAfter w:w="1758" w:type="dxa"/>
          <w:cantSplit/>
          <w:trHeight w:val="1320"/>
        </w:trPr>
        <w:tc>
          <w:tcPr>
            <w:tcW w:w="5897" w:type="dxa"/>
          </w:tcPr>
          <w:p w:rsidR="001B04C9" w:rsidRPr="001B04C9" w:rsidRDefault="001B04C9">
            <w:pPr>
              <w:pStyle w:val="HuvudRubrik"/>
            </w:pPr>
            <w:r w:rsidRPr="001B04C9">
              <w:t>Regeringskansliet</w:t>
            </w:r>
          </w:p>
          <w:p w:rsidR="001B04C9" w:rsidRPr="001B04C9" w:rsidRDefault="001B04C9">
            <w:pPr>
              <w:pStyle w:val="HuvudRubrik"/>
            </w:pPr>
            <w:r w:rsidRPr="001B04C9">
              <w:t>Faktapromemoria  2008/09:FPM72</w:t>
            </w:r>
          </w:p>
        </w:tc>
      </w:tr>
      <w:tr w:rsidR="00000000" w:rsidRPr="001B04C9">
        <w:tblPrEx>
          <w:tblCellMar>
            <w:top w:w="0" w:type="dxa"/>
            <w:left w:w="0" w:type="dxa"/>
            <w:bottom w:w="0" w:type="dxa"/>
            <w:right w:w="0" w:type="dxa"/>
          </w:tblCellMar>
        </w:tblPrEx>
        <w:trPr>
          <w:gridAfter w:val="2"/>
          <w:wAfter w:w="1758" w:type="dxa"/>
          <w:cantSplit/>
          <w:trHeight w:val="240"/>
        </w:trPr>
        <w:tc>
          <w:tcPr>
            <w:tcW w:w="5897" w:type="dxa"/>
          </w:tcPr>
          <w:p w:rsidR="001B04C9" w:rsidRPr="001B04C9" w:rsidRDefault="001B04C9">
            <w:pPr>
              <w:pStyle w:val="HuvudRubrik"/>
              <w:rPr>
                <w:sz w:val="28"/>
              </w:rPr>
            </w:pPr>
            <w:r w:rsidRPr="001B04C9">
              <w:t>Meddelande om revidering av den fleråriga budgetramen</w:t>
            </w:r>
          </w:p>
        </w:tc>
      </w:tr>
      <w:tr w:rsidR="00000000" w:rsidRPr="001B04C9">
        <w:tblPrEx>
          <w:tblCellMar>
            <w:top w:w="0" w:type="dxa"/>
            <w:left w:w="0" w:type="dxa"/>
            <w:bottom w:w="0" w:type="dxa"/>
            <w:right w:w="0" w:type="dxa"/>
          </w:tblCellMar>
        </w:tblPrEx>
        <w:trPr>
          <w:cantSplit/>
          <w:trHeight w:val="285"/>
        </w:trPr>
        <w:tc>
          <w:tcPr>
            <w:tcW w:w="7655" w:type="dxa"/>
            <w:gridSpan w:val="3"/>
          </w:tcPr>
          <w:p w:rsidR="001B04C9" w:rsidRPr="001B04C9" w:rsidRDefault="001B04C9">
            <w:pPr>
              <w:pStyle w:val="Departement"/>
              <w:rPr>
                <w:sz w:val="28"/>
              </w:rPr>
            </w:pPr>
            <w:r w:rsidRPr="001B04C9">
              <w:t>Finansdepartementet</w:t>
            </w:r>
          </w:p>
        </w:tc>
      </w:tr>
      <w:tr w:rsidR="00000000" w:rsidRPr="001B04C9">
        <w:tblPrEx>
          <w:tblCellMar>
            <w:top w:w="0" w:type="dxa"/>
            <w:left w:w="0" w:type="dxa"/>
            <w:bottom w:w="0" w:type="dxa"/>
            <w:right w:w="0" w:type="dxa"/>
          </w:tblCellMar>
        </w:tblPrEx>
        <w:trPr>
          <w:cantSplit/>
          <w:trHeight w:val="240"/>
        </w:trPr>
        <w:tc>
          <w:tcPr>
            <w:tcW w:w="7655" w:type="dxa"/>
            <w:gridSpan w:val="3"/>
          </w:tcPr>
          <w:p w:rsidR="001B04C9" w:rsidRPr="001B04C9" w:rsidRDefault="001B04C9">
            <w:pPr>
              <w:pStyle w:val="Dokumentdatum"/>
            </w:pPr>
            <w:r w:rsidRPr="001B04C9">
              <w:t>2009-02-17</w:t>
            </w:r>
          </w:p>
        </w:tc>
      </w:tr>
      <w:tr w:rsidR="00000000" w:rsidRPr="001B04C9">
        <w:tblPrEx>
          <w:tblCellMar>
            <w:top w:w="0" w:type="dxa"/>
            <w:left w:w="0" w:type="dxa"/>
            <w:bottom w:w="0" w:type="dxa"/>
            <w:right w:w="0" w:type="dxa"/>
          </w:tblCellMar>
        </w:tblPrEx>
        <w:trPr>
          <w:cantSplit/>
          <w:trHeight w:val="726"/>
        </w:trPr>
        <w:tc>
          <w:tcPr>
            <w:tcW w:w="7655" w:type="dxa"/>
            <w:gridSpan w:val="3"/>
            <w:vAlign w:val="bottom"/>
          </w:tcPr>
          <w:p w:rsidR="001B04C9" w:rsidRPr="001B04C9" w:rsidRDefault="001B04C9">
            <w:pPr>
              <w:pStyle w:val="Dokumentbeteckning"/>
            </w:pPr>
            <w:r w:rsidRPr="001B04C9">
              <w:t>Dokumentbeteckning</w:t>
            </w:r>
          </w:p>
        </w:tc>
      </w:tr>
      <w:tr w:rsidR="00000000" w:rsidRPr="001B04C9">
        <w:tblPrEx>
          <w:tblCellMar>
            <w:top w:w="0" w:type="dxa"/>
            <w:left w:w="0" w:type="dxa"/>
            <w:bottom w:w="0" w:type="dxa"/>
            <w:right w:w="0" w:type="dxa"/>
          </w:tblCellMar>
        </w:tblPrEx>
        <w:trPr>
          <w:gridAfter w:val="1"/>
          <w:wAfter w:w="1560" w:type="dxa"/>
          <w:trHeight w:val="120"/>
        </w:trPr>
        <w:tc>
          <w:tcPr>
            <w:tcW w:w="6095" w:type="dxa"/>
            <w:gridSpan w:val="2"/>
          </w:tcPr>
          <w:p w:rsidR="001B04C9" w:rsidRPr="001B04C9" w:rsidRDefault="001B04C9">
            <w:bookmarkStart w:id="0" w:name="KomNr"/>
            <w:bookmarkEnd w:id="0"/>
            <w:r w:rsidRPr="001B04C9">
              <w:t>KOM (2008) 859</w:t>
            </w:r>
          </w:p>
        </w:tc>
      </w:tr>
      <w:tr w:rsidR="00000000" w:rsidRPr="001B04C9">
        <w:tblPrEx>
          <w:tblCellMar>
            <w:top w:w="0" w:type="dxa"/>
            <w:left w:w="0" w:type="dxa"/>
            <w:bottom w:w="0" w:type="dxa"/>
            <w:right w:w="0" w:type="dxa"/>
          </w:tblCellMar>
        </w:tblPrEx>
        <w:trPr>
          <w:gridAfter w:val="1"/>
          <w:wAfter w:w="1560" w:type="dxa"/>
          <w:trHeight w:val="120"/>
        </w:trPr>
        <w:tc>
          <w:tcPr>
            <w:tcW w:w="6095" w:type="dxa"/>
            <w:gridSpan w:val="2"/>
          </w:tcPr>
          <w:p w:rsidR="001B04C9" w:rsidRPr="001B04C9" w:rsidRDefault="001B04C9">
            <w:pPr>
              <w:pStyle w:val="Dokumentbeteckning-titel"/>
            </w:pPr>
            <w:r w:rsidRPr="001B04C9">
              <w:t>Meddelande från kommissionen till Europaparlamentet och rådet om revidering av den fleråriga budgetramen (2007-2013) Förslag till Europaparlamentets och rådets beslut om ändring av den fleråriga budgetramen enligt det interinstitutionella avtalet av den 17 maj 2006 om budgetdisciplin och sund ekonomisk förvaltning</w:t>
            </w:r>
          </w:p>
        </w:tc>
      </w:tr>
    </w:tbl>
    <w:p w:rsidR="001B04C9" w:rsidRPr="001B04C9" w:rsidRDefault="001B04C9">
      <w:pPr>
        <w:pStyle w:val="Rubrik1"/>
        <w:numPr>
          <w:ilvl w:val="0"/>
          <w:numId w:val="0"/>
        </w:numPr>
      </w:pPr>
      <w:r w:rsidRPr="001B04C9">
        <w:t>Sammanfattning</w:t>
      </w:r>
    </w:p>
    <w:p w:rsidR="001B04C9" w:rsidRPr="001B04C9" w:rsidRDefault="001B04C9">
      <w:r w:rsidRPr="001B04C9">
        <w:t>Kommissionens meddelande och förslag till beslut syftar till att revidera den långsiktiga budgetramen 2007-2013 för att finansiera förslag inom ramen för den ekonomiska återhämtningsplan som kommissionen presenterade i november 2008. Enligt förslaget i återhämtningsplanen bör Europeiska unionen bland annat finansiera ytterligare sammankoppling av transeuropeiska energinät samt utbyggnad av bredbandsnät med totalt 5 miljarder euro under 2009 och 2010.</w:t>
      </w:r>
    </w:p>
    <w:p w:rsidR="001B04C9" w:rsidRPr="001B04C9" w:rsidRDefault="001B04C9">
      <w:r w:rsidRPr="001B04C9">
        <w:t>Regeringen menar att det är viktigt att respektera taken i den fleråriga budgetramen och gör en annan tolkning än kommissionen när det gäller vad Europeiska rådet beslutade i december 2008..</w:t>
      </w:r>
    </w:p>
    <w:p w:rsidR="001B04C9" w:rsidRPr="001B04C9" w:rsidRDefault="001B04C9">
      <w:pPr>
        <w:pStyle w:val="Rubrik1"/>
      </w:pPr>
      <w:r w:rsidRPr="001B04C9">
        <w:t>Förslaget</w:t>
      </w:r>
    </w:p>
    <w:p w:rsidR="001B04C9" w:rsidRPr="001B04C9" w:rsidRDefault="001B04C9">
      <w:pPr>
        <w:pStyle w:val="Rubrik2"/>
      </w:pPr>
      <w:r w:rsidRPr="001B04C9">
        <w:t>Ärendets bakgrund</w:t>
      </w:r>
    </w:p>
    <w:p w:rsidR="001B04C9" w:rsidRPr="001B04C9" w:rsidRDefault="001B04C9">
      <w:r w:rsidRPr="001B04C9">
        <w:t>I december 2005 enades Europeiska rådet om en flerårig budgetram för åren 2007-2013. Med utgångspunkt i denna uppgörelse förhandlade sedan rådet, Europaparlamentet och kommissionen fram det interinstitutionella avtalet om budgetdisciplin och sund ekonomisk förvaltning (IIA) som beslutades den 17 maj 2006.</w:t>
      </w:r>
    </w:p>
    <w:p w:rsidR="001B04C9" w:rsidRPr="001B04C9" w:rsidRDefault="001B04C9">
      <w:r w:rsidRPr="001B04C9">
        <w:lastRenderedPageBreak/>
        <w:t xml:space="preserve">Förhandlingarna som ledde fram till dessa beslut inleddes redan 2004 och hanterades av fem olika ordförandeskap i rådet. I juni 2005 gjordes vid Europeiska rådets möte ett försök att komma överens vilket dock slutade med avbrutna förhandlingar. Det brittiska ordförandeskapet lyckades med stort besvär att ett halvår senare nå en kompromiss. </w:t>
      </w:r>
    </w:p>
    <w:p w:rsidR="001B04C9" w:rsidRPr="001B04C9" w:rsidRDefault="001B04C9">
      <w:r w:rsidRPr="001B04C9">
        <w:t>Den 26 november 2008 lade kommissionen fram ett genomgripande förslag till en ekonomisk återhämtningsplan för Europa, med syftet att samordna EU:s och medlemsstaternas olika redskap för att motverka den nedgång som den europeiska ekonomin befinner sig i som en följd av finanskrisen. Kommissionen argumenterar för att finanskrisen utgör en sådan ”oförutsedd händelse” som avses i punkt 21 i det interinstitutionella avtalet av den 17 maj 2006 . Samtidigt framgår i punkt 11 att nödvändiga beslut ska göras i enl</w:t>
      </w:r>
      <w:r w:rsidRPr="001B04C9">
        <w:t>ighet med den nuvarande budgetramen.</w:t>
      </w:r>
    </w:p>
    <w:p w:rsidR="001B04C9" w:rsidRPr="001B04C9" w:rsidRDefault="001B04C9">
      <w:r w:rsidRPr="001B04C9">
        <w:t>Enligt förslaget i återhämtningsplanen bör Europeiska unionen bidra till bland annat genom att finansiera ytterligare sammankoppling av transeuropeiska energinät samt utbyggnad av bredbandsnät med totalt 5 miljarder euro under 2009 och 2010. Kommissionen föreslår att åtgärderna ska finansieras genom att den fleråriga budgetramen revideras.</w:t>
      </w:r>
    </w:p>
    <w:p w:rsidR="001B04C9" w:rsidRPr="001B04C9" w:rsidRDefault="001B04C9">
      <w:pPr>
        <w:pStyle w:val="Rubrik2"/>
      </w:pPr>
      <w:r w:rsidRPr="001B04C9">
        <w:t>Förslagets innehåll</w:t>
      </w:r>
    </w:p>
    <w:p w:rsidR="001B04C9" w:rsidRPr="001B04C9" w:rsidRDefault="001B04C9">
      <w:r w:rsidRPr="001B04C9">
        <w:t xml:space="preserve">Kommissionens meddelande innehåller ett förslag om att revidera den fleråriga budgetramen i enlighet med punkt 21 till 23 i det interinstitutionella avtalet om budgetdisciplin och sund ekonomisk förvaltning (IIA) från 17 maj 2006. </w:t>
      </w:r>
    </w:p>
    <w:p w:rsidR="001B04C9" w:rsidRPr="001B04C9" w:rsidRDefault="001B04C9">
      <w:r w:rsidRPr="001B04C9">
        <w:t xml:space="preserve">I enlighet med punkt 23 i det interinstitutionella avtalet har kommissionen undersökt möjligheterna till en omfördelning av utgifterna mellan de program som faller inom den rubrik som berörs av den föreslagna revideringen, och man drar slutsatsen att det i dagsläget inte är möjligt att omfördela eller ens ändra anslagen inom de årliga taken i någon högre grad. </w:t>
      </w:r>
    </w:p>
    <w:p w:rsidR="001B04C9" w:rsidRPr="001B04C9" w:rsidRDefault="001B04C9">
      <w:r w:rsidRPr="001B04C9">
        <w:t xml:space="preserve">Kommissionen bedömer att 5 000 miljoner euro kan göras tillgängliga under rubrik 1A, "Konkurrenskraft för tillväxt och sysselsättning”, genom att utnyttja marginalen under utgiftstaket för rubrik 2, ”Skydd och förvaltning av naturresurser”. </w:t>
      </w:r>
    </w:p>
    <w:p w:rsidR="001B04C9" w:rsidRPr="001B04C9" w:rsidRDefault="001B04C9">
      <w:r w:rsidRPr="001B04C9">
        <w:t xml:space="preserve">De tillgängliga marginalerna under rubrik 2 för 2008 och 2009 uppgår till 3 600 miljoner euro respektive 3 850 miljoner euro. </w:t>
      </w:r>
    </w:p>
    <w:p w:rsidR="001B04C9" w:rsidRPr="001B04C9" w:rsidRDefault="001B04C9">
      <w:r w:rsidRPr="001B04C9">
        <w:t>Den betydande marginal som förutses för 2009 beror främst på stora inkomster avsatta för särskilda ändamål. Dess inkomster beräknas uppgå till 1 050 miljoner euro under 2009, samt 1 340 miljoner euro som överförs från 2008. En annan förklaring till den betydande marginalen är den låga förväntade nivån på marknadsutgifterna. Förslaget är utformat så att det inte påverkar finansieringen av de utgifter som krävs inom den gemensamma jordbrukspolitiken.</w:t>
      </w:r>
    </w:p>
    <w:p w:rsidR="001B04C9" w:rsidRPr="001B04C9" w:rsidRDefault="001B04C9">
      <w:r w:rsidRPr="001B04C9">
        <w:t>Sammanfattningsvis föreslår kommissionen att de årliga taken för åtagandebemyndiganden under rubrik 1A ska ökas med 3 000 miljoner euro 2009 och med 2 000 miljoner euro 2010. Denna ökning kommer att kompenseras av en minskning av de årliga taken för åtagandebemyndiganden under rubrik 2 med 3 500 miljoner euro under 2008 och med 1 500 miljoner euro under 2009. I tabellen nedan sammanfattas de föreslagna ändringarna av taken i budgetramen. Beloppen uttrycks i löpande priser.</w:t>
      </w:r>
    </w:p>
    <w:p w:rsidR="001B04C9" w:rsidRPr="001B04C9" w:rsidRDefault="001B04C9"/>
    <w:tbl>
      <w:tblPr>
        <w:tblStyle w:val="Tabellrutnt"/>
        <w:tblW w:w="6269" w:type="dxa"/>
        <w:tblLayout w:type="fixed"/>
        <w:tblLook w:val="01E0" w:firstRow="1" w:lastRow="1" w:firstColumn="1" w:lastColumn="1" w:noHBand="0" w:noVBand="0"/>
      </w:tblPr>
      <w:tblGrid>
        <w:gridCol w:w="1016"/>
        <w:gridCol w:w="652"/>
        <w:gridCol w:w="674"/>
        <w:gridCol w:w="710"/>
        <w:gridCol w:w="709"/>
        <w:gridCol w:w="616"/>
        <w:gridCol w:w="567"/>
        <w:gridCol w:w="616"/>
        <w:gridCol w:w="709"/>
      </w:tblGrid>
      <w:tr w:rsidR="00000000" w:rsidRPr="001B04C9">
        <w:trPr>
          <w:trHeight w:val="556"/>
        </w:trPr>
        <w:tc>
          <w:tcPr>
            <w:tcW w:w="1016" w:type="dxa"/>
            <w:vAlign w:val="center"/>
          </w:tcPr>
          <w:p w:rsidR="001B04C9" w:rsidRPr="001B04C9" w:rsidRDefault="001B04C9">
            <w:r w:rsidRPr="001B04C9">
              <w:t>miljoner</w:t>
            </w:r>
            <w:r w:rsidRPr="001B04C9">
              <w:br/>
              <w:t>euro</w:t>
            </w:r>
          </w:p>
        </w:tc>
        <w:tc>
          <w:tcPr>
            <w:tcW w:w="652" w:type="dxa"/>
            <w:vAlign w:val="center"/>
          </w:tcPr>
          <w:p w:rsidR="001B04C9" w:rsidRPr="001B04C9" w:rsidRDefault="001B04C9">
            <w:r w:rsidRPr="001B04C9">
              <w:t>2007</w:t>
            </w:r>
          </w:p>
        </w:tc>
        <w:tc>
          <w:tcPr>
            <w:tcW w:w="674" w:type="dxa"/>
            <w:vAlign w:val="center"/>
          </w:tcPr>
          <w:p w:rsidR="001B04C9" w:rsidRPr="001B04C9" w:rsidRDefault="001B04C9">
            <w:r w:rsidRPr="001B04C9">
              <w:t>2008</w:t>
            </w:r>
          </w:p>
        </w:tc>
        <w:tc>
          <w:tcPr>
            <w:tcW w:w="710" w:type="dxa"/>
            <w:vAlign w:val="center"/>
          </w:tcPr>
          <w:p w:rsidR="001B04C9" w:rsidRPr="001B04C9" w:rsidRDefault="001B04C9">
            <w:r w:rsidRPr="001B04C9">
              <w:t>2009</w:t>
            </w:r>
          </w:p>
        </w:tc>
        <w:tc>
          <w:tcPr>
            <w:tcW w:w="709" w:type="dxa"/>
            <w:vAlign w:val="center"/>
          </w:tcPr>
          <w:p w:rsidR="001B04C9" w:rsidRPr="001B04C9" w:rsidRDefault="001B04C9">
            <w:r w:rsidRPr="001B04C9">
              <w:t>2010</w:t>
            </w:r>
          </w:p>
        </w:tc>
        <w:tc>
          <w:tcPr>
            <w:tcW w:w="616" w:type="dxa"/>
            <w:vAlign w:val="center"/>
          </w:tcPr>
          <w:p w:rsidR="001B04C9" w:rsidRPr="001B04C9" w:rsidRDefault="001B04C9">
            <w:r w:rsidRPr="001B04C9">
              <w:t>2011</w:t>
            </w:r>
          </w:p>
        </w:tc>
        <w:tc>
          <w:tcPr>
            <w:tcW w:w="567" w:type="dxa"/>
            <w:vAlign w:val="center"/>
          </w:tcPr>
          <w:p w:rsidR="001B04C9" w:rsidRPr="001B04C9" w:rsidRDefault="001B04C9">
            <w:r w:rsidRPr="001B04C9">
              <w:t>2012</w:t>
            </w:r>
          </w:p>
        </w:tc>
        <w:tc>
          <w:tcPr>
            <w:tcW w:w="616" w:type="dxa"/>
            <w:vAlign w:val="center"/>
          </w:tcPr>
          <w:p w:rsidR="001B04C9" w:rsidRPr="001B04C9" w:rsidRDefault="001B04C9">
            <w:r w:rsidRPr="001B04C9">
              <w:t>2013</w:t>
            </w:r>
          </w:p>
        </w:tc>
        <w:tc>
          <w:tcPr>
            <w:tcW w:w="709" w:type="dxa"/>
            <w:vAlign w:val="center"/>
          </w:tcPr>
          <w:p w:rsidR="001B04C9" w:rsidRPr="001B04C9" w:rsidRDefault="001B04C9">
            <w:r w:rsidRPr="001B04C9">
              <w:t>2007-2013</w:t>
            </w:r>
          </w:p>
        </w:tc>
      </w:tr>
      <w:tr w:rsidR="00000000" w:rsidRPr="001B04C9">
        <w:tc>
          <w:tcPr>
            <w:tcW w:w="1016" w:type="dxa"/>
            <w:vAlign w:val="center"/>
          </w:tcPr>
          <w:p w:rsidR="001B04C9" w:rsidRPr="001B04C9" w:rsidRDefault="001B04C9">
            <w:r w:rsidRPr="001B04C9">
              <w:t xml:space="preserve">Rubrik 1A </w:t>
            </w:r>
          </w:p>
        </w:tc>
        <w:tc>
          <w:tcPr>
            <w:tcW w:w="652" w:type="dxa"/>
            <w:vAlign w:val="center"/>
          </w:tcPr>
          <w:p w:rsidR="001B04C9" w:rsidRPr="001B04C9" w:rsidRDefault="001B04C9"/>
        </w:tc>
        <w:tc>
          <w:tcPr>
            <w:tcW w:w="674" w:type="dxa"/>
            <w:vAlign w:val="center"/>
          </w:tcPr>
          <w:p w:rsidR="001B04C9" w:rsidRPr="001B04C9" w:rsidRDefault="001B04C9"/>
        </w:tc>
        <w:tc>
          <w:tcPr>
            <w:tcW w:w="710" w:type="dxa"/>
            <w:vAlign w:val="center"/>
          </w:tcPr>
          <w:p w:rsidR="001B04C9" w:rsidRPr="001B04C9" w:rsidRDefault="001B04C9">
            <w:r w:rsidRPr="001B04C9">
              <w:t>3 000</w:t>
            </w:r>
          </w:p>
        </w:tc>
        <w:tc>
          <w:tcPr>
            <w:tcW w:w="709" w:type="dxa"/>
            <w:vAlign w:val="center"/>
          </w:tcPr>
          <w:p w:rsidR="001B04C9" w:rsidRPr="001B04C9" w:rsidRDefault="001B04C9">
            <w:r w:rsidRPr="001B04C9">
              <w:t>2 000</w:t>
            </w:r>
          </w:p>
        </w:tc>
        <w:tc>
          <w:tcPr>
            <w:tcW w:w="616" w:type="dxa"/>
            <w:vAlign w:val="center"/>
          </w:tcPr>
          <w:p w:rsidR="001B04C9" w:rsidRPr="001B04C9" w:rsidRDefault="001B04C9"/>
        </w:tc>
        <w:tc>
          <w:tcPr>
            <w:tcW w:w="567" w:type="dxa"/>
            <w:vAlign w:val="center"/>
          </w:tcPr>
          <w:p w:rsidR="001B04C9" w:rsidRPr="001B04C9" w:rsidRDefault="001B04C9"/>
        </w:tc>
        <w:tc>
          <w:tcPr>
            <w:tcW w:w="616" w:type="dxa"/>
            <w:vAlign w:val="center"/>
          </w:tcPr>
          <w:p w:rsidR="001B04C9" w:rsidRPr="001B04C9" w:rsidRDefault="001B04C9"/>
        </w:tc>
        <w:tc>
          <w:tcPr>
            <w:tcW w:w="709" w:type="dxa"/>
            <w:vAlign w:val="center"/>
          </w:tcPr>
          <w:p w:rsidR="001B04C9" w:rsidRPr="001B04C9" w:rsidRDefault="001B04C9">
            <w:r w:rsidRPr="001B04C9">
              <w:t>5 000</w:t>
            </w:r>
          </w:p>
        </w:tc>
      </w:tr>
      <w:tr w:rsidR="00000000" w:rsidRPr="001B04C9">
        <w:tc>
          <w:tcPr>
            <w:tcW w:w="1016" w:type="dxa"/>
            <w:vAlign w:val="center"/>
          </w:tcPr>
          <w:p w:rsidR="001B04C9" w:rsidRPr="001B04C9" w:rsidRDefault="001B04C9">
            <w:r w:rsidRPr="001B04C9">
              <w:t>Rubrik 2</w:t>
            </w:r>
          </w:p>
        </w:tc>
        <w:tc>
          <w:tcPr>
            <w:tcW w:w="652" w:type="dxa"/>
            <w:vAlign w:val="center"/>
          </w:tcPr>
          <w:p w:rsidR="001B04C9" w:rsidRPr="001B04C9" w:rsidRDefault="001B04C9"/>
        </w:tc>
        <w:tc>
          <w:tcPr>
            <w:tcW w:w="674" w:type="dxa"/>
            <w:vAlign w:val="center"/>
          </w:tcPr>
          <w:p w:rsidR="001B04C9" w:rsidRPr="001B04C9" w:rsidRDefault="001B04C9">
            <w:r w:rsidRPr="001B04C9">
              <w:t>-3 500</w:t>
            </w:r>
          </w:p>
        </w:tc>
        <w:tc>
          <w:tcPr>
            <w:tcW w:w="710" w:type="dxa"/>
            <w:vAlign w:val="center"/>
          </w:tcPr>
          <w:p w:rsidR="001B04C9" w:rsidRPr="001B04C9" w:rsidRDefault="001B04C9">
            <w:r w:rsidRPr="001B04C9">
              <w:t>-1 500</w:t>
            </w:r>
          </w:p>
        </w:tc>
        <w:tc>
          <w:tcPr>
            <w:tcW w:w="709" w:type="dxa"/>
            <w:vAlign w:val="center"/>
          </w:tcPr>
          <w:p w:rsidR="001B04C9" w:rsidRPr="001B04C9" w:rsidRDefault="001B04C9"/>
        </w:tc>
        <w:tc>
          <w:tcPr>
            <w:tcW w:w="616" w:type="dxa"/>
            <w:vAlign w:val="center"/>
          </w:tcPr>
          <w:p w:rsidR="001B04C9" w:rsidRPr="001B04C9" w:rsidRDefault="001B04C9"/>
        </w:tc>
        <w:tc>
          <w:tcPr>
            <w:tcW w:w="567" w:type="dxa"/>
            <w:vAlign w:val="center"/>
          </w:tcPr>
          <w:p w:rsidR="001B04C9" w:rsidRPr="001B04C9" w:rsidRDefault="001B04C9"/>
        </w:tc>
        <w:tc>
          <w:tcPr>
            <w:tcW w:w="616" w:type="dxa"/>
            <w:vAlign w:val="center"/>
          </w:tcPr>
          <w:p w:rsidR="001B04C9" w:rsidRPr="001B04C9" w:rsidRDefault="001B04C9"/>
        </w:tc>
        <w:tc>
          <w:tcPr>
            <w:tcW w:w="709" w:type="dxa"/>
            <w:vAlign w:val="center"/>
          </w:tcPr>
          <w:p w:rsidR="001B04C9" w:rsidRPr="001B04C9" w:rsidRDefault="001B04C9">
            <w:r w:rsidRPr="001B04C9">
              <w:t>-5 000</w:t>
            </w:r>
          </w:p>
        </w:tc>
      </w:tr>
      <w:tr w:rsidR="00000000" w:rsidRPr="001B04C9">
        <w:tc>
          <w:tcPr>
            <w:tcW w:w="1016" w:type="dxa"/>
            <w:vAlign w:val="center"/>
          </w:tcPr>
          <w:p w:rsidR="001B04C9" w:rsidRPr="001B04C9" w:rsidRDefault="001B04C9">
            <w:r w:rsidRPr="001B04C9">
              <w:t>Totalt</w:t>
            </w:r>
          </w:p>
        </w:tc>
        <w:tc>
          <w:tcPr>
            <w:tcW w:w="652" w:type="dxa"/>
            <w:vAlign w:val="center"/>
          </w:tcPr>
          <w:p w:rsidR="001B04C9" w:rsidRPr="001B04C9" w:rsidRDefault="001B04C9"/>
        </w:tc>
        <w:tc>
          <w:tcPr>
            <w:tcW w:w="674" w:type="dxa"/>
            <w:vAlign w:val="center"/>
          </w:tcPr>
          <w:p w:rsidR="001B04C9" w:rsidRPr="001B04C9" w:rsidRDefault="001B04C9">
            <w:r w:rsidRPr="001B04C9">
              <w:t>-3 500</w:t>
            </w:r>
          </w:p>
        </w:tc>
        <w:tc>
          <w:tcPr>
            <w:tcW w:w="710" w:type="dxa"/>
            <w:vAlign w:val="center"/>
          </w:tcPr>
          <w:p w:rsidR="001B04C9" w:rsidRPr="001B04C9" w:rsidRDefault="001B04C9">
            <w:r w:rsidRPr="001B04C9">
              <w:t>1 500</w:t>
            </w:r>
          </w:p>
        </w:tc>
        <w:tc>
          <w:tcPr>
            <w:tcW w:w="709" w:type="dxa"/>
            <w:vAlign w:val="center"/>
          </w:tcPr>
          <w:p w:rsidR="001B04C9" w:rsidRPr="001B04C9" w:rsidRDefault="001B04C9">
            <w:r w:rsidRPr="001B04C9">
              <w:t>2 000</w:t>
            </w:r>
          </w:p>
        </w:tc>
        <w:tc>
          <w:tcPr>
            <w:tcW w:w="616" w:type="dxa"/>
            <w:vAlign w:val="center"/>
          </w:tcPr>
          <w:p w:rsidR="001B04C9" w:rsidRPr="001B04C9" w:rsidRDefault="001B04C9"/>
        </w:tc>
        <w:tc>
          <w:tcPr>
            <w:tcW w:w="567" w:type="dxa"/>
            <w:vAlign w:val="center"/>
          </w:tcPr>
          <w:p w:rsidR="001B04C9" w:rsidRPr="001B04C9" w:rsidRDefault="001B04C9"/>
        </w:tc>
        <w:tc>
          <w:tcPr>
            <w:tcW w:w="616" w:type="dxa"/>
            <w:vAlign w:val="center"/>
          </w:tcPr>
          <w:p w:rsidR="001B04C9" w:rsidRPr="001B04C9" w:rsidRDefault="001B04C9"/>
        </w:tc>
        <w:tc>
          <w:tcPr>
            <w:tcW w:w="709" w:type="dxa"/>
            <w:vAlign w:val="center"/>
          </w:tcPr>
          <w:p w:rsidR="001B04C9" w:rsidRPr="001B04C9" w:rsidRDefault="001B04C9">
            <w:r w:rsidRPr="001B04C9">
              <w:t>0</w:t>
            </w:r>
          </w:p>
        </w:tc>
      </w:tr>
    </w:tbl>
    <w:p w:rsidR="001B04C9" w:rsidRPr="001B04C9" w:rsidRDefault="001B04C9">
      <w:pPr>
        <w:pStyle w:val="Rubrik2"/>
      </w:pPr>
      <w:r w:rsidRPr="001B04C9">
        <w:t>Gällande svenska regler och förslagets effekt på dessa</w:t>
      </w:r>
    </w:p>
    <w:p w:rsidR="001B04C9" w:rsidRPr="001B04C9" w:rsidRDefault="001B04C9">
      <w:r w:rsidRPr="001B04C9">
        <w:t>-</w:t>
      </w:r>
    </w:p>
    <w:p w:rsidR="001B04C9" w:rsidRPr="001B04C9" w:rsidRDefault="001B04C9">
      <w:pPr>
        <w:pStyle w:val="Rubrik2"/>
      </w:pPr>
      <w:r w:rsidRPr="001B04C9">
        <w:t>Budgetära konsekvenser / Konsekvensanalys</w:t>
      </w:r>
    </w:p>
    <w:p w:rsidR="001B04C9" w:rsidRPr="001B04C9" w:rsidRDefault="001B04C9">
      <w:r w:rsidRPr="001B04C9">
        <w:t xml:space="preserve">De budgetära konsekvenserna av förslaget blir att utrymme under taken i kategori 2 som inte har använts eller kommer att användas dels förs framåt i tiden, dels förs till en kategori (1A) där utnyttjandet med största sannolikhet kommer att bli uppemot 100 procent. </w:t>
      </w:r>
    </w:p>
    <w:p w:rsidR="001B04C9" w:rsidRPr="001B04C9" w:rsidRDefault="001B04C9">
      <w:r w:rsidRPr="001B04C9">
        <w:t>Förslaget är således inte budgetneutralt utan kommer att få genomslag på den svenska EU-avgiften. Totalt kommer förslaget innebära kostnader för den svenska statsbudgeten (via EU-avgiften) om cirka 1 400 miljoner kronor underperioden 2009-2010..</w:t>
      </w:r>
    </w:p>
    <w:p w:rsidR="001B04C9" w:rsidRPr="001B04C9" w:rsidRDefault="001B04C9">
      <w:pPr>
        <w:pStyle w:val="Rubrik1"/>
      </w:pPr>
      <w:r w:rsidRPr="001B04C9">
        <w:t>Ståndpunkter</w:t>
      </w:r>
    </w:p>
    <w:p w:rsidR="001B04C9" w:rsidRPr="001B04C9" w:rsidRDefault="001B04C9">
      <w:pPr>
        <w:pStyle w:val="Rubrik2"/>
      </w:pPr>
      <w:r w:rsidRPr="001B04C9">
        <w:t>Preliminär svensk ståndpunkt</w:t>
      </w:r>
    </w:p>
    <w:p w:rsidR="001B04C9" w:rsidRPr="001B04C9" w:rsidRDefault="001B04C9">
      <w:r w:rsidRPr="001B04C9">
        <w:t>Regeringen menar att det är viktigt att respektera den fleråriga budgetramen och tolkar Europeiska rådets Europeiska rådets slutsatser från december 2008 som att en revidering av budgetramen inte är aktuell.</w:t>
      </w:r>
    </w:p>
    <w:p w:rsidR="001B04C9" w:rsidRPr="001B04C9" w:rsidRDefault="001B04C9">
      <w:r w:rsidRPr="001B04C9">
        <w:t>Regeringen anser vidare att det är viktigt att hantera diskussionen om inriktningen på stimulansåtgärderna samlat med finansieringsfrågan. Kommissionens förslag är inte tillräckligt utvecklat för att värdet av de föreslagna projekten ska kunna säkerställas.</w:t>
      </w:r>
    </w:p>
    <w:p w:rsidR="001B04C9" w:rsidRPr="001B04C9" w:rsidRDefault="001B04C9">
      <w:pPr>
        <w:pStyle w:val="Rubrik2"/>
      </w:pPr>
      <w:r w:rsidRPr="001B04C9">
        <w:t>Medlemsstaternas ståndpunkter</w:t>
      </w:r>
    </w:p>
    <w:p w:rsidR="001B04C9" w:rsidRPr="001B04C9" w:rsidRDefault="001B04C9">
      <w:r w:rsidRPr="001B04C9">
        <w:t>Ett flertal länder motsatte sig förslaget i slutet av december 2008 med hänvisning till att mer information om de tilltänkta projekten var nödvändig innan beslut fattades.</w:t>
      </w:r>
    </w:p>
    <w:p w:rsidR="001B04C9" w:rsidRPr="001B04C9" w:rsidRDefault="001B04C9">
      <w:pPr>
        <w:pStyle w:val="Rubrik2"/>
      </w:pPr>
      <w:r w:rsidRPr="001B04C9">
        <w:t>Institutionernas ståndpunkter</w:t>
      </w:r>
    </w:p>
    <w:p w:rsidR="001B04C9" w:rsidRPr="001B04C9" w:rsidRDefault="001B04C9">
      <w:r w:rsidRPr="001B04C9">
        <w:t>Europaparlamentets ståndpunkt är ännu inte känd.</w:t>
      </w:r>
    </w:p>
    <w:p w:rsidR="001B04C9" w:rsidRPr="001B04C9" w:rsidRDefault="001B04C9">
      <w:pPr>
        <w:pStyle w:val="Rubrik2"/>
      </w:pPr>
      <w:r w:rsidRPr="001B04C9">
        <w:t>Remissinstansernas ståndpunkter</w:t>
      </w:r>
    </w:p>
    <w:p w:rsidR="001B04C9" w:rsidRPr="001B04C9" w:rsidRDefault="001B04C9">
      <w:r w:rsidRPr="001B04C9">
        <w:t>-</w:t>
      </w:r>
    </w:p>
    <w:p w:rsidR="001B04C9" w:rsidRPr="001B04C9" w:rsidRDefault="001B04C9">
      <w:pPr>
        <w:pStyle w:val="Rubrik1"/>
      </w:pPr>
      <w:r w:rsidRPr="001B04C9">
        <w:t>Förslagets förutsättningar</w:t>
      </w:r>
    </w:p>
    <w:p w:rsidR="001B04C9" w:rsidRPr="001B04C9" w:rsidRDefault="001B04C9">
      <w:pPr>
        <w:pStyle w:val="Rubrik2"/>
      </w:pPr>
      <w:r w:rsidRPr="001B04C9">
        <w:t>Rättslig grund och beslutsförfarande</w:t>
      </w:r>
    </w:p>
    <w:p w:rsidR="001B04C9" w:rsidRPr="001B04C9" w:rsidRDefault="001B04C9">
      <w:r w:rsidRPr="001B04C9">
        <w:t>Beslut om att revidera taken i den fleråriga budgetramen beslutas gemensamt av budgetmyndighetens två parter (rådet och Europaparlamentet) i linje med punkt 21 - 23 i det interinstitutionella avtalet om budgetdisciplin och sund ekonomisk förvaltning (IIA).</w:t>
      </w:r>
    </w:p>
    <w:p w:rsidR="001B04C9" w:rsidRPr="001B04C9" w:rsidRDefault="001B04C9">
      <w:r w:rsidRPr="001B04C9">
        <w:t>Europaparlamentet beslutar med en majoritet av dess ledamöter och tre femtedelar av de avgivna rösterna. Rådet beslutar med kvalificerad majoritet i fall som rör belopp upp till och med 0,03 procent av EU:s BNI. I fall som rör belopp större än 0,03 procent av EU:s BNI beslutar rådet med enhällighet. I det nu aktuella fallet är kvalificerad majoritet aktuell i rådet.</w:t>
      </w:r>
    </w:p>
    <w:p w:rsidR="001B04C9" w:rsidRPr="001B04C9" w:rsidRDefault="001B04C9">
      <w:pPr>
        <w:pStyle w:val="Rubrik2"/>
      </w:pPr>
      <w:r w:rsidRPr="001B04C9">
        <w:t>Subsidiaritets- och proportionalitetsprincipen</w:t>
      </w:r>
    </w:p>
    <w:p w:rsidR="001B04C9" w:rsidRPr="001B04C9" w:rsidRDefault="001B04C9">
      <w:r w:rsidRPr="001B04C9">
        <w:t>Kommissionen har inte kommenterat subsidiaritets- eller proportionalitetsprincipen i sitt meddelande. Regeringen gör bedömningen att detta inte heller är nödvändigt. Däremot bör principerna prövas för de projekt som revideringen är avsedd att finansiera.</w:t>
      </w:r>
    </w:p>
    <w:p w:rsidR="001B04C9" w:rsidRPr="001B04C9" w:rsidRDefault="001B04C9">
      <w:pPr>
        <w:pStyle w:val="Rubrik1"/>
      </w:pPr>
      <w:r w:rsidRPr="001B04C9">
        <w:t>Övrigt</w:t>
      </w:r>
    </w:p>
    <w:p w:rsidR="001B04C9" w:rsidRPr="001B04C9" w:rsidRDefault="001B04C9">
      <w:pPr>
        <w:pStyle w:val="Rubrik2"/>
      </w:pPr>
      <w:r w:rsidRPr="001B04C9">
        <w:t>Fortsatt behandling av ärendet</w:t>
      </w:r>
    </w:p>
    <w:p w:rsidR="001B04C9" w:rsidRPr="001B04C9" w:rsidRDefault="001B04C9">
      <w:r w:rsidRPr="001B04C9">
        <w:t>Rådet kommer hantera ärendet kommande månader och därefter måste rådet enas med Europaparlamentet för att revideringen ska vara möjlig.</w:t>
      </w:r>
    </w:p>
    <w:p w:rsidR="001B04C9" w:rsidRPr="001B04C9" w:rsidRDefault="001B04C9">
      <w:pPr>
        <w:pStyle w:val="Rubrik2"/>
      </w:pPr>
      <w:r w:rsidRPr="001B04C9">
        <w:t>Fackuttryck/termer</w:t>
      </w:r>
    </w:p>
    <w:p w:rsidR="001B04C9" w:rsidRPr="001B04C9" w:rsidRDefault="001B04C9">
      <w:r w:rsidRPr="001B04C9">
        <w:rPr>
          <w:b/>
          <w:i/>
        </w:rPr>
        <w:t>Fleråriga budgetramen:</w:t>
      </w:r>
      <w:r w:rsidRPr="001B04C9">
        <w:t xml:space="preserve"> Den fleråriga budgetramen (2007-2013) är indelad i 5 budgetkategorier (med vissa underkategorier), se tabell nedan. Dessa tak får inte överskridas. Medel får heller inte flyttas mellan kategorierna. Finansiering av energinätverk och bredband finansieras idag i kategori 1a. Övriga program inom kategori 1a är bland annat forskningsprogrammet, programmet för livslångt lärandet och transeuropeiska nätverk (infrastruktur).</w:t>
      </w:r>
    </w:p>
    <w:p w:rsidR="001B04C9" w:rsidRPr="001B04C9" w:rsidRDefault="001B04C9"/>
    <w:p w:rsidR="001B04C9" w:rsidRPr="001B04C9" w:rsidRDefault="001B04C9"/>
    <w:p w:rsidR="001B04C9" w:rsidRPr="001B04C9" w:rsidRDefault="001B04C9"/>
    <w:p w:rsidR="001B04C9" w:rsidRPr="001B04C9" w:rsidRDefault="001B04C9"/>
    <w:p w:rsidR="001B04C9" w:rsidRPr="001B04C9" w:rsidRDefault="001B04C9"/>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8"/>
        <w:gridCol w:w="3476"/>
        <w:gridCol w:w="792"/>
        <w:gridCol w:w="950"/>
      </w:tblGrid>
      <w:tr w:rsidR="00000000" w:rsidRPr="001B04C9">
        <w:trPr>
          <w:cantSplit/>
          <w:trHeight w:hRule="exact" w:val="284"/>
        </w:trPr>
        <w:tc>
          <w:tcPr>
            <w:tcW w:w="675" w:type="dxa"/>
            <w:tcBorders>
              <w:top w:val="single" w:sz="4" w:space="0" w:color="auto"/>
              <w:left w:val="single" w:sz="4" w:space="0" w:color="auto"/>
            </w:tcBorders>
            <w:vAlign w:val="center"/>
          </w:tcPr>
          <w:p w:rsidR="001B04C9" w:rsidRPr="001B04C9" w:rsidRDefault="001B04C9">
            <w:r w:rsidRPr="001B04C9">
              <w:t>1a</w:t>
            </w:r>
          </w:p>
        </w:tc>
        <w:tc>
          <w:tcPr>
            <w:tcW w:w="4395" w:type="dxa"/>
            <w:gridSpan w:val="2"/>
            <w:tcBorders>
              <w:top w:val="single" w:sz="4" w:space="0" w:color="auto"/>
            </w:tcBorders>
            <w:vAlign w:val="center"/>
          </w:tcPr>
          <w:p w:rsidR="001B04C9" w:rsidRPr="001B04C9" w:rsidRDefault="001B04C9">
            <w:r w:rsidRPr="001B04C9">
              <w:t>Konkurrenskraft för tillväxt och sysselsättning</w:t>
            </w:r>
          </w:p>
        </w:tc>
        <w:tc>
          <w:tcPr>
            <w:tcW w:w="966" w:type="dxa"/>
            <w:tcBorders>
              <w:top w:val="single" w:sz="4" w:space="0" w:color="auto"/>
              <w:right w:val="single" w:sz="4" w:space="0" w:color="auto"/>
            </w:tcBorders>
            <w:vAlign w:val="center"/>
          </w:tcPr>
          <w:p w:rsidR="001B04C9" w:rsidRPr="001B04C9" w:rsidRDefault="001B04C9">
            <w:r w:rsidRPr="001B04C9">
              <w:t>74</w:t>
            </w:r>
          </w:p>
        </w:tc>
      </w:tr>
      <w:tr w:rsidR="00000000" w:rsidRPr="001B04C9">
        <w:trPr>
          <w:cantSplit/>
          <w:trHeight w:hRule="exact" w:val="284"/>
        </w:trPr>
        <w:tc>
          <w:tcPr>
            <w:tcW w:w="675" w:type="dxa"/>
            <w:tcBorders>
              <w:left w:val="single" w:sz="4" w:space="0" w:color="auto"/>
            </w:tcBorders>
          </w:tcPr>
          <w:p w:rsidR="001B04C9" w:rsidRPr="001B04C9" w:rsidRDefault="001B04C9">
            <w:r w:rsidRPr="001B04C9">
              <w:t>1b</w:t>
            </w:r>
          </w:p>
        </w:tc>
        <w:tc>
          <w:tcPr>
            <w:tcW w:w="4395" w:type="dxa"/>
            <w:gridSpan w:val="2"/>
          </w:tcPr>
          <w:p w:rsidR="001B04C9" w:rsidRPr="001B04C9" w:rsidRDefault="001B04C9">
            <w:r w:rsidRPr="001B04C9">
              <w:t>Sammanhållning för tillväxt och sysselsättning</w:t>
            </w:r>
          </w:p>
        </w:tc>
        <w:tc>
          <w:tcPr>
            <w:tcW w:w="966" w:type="dxa"/>
            <w:tcBorders>
              <w:right w:val="single" w:sz="4" w:space="0" w:color="auto"/>
            </w:tcBorders>
          </w:tcPr>
          <w:p w:rsidR="001B04C9" w:rsidRPr="001B04C9" w:rsidRDefault="001B04C9">
            <w:r w:rsidRPr="001B04C9">
              <w:t>308</w:t>
            </w:r>
          </w:p>
        </w:tc>
      </w:tr>
      <w:tr w:rsidR="00000000" w:rsidRPr="001B04C9">
        <w:trPr>
          <w:cantSplit/>
          <w:trHeight w:hRule="exact" w:val="518"/>
        </w:trPr>
        <w:tc>
          <w:tcPr>
            <w:tcW w:w="675" w:type="dxa"/>
            <w:tcBorders>
              <w:left w:val="single" w:sz="4" w:space="0" w:color="auto"/>
            </w:tcBorders>
          </w:tcPr>
          <w:p w:rsidR="001B04C9" w:rsidRPr="001B04C9" w:rsidRDefault="001B04C9">
            <w:r w:rsidRPr="001B04C9">
              <w:t>2</w:t>
            </w:r>
          </w:p>
        </w:tc>
        <w:tc>
          <w:tcPr>
            <w:tcW w:w="4395" w:type="dxa"/>
            <w:gridSpan w:val="2"/>
          </w:tcPr>
          <w:p w:rsidR="001B04C9" w:rsidRPr="001B04C9" w:rsidRDefault="001B04C9">
            <w:r w:rsidRPr="001B04C9">
              <w:t>Skydd och förvaltning av naturresurser (inklusive jord</w:t>
            </w:r>
            <w:r w:rsidRPr="001B04C9">
              <w:softHyphen/>
              <w:t>bruks</w:t>
            </w:r>
            <w:r w:rsidRPr="001B04C9">
              <w:softHyphen/>
              <w:t>politiken)</w:t>
            </w:r>
          </w:p>
        </w:tc>
        <w:tc>
          <w:tcPr>
            <w:tcW w:w="966" w:type="dxa"/>
            <w:tcBorders>
              <w:right w:val="single" w:sz="4" w:space="0" w:color="auto"/>
            </w:tcBorders>
          </w:tcPr>
          <w:p w:rsidR="001B04C9" w:rsidRPr="001B04C9" w:rsidRDefault="001B04C9">
            <w:r w:rsidRPr="001B04C9">
              <w:t>371</w:t>
            </w:r>
          </w:p>
        </w:tc>
      </w:tr>
      <w:tr w:rsidR="00000000" w:rsidRPr="001B04C9">
        <w:trPr>
          <w:cantSplit/>
          <w:trHeight w:hRule="exact" w:val="284"/>
        </w:trPr>
        <w:tc>
          <w:tcPr>
            <w:tcW w:w="675" w:type="dxa"/>
            <w:tcBorders>
              <w:left w:val="single" w:sz="4" w:space="0" w:color="auto"/>
            </w:tcBorders>
          </w:tcPr>
          <w:p w:rsidR="001B04C9" w:rsidRPr="001B04C9" w:rsidRDefault="001B04C9">
            <w:r w:rsidRPr="001B04C9">
              <w:t>3</w:t>
            </w:r>
          </w:p>
        </w:tc>
        <w:tc>
          <w:tcPr>
            <w:tcW w:w="4395" w:type="dxa"/>
            <w:gridSpan w:val="2"/>
          </w:tcPr>
          <w:p w:rsidR="001B04C9" w:rsidRPr="001B04C9" w:rsidRDefault="001B04C9">
            <w:r w:rsidRPr="001B04C9">
              <w:t>Medborgarskap, frihet, säkerhet och rättvisa</w:t>
            </w:r>
          </w:p>
        </w:tc>
        <w:tc>
          <w:tcPr>
            <w:tcW w:w="966" w:type="dxa"/>
            <w:tcBorders>
              <w:right w:val="single" w:sz="4" w:space="0" w:color="auto"/>
            </w:tcBorders>
          </w:tcPr>
          <w:p w:rsidR="001B04C9" w:rsidRPr="001B04C9" w:rsidRDefault="001B04C9">
            <w:r w:rsidRPr="001B04C9">
              <w:t>11</w:t>
            </w:r>
          </w:p>
        </w:tc>
      </w:tr>
      <w:tr w:rsidR="00000000" w:rsidRPr="001B04C9">
        <w:trPr>
          <w:cantSplit/>
          <w:trHeight w:hRule="exact" w:val="284"/>
        </w:trPr>
        <w:tc>
          <w:tcPr>
            <w:tcW w:w="675" w:type="dxa"/>
            <w:tcBorders>
              <w:left w:val="single" w:sz="4" w:space="0" w:color="auto"/>
            </w:tcBorders>
          </w:tcPr>
          <w:p w:rsidR="001B04C9" w:rsidRPr="001B04C9" w:rsidRDefault="001B04C9">
            <w:r w:rsidRPr="001B04C9">
              <w:t>4</w:t>
            </w:r>
          </w:p>
        </w:tc>
        <w:tc>
          <w:tcPr>
            <w:tcW w:w="4395" w:type="dxa"/>
            <w:gridSpan w:val="2"/>
          </w:tcPr>
          <w:p w:rsidR="001B04C9" w:rsidRPr="001B04C9" w:rsidRDefault="001B04C9">
            <w:r w:rsidRPr="001B04C9">
              <w:t>EU som global partner</w:t>
            </w:r>
          </w:p>
        </w:tc>
        <w:tc>
          <w:tcPr>
            <w:tcW w:w="966" w:type="dxa"/>
            <w:tcBorders>
              <w:right w:val="single" w:sz="4" w:space="0" w:color="auto"/>
            </w:tcBorders>
          </w:tcPr>
          <w:p w:rsidR="001B04C9" w:rsidRPr="001B04C9" w:rsidRDefault="001B04C9">
            <w:r w:rsidRPr="001B04C9">
              <w:t>49</w:t>
            </w:r>
          </w:p>
        </w:tc>
      </w:tr>
      <w:tr w:rsidR="00000000" w:rsidRPr="001B04C9">
        <w:trPr>
          <w:cantSplit/>
          <w:trHeight w:hRule="exact" w:val="284"/>
        </w:trPr>
        <w:tc>
          <w:tcPr>
            <w:tcW w:w="675" w:type="dxa"/>
            <w:tcBorders>
              <w:left w:val="single" w:sz="4" w:space="0" w:color="auto"/>
            </w:tcBorders>
          </w:tcPr>
          <w:p w:rsidR="001B04C9" w:rsidRPr="001B04C9" w:rsidRDefault="001B04C9">
            <w:r w:rsidRPr="001B04C9">
              <w:t>5</w:t>
            </w:r>
          </w:p>
        </w:tc>
        <w:tc>
          <w:tcPr>
            <w:tcW w:w="4395" w:type="dxa"/>
            <w:gridSpan w:val="2"/>
          </w:tcPr>
          <w:p w:rsidR="001B04C9" w:rsidRPr="001B04C9" w:rsidRDefault="001B04C9">
            <w:r w:rsidRPr="001B04C9">
              <w:t>Administration</w:t>
            </w:r>
          </w:p>
        </w:tc>
        <w:tc>
          <w:tcPr>
            <w:tcW w:w="966" w:type="dxa"/>
            <w:tcBorders>
              <w:right w:val="single" w:sz="4" w:space="0" w:color="auto"/>
            </w:tcBorders>
          </w:tcPr>
          <w:p w:rsidR="001B04C9" w:rsidRPr="001B04C9" w:rsidRDefault="001B04C9">
            <w:r w:rsidRPr="001B04C9">
              <w:t>50</w:t>
            </w:r>
          </w:p>
        </w:tc>
      </w:tr>
      <w:tr w:rsidR="00000000" w:rsidRPr="001B04C9">
        <w:trPr>
          <w:cantSplit/>
          <w:trHeight w:hRule="exact" w:val="284"/>
        </w:trPr>
        <w:tc>
          <w:tcPr>
            <w:tcW w:w="675" w:type="dxa"/>
            <w:tcBorders>
              <w:left w:val="single" w:sz="4" w:space="0" w:color="auto"/>
              <w:bottom w:val="single" w:sz="4" w:space="0" w:color="auto"/>
            </w:tcBorders>
          </w:tcPr>
          <w:p w:rsidR="001B04C9" w:rsidRPr="001B04C9" w:rsidRDefault="001B04C9">
            <w:r w:rsidRPr="001B04C9">
              <w:t>Totalt</w:t>
            </w:r>
          </w:p>
        </w:tc>
        <w:tc>
          <w:tcPr>
            <w:tcW w:w="4395" w:type="dxa"/>
            <w:gridSpan w:val="2"/>
            <w:tcBorders>
              <w:bottom w:val="single" w:sz="4" w:space="0" w:color="auto"/>
            </w:tcBorders>
          </w:tcPr>
          <w:p w:rsidR="001B04C9" w:rsidRPr="001B04C9" w:rsidRDefault="001B04C9"/>
        </w:tc>
        <w:tc>
          <w:tcPr>
            <w:tcW w:w="966" w:type="dxa"/>
            <w:tcBorders>
              <w:bottom w:val="single" w:sz="4" w:space="0" w:color="auto"/>
              <w:right w:val="single" w:sz="4" w:space="0" w:color="auto"/>
            </w:tcBorders>
          </w:tcPr>
          <w:p w:rsidR="001B04C9" w:rsidRPr="001B04C9" w:rsidRDefault="001B04C9">
            <w:r w:rsidRPr="001B04C9">
              <w:t>864</w:t>
            </w:r>
          </w:p>
        </w:tc>
      </w:tr>
      <w:tr w:rsidR="00000000" w:rsidRPr="001B04C9">
        <w:trPr>
          <w:gridAfter w:val="2"/>
          <w:wAfter w:w="1783" w:type="dxa"/>
        </w:trPr>
        <w:tc>
          <w:tcPr>
            <w:tcW w:w="4253" w:type="dxa"/>
            <w:gridSpan w:val="2"/>
          </w:tcPr>
          <w:p w:rsidR="001B04C9" w:rsidRPr="001B04C9" w:rsidRDefault="001B04C9">
            <w:r w:rsidRPr="001B04C9">
              <w:t>åtagandenivå i miljarder euro, 2004-års priser</w:t>
            </w:r>
          </w:p>
        </w:tc>
      </w:tr>
    </w:tbl>
    <w:p w:rsidR="001B04C9" w:rsidRPr="001B04C9" w:rsidRDefault="001B04C9">
      <w:r w:rsidRPr="001B04C9">
        <w:rPr>
          <w:b/>
          <w:i/>
        </w:rPr>
        <w:t>Interinstitutionella avtalet (IIA):</w:t>
      </w:r>
      <w:r w:rsidRPr="001B04C9">
        <w:t xml:space="preserve"> Den fleråriga budgetramen är inte fördragsfäst utan fastställs därför i ett avtal mellan institutionerna: rådet, europarlamentet och kommissionen, som därmed förbinder sig att följa innehållet. Bakgrunden till IIA om budgetramen är de tidigare mycket besvärliga årsbudgetförhandlingarna.</w:t>
      </w:r>
    </w:p>
    <w:p w:rsidR="001B04C9" w:rsidRPr="001B04C9" w:rsidRDefault="001B04C9"/>
    <w:sectPr w:rsidR="00000000" w:rsidRPr="001B04C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4C9" w:rsidRPr="001B04C9" w:rsidRDefault="001B04C9">
      <w:r w:rsidRPr="001B04C9">
        <w:separator/>
      </w:r>
    </w:p>
  </w:endnote>
  <w:endnote w:type="continuationSeparator" w:id="0">
    <w:p w:rsidR="001B04C9" w:rsidRPr="001B04C9" w:rsidRDefault="001B04C9">
      <w:r w:rsidRPr="001B0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fotH"/>
      <w:framePr w:wrap="around"/>
    </w:pPr>
    <w:r w:rsidRPr="001B04C9">
      <w:t>5</w:t>
    </w:r>
  </w:p>
  <w:p w:rsidR="001B04C9" w:rsidRPr="001B04C9" w:rsidRDefault="001B04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fotH"/>
      <w:framePr w:wrap="around"/>
    </w:pPr>
    <w:r w:rsidRPr="001B04C9">
      <w:t>1</w:t>
    </w:r>
  </w:p>
  <w:p w:rsidR="001B04C9" w:rsidRPr="001B04C9" w:rsidRDefault="001B0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4C9" w:rsidRPr="001B04C9" w:rsidRDefault="001B04C9">
      <w:r w:rsidRPr="001B04C9">
        <w:separator/>
      </w:r>
    </w:p>
  </w:footnote>
  <w:footnote w:type="continuationSeparator" w:id="0">
    <w:p w:rsidR="001B04C9" w:rsidRPr="001B04C9" w:rsidRDefault="001B04C9">
      <w:r w:rsidRPr="001B04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Kantrubrik"/>
      <w:framePr w:h="1157" w:hRule="exact" w:wrap="around" w:y="738"/>
    </w:pPr>
    <w:r w:rsidRPr="001B04C9">
      <w:t>2008/09:FPM72</w:t>
    </w:r>
  </w:p>
  <w:p w:rsidR="001B04C9" w:rsidRPr="001B04C9" w:rsidRDefault="001B04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4C9" w:rsidRPr="001B04C9" w:rsidRDefault="001B04C9">
    <w:pPr>
      <w:pStyle w:val="Sidhuvud"/>
    </w:pPr>
    <w:r w:rsidRPr="001B04C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53425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C9" w:rsidRDefault="001B04C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B04C9" w:rsidRDefault="001B04C9">
                    <w:pPr>
                      <w:pStyle w:val="Logo"/>
                    </w:pPr>
                    <w:r>
                      <w:object w:dxaOrig="840" w:dyaOrig="1545">
                        <v:shape id="_x0000_i1025" type="#_x0000_t75" style="width:42pt;height:77.5pt" filled="t">
                          <v:imagedata r:id="rId1" o:title=""/>
                        </v:shape>
                        <o:OLEObject Type="Embed" ProgID="Word.Picture.8" ShapeID="_x0000_i1025" DrawAspect="Content" ObjectID="_18275103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26267161">
    <w:abstractNumId w:val="4"/>
  </w:num>
  <w:num w:numId="2" w16cid:durableId="358357872">
    <w:abstractNumId w:val="1"/>
  </w:num>
  <w:num w:numId="3" w16cid:durableId="1459227826">
    <w:abstractNumId w:val="2"/>
  </w:num>
  <w:num w:numId="4" w16cid:durableId="1125393725">
    <w:abstractNumId w:val="3"/>
  </w:num>
  <w:num w:numId="5" w16cid:durableId="1459031860">
    <w:abstractNumId w:val="5"/>
  </w:num>
  <w:num w:numId="6" w16cid:durableId="164970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7"/>
    <w:docVar w:name="Ar" w:val="2008/09"/>
    <w:docVar w:name="Dep" w:val="Finansdepartementet"/>
    <w:docVar w:name="DepWeb" w:val="Finansdepartementet"/>
    <w:docVar w:name="GDB1" w:val="KOM (2008) 8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revidering av den fleråriga budgetramen (2007-2013) Förslag till Europaparlamentets och rådets beslut om ändring av den fleråriga budgetramen enligt det interinstitutionella avtalet av den 17 maj 2006 om budgetdisciplin och sund ekonomisk förval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59"/>
    <w:docVar w:name="Nr" w:val="72"/>
    <w:docVar w:name="RD_APPVERSION" w:val="3.00"/>
    <w:docVar w:name="Rub" w:val="Meddelande om revidering av den fleråriga budgetramen"/>
    <w:docVar w:name="UppDat" w:val="2009-02-17"/>
    <w:docVar w:name="Utsk" w:val="Finansutskottet"/>
  </w:docVars>
  <w:rsids>
    <w:rsidRoot w:val="00F40EAC"/>
    <w:rsid w:val="001B04C9"/>
    <w:rsid w:val="00F40EA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0734ED-6F62-4327-BACB-067434D8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pacing w:after="240"/>
      <w:jc w:val="both"/>
    </w:pPr>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1206</Words>
  <Characters>7339</Characters>
  <Application>Microsoft Office Word</Application>
  <DocSecurity>4</DocSecurity>
  <Lines>215</Lines>
  <Paragraphs>108</Paragraphs>
  <ScaleCrop>false</ScaleCrop>
  <HeadingPairs>
    <vt:vector size="2" baseType="variant">
      <vt:variant>
        <vt:lpstr>Rubrik</vt:lpstr>
      </vt:variant>
      <vt:variant>
        <vt:i4>1</vt:i4>
      </vt:variant>
    </vt:vector>
  </HeadingPairs>
  <TitlesOfParts>
    <vt:vector size="1" baseType="lpstr">
      <vt:lpstr>FPM_200809__72</vt:lpstr>
    </vt:vector>
  </TitlesOfParts>
  <Company>RD-DTSL</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FPM_200809__72</dc:title>
  <dc:subject>FPM_200809__72</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2009-02-17T09:16:00Z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KOM (2008) 859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revidering av den fleråriga budgetramen</vt:lpwstr>
  </property>
  <property fmtid="{D5CDD505-2E9C-101B-9397-08002B2CF9AE}" pid="8" name="UppDat">
    <vt:lpwstr>2009-02-17</vt:lpwstr>
  </property>
  <property fmtid="{D5CDD505-2E9C-101B-9397-08002B2CF9AE}" pid="9" name="AnkDat">
    <vt:lpwstr>2009-02-17</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6;0;0;256</vt:lpwstr>
  </property>
  <property fmtid="{D5CDD505-2E9C-101B-9397-08002B2CF9AE}" pid="42" name="Sprak">
    <vt:lpwstr>Svenska</vt:lpwstr>
  </property>
  <property fmtid="{D5CDD505-2E9C-101B-9397-08002B2CF9AE}" pid="43" name="DokID">
    <vt:i4>80</vt:i4>
  </property>
</Properties>
</file>