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41A1D">
        <w:tblPrEx>
          <w:tblCellMar>
            <w:top w:w="0" w:type="dxa"/>
            <w:bottom w:w="0" w:type="dxa"/>
          </w:tblCellMar>
        </w:tblPrEx>
        <w:trPr>
          <w:cantSplit/>
          <w:trHeight w:val="1720"/>
        </w:trPr>
        <w:tc>
          <w:tcPr>
            <w:tcW w:w="6024" w:type="dxa"/>
            <w:gridSpan w:val="2"/>
          </w:tcPr>
          <w:p w:rsidR="0080157C" w:rsidRPr="00141A1D" w:rsidRDefault="0080157C">
            <w:pPr>
              <w:pStyle w:val="HuvudRubrik"/>
            </w:pPr>
            <w:r w:rsidRPr="00141A1D">
              <w:t>Konstitutionsutskottets betänkande</w:t>
            </w:r>
          </w:p>
          <w:p w:rsidR="0080157C" w:rsidRPr="00141A1D" w:rsidRDefault="0080157C">
            <w:pPr>
              <w:pStyle w:val="HuvudRubrikRad2"/>
            </w:pPr>
            <w:bookmarkStart w:id="0" w:name="BetänkandeNr"/>
            <w:bookmarkEnd w:id="0"/>
            <w:r w:rsidRPr="00141A1D">
              <w:t>2001/02:KU12</w:t>
            </w:r>
          </w:p>
        </w:tc>
        <w:tc>
          <w:tcPr>
            <w:tcW w:w="1418" w:type="dxa"/>
            <w:tcBorders>
              <w:bottom w:val="nil"/>
            </w:tcBorders>
          </w:tcPr>
          <w:p w:rsidR="0080157C" w:rsidRPr="00141A1D" w:rsidRDefault="00141A1D">
            <w:pPr>
              <w:spacing w:line="230" w:lineRule="auto"/>
              <w:jc w:val="center"/>
            </w:pPr>
            <w:r w:rsidRPr="00141A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0157C" w:rsidRPr="00141A1D" w:rsidRDefault="0080157C">
            <w:pPr>
              <w:pStyle w:val="Normaltindrag"/>
              <w:jc w:val="center"/>
            </w:pPr>
          </w:p>
          <w:p w:rsidR="0080157C" w:rsidRPr="00141A1D" w:rsidRDefault="0080157C">
            <w:pPr>
              <w:pStyle w:val="StatusSida1"/>
            </w:pPr>
          </w:p>
          <w:p w:rsidR="0080157C" w:rsidRPr="00141A1D" w:rsidRDefault="0080157C">
            <w:pPr>
              <w:pStyle w:val="UtskriftsdatumSida1"/>
              <w:framePr w:wrap="around"/>
            </w:pPr>
          </w:p>
        </w:tc>
      </w:tr>
      <w:tr w:rsidR="00000000" w:rsidRPr="00141A1D">
        <w:tblPrEx>
          <w:tblCellMar>
            <w:top w:w="0" w:type="dxa"/>
            <w:bottom w:w="0" w:type="dxa"/>
          </w:tblCellMar>
        </w:tblPrEx>
        <w:trPr>
          <w:cantSplit/>
        </w:trPr>
        <w:tc>
          <w:tcPr>
            <w:tcW w:w="6024" w:type="dxa"/>
            <w:gridSpan w:val="2"/>
            <w:tcBorders>
              <w:bottom w:val="single" w:sz="4" w:space="0" w:color="auto"/>
            </w:tcBorders>
          </w:tcPr>
          <w:p w:rsidR="0080157C" w:rsidRPr="00141A1D" w:rsidRDefault="0080157C">
            <w:pPr>
              <w:pStyle w:val="DokumentRubrik"/>
              <w:rPr>
                <w:noProof w:val="0"/>
              </w:rPr>
            </w:pPr>
            <w:bookmarkStart w:id="1" w:name="Huvudrubrik"/>
            <w:bookmarkEnd w:id="1"/>
            <w:r w:rsidRPr="00141A1D">
              <w:rPr>
                <w:noProof w:val="0"/>
              </w:rPr>
              <w:t>Riksdagens arbetsformer</w:t>
            </w:r>
          </w:p>
        </w:tc>
        <w:tc>
          <w:tcPr>
            <w:tcW w:w="1418" w:type="dxa"/>
            <w:tcBorders>
              <w:bottom w:val="nil"/>
            </w:tcBorders>
          </w:tcPr>
          <w:p w:rsidR="0080157C" w:rsidRPr="00141A1D" w:rsidRDefault="0080157C"/>
        </w:tc>
      </w:tr>
      <w:tr w:rsidR="00000000" w:rsidRPr="00141A1D">
        <w:tblPrEx>
          <w:tblCellMar>
            <w:top w:w="0" w:type="dxa"/>
            <w:bottom w:w="0" w:type="dxa"/>
          </w:tblCellMar>
        </w:tblPrEx>
        <w:trPr>
          <w:cantSplit/>
          <w:trHeight w:hRule="exact" w:val="360"/>
        </w:trPr>
        <w:tc>
          <w:tcPr>
            <w:tcW w:w="3012" w:type="dxa"/>
          </w:tcPr>
          <w:p w:rsidR="0080157C" w:rsidRPr="00141A1D" w:rsidRDefault="0080157C"/>
        </w:tc>
        <w:tc>
          <w:tcPr>
            <w:tcW w:w="3012" w:type="dxa"/>
          </w:tcPr>
          <w:p w:rsidR="0080157C" w:rsidRPr="00141A1D" w:rsidRDefault="0080157C"/>
        </w:tc>
        <w:tc>
          <w:tcPr>
            <w:tcW w:w="1418" w:type="dxa"/>
          </w:tcPr>
          <w:p w:rsidR="0080157C" w:rsidRPr="00141A1D" w:rsidRDefault="0080157C"/>
        </w:tc>
      </w:tr>
    </w:tbl>
    <w:p w:rsidR="0080157C" w:rsidRPr="00141A1D" w:rsidRDefault="0080157C"/>
    <w:p w:rsidR="0080157C" w:rsidRPr="00141A1D" w:rsidRDefault="0080157C">
      <w:pPr>
        <w:pStyle w:val="Rubrik1"/>
        <w:spacing w:after="180"/>
        <w:rPr>
          <w:noProof w:val="0"/>
        </w:rPr>
      </w:pPr>
      <w:bookmarkStart w:id="2" w:name="_Toc530475922"/>
      <w:r w:rsidRPr="00141A1D">
        <w:rPr>
          <w:noProof w:val="0"/>
        </w:rPr>
        <w:t>Sammanfattning</w:t>
      </w:r>
      <w:bookmarkEnd w:id="2"/>
    </w:p>
    <w:p w:rsidR="0080157C" w:rsidRPr="00141A1D" w:rsidRDefault="0080157C">
      <w:bookmarkStart w:id="3" w:name="TextStart"/>
      <w:bookmarkEnd w:id="3"/>
      <w:r w:rsidRPr="00141A1D">
        <w:t>I detta betänkande behandlas 40 motionsyrkanden från den allmänna m</w:t>
      </w:r>
      <w:r w:rsidRPr="00141A1D">
        <w:t>o</w:t>
      </w:r>
      <w:r w:rsidRPr="00141A1D">
        <w:t>tionstiden 2001 i frågor som gäller riksdagens arbetsformer. Motionerna tar upp en rad frågor, bl.a. ledamöternas placering i plenisalen, riksdagens a</w:t>
      </w:r>
      <w:r w:rsidRPr="00141A1D">
        <w:t>r</w:t>
      </w:r>
      <w:r w:rsidRPr="00141A1D">
        <w:t>betsår, riksdagsdebatterna, budgetprocessen, den allmänna motionstiden, utskottsindelningen, utskottens arbetsformer, riksdagsledamöternas arbetss</w:t>
      </w:r>
      <w:r w:rsidRPr="00141A1D">
        <w:t>i</w:t>
      </w:r>
      <w:r w:rsidRPr="00141A1D">
        <w:t>tuation, debattregler vid frågestund, registrering av lobbare, regionalt rik</w:t>
      </w:r>
      <w:r w:rsidRPr="00141A1D">
        <w:t>s</w:t>
      </w:r>
      <w:r w:rsidRPr="00141A1D">
        <w:t>dagskontor i Göteborg samt vissa informationsfrågor.</w:t>
      </w:r>
    </w:p>
    <w:p w:rsidR="0080157C" w:rsidRPr="00141A1D" w:rsidRDefault="0080157C">
      <w:r w:rsidRPr="00141A1D">
        <w:t>Vidare behandlas i betänkandet riksdagsstyrelsens förslag 2001/02:RS1 Än</w:t>
      </w:r>
      <w:r w:rsidRPr="00141A1D">
        <w:t>d</w:t>
      </w:r>
      <w:r w:rsidRPr="00141A1D">
        <w:t>ringar av vissa ekonomiska villkor för riksdagens ledamöter och Sveriges företrädare i Europaparlamentet. Riksdagsstyrelsen föreslår att ersättningar som betalas till ledamöterna för deras sjukvårdskostnader, dvs. för bl.a. läka</w:t>
      </w:r>
      <w:r w:rsidRPr="00141A1D">
        <w:t>r</w:t>
      </w:r>
      <w:r w:rsidRPr="00141A1D">
        <w:t>besök och läkemedel, i huvudsak tas bort. Ersättning för kostnader för insa</w:t>
      </w:r>
      <w:r w:rsidRPr="00141A1D">
        <w:t>t</w:t>
      </w:r>
      <w:r w:rsidRPr="00141A1D">
        <w:t>ser i rehabiliterande syfte skall dock kunna utgå i särskilda fall. Riksdagsst</w:t>
      </w:r>
      <w:r w:rsidRPr="00141A1D">
        <w:t>y</w:t>
      </w:r>
      <w:r w:rsidRPr="00141A1D">
        <w:t>relsen föreslår vidare en förstärkning av efterlevandeskyddet efter den som är riksdagsledamot eller företrädare i Europaparlam</w:t>
      </w:r>
      <w:r w:rsidRPr="00141A1D">
        <w:t>entet efter fyllda 70 år. Slu</w:t>
      </w:r>
      <w:r w:rsidRPr="00141A1D">
        <w:t>t</w:t>
      </w:r>
      <w:r w:rsidRPr="00141A1D">
        <w:t>ligen föreslås två följdän</w:t>
      </w:r>
      <w:r w:rsidRPr="00141A1D">
        <w:t>d</w:t>
      </w:r>
      <w:r w:rsidRPr="00141A1D">
        <w:t>ringar till tidigare ändringar.</w:t>
      </w:r>
    </w:p>
    <w:p w:rsidR="0080157C" w:rsidRPr="00141A1D" w:rsidRDefault="0080157C">
      <w:r w:rsidRPr="00141A1D">
        <w:t>Utskottet har tillstyrkt lagförslagen och avstyrkt samtliga motionsyrkanden. Flera motioner har avstyrkts med hänvisning till att de faller under talma</w:t>
      </w:r>
      <w:r w:rsidRPr="00141A1D">
        <w:t>n</w:t>
      </w:r>
      <w:r w:rsidRPr="00141A1D">
        <w:t>nens och riksdagsstyrelsens ansvarsområden. De gäller frågor kring plan</w:t>
      </w:r>
      <w:r w:rsidRPr="00141A1D">
        <w:t>e</w:t>
      </w:r>
      <w:r w:rsidRPr="00141A1D">
        <w:t>ringen av riksdagsarbetet och ledningen av riksdagsförvaltningen som enligt riksdagsordningen och instruktionen för riksdagsförvaltningen skall hanteras av dessa organ.</w:t>
      </w:r>
    </w:p>
    <w:p w:rsidR="0080157C" w:rsidRPr="00141A1D" w:rsidRDefault="0080157C">
      <w:pPr>
        <w:pStyle w:val="Normaltindrag"/>
      </w:pPr>
      <w:r w:rsidRPr="00141A1D">
        <w:t>Sju reservationer och ett särskilt yttrande har avgetts.</w:t>
      </w:r>
    </w:p>
    <w:p w:rsidR="0080157C" w:rsidRPr="00141A1D" w:rsidRDefault="0080157C">
      <w:pPr>
        <w:pStyle w:val="Normaltindrag"/>
      </w:pPr>
    </w:p>
    <w:p w:rsidR="0080157C" w:rsidRPr="00141A1D" w:rsidRDefault="0080157C">
      <w:pPr>
        <w:pStyle w:val="Normaltindrag"/>
      </w:pPr>
    </w:p>
    <w:p w:rsidR="0080157C" w:rsidRPr="00141A1D" w:rsidRDefault="0080157C">
      <w:pPr>
        <w:pStyle w:val="Normaltindrag"/>
        <w:sectPr w:rsidR="00000000" w:rsidRPr="00141A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0157C" w:rsidRPr="00141A1D" w:rsidRDefault="0080157C">
      <w:pPr>
        <w:pStyle w:val="Rubrik1"/>
        <w:spacing w:after="120"/>
        <w:rPr>
          <w:noProof w:val="0"/>
        </w:rPr>
      </w:pPr>
      <w:bookmarkStart w:id="4" w:name="_Toc530475923"/>
      <w:r w:rsidRPr="00141A1D">
        <w:rPr>
          <w:noProof w:val="0"/>
        </w:rPr>
        <w:lastRenderedPageBreak/>
        <w:t>Innehållsförteckning</w:t>
      </w:r>
      <w:bookmarkEnd w:id="4"/>
    </w:p>
    <w:p w:rsidR="0080157C" w:rsidRPr="00141A1D" w:rsidRDefault="0080157C">
      <w:pPr>
        <w:pStyle w:val="Innehll1"/>
      </w:pPr>
      <w:r w:rsidRPr="00141A1D">
        <w:t>Sammanfattning</w:t>
      </w:r>
      <w:r w:rsidRPr="00141A1D">
        <w:tab/>
        <w:t>1</w:t>
      </w:r>
    </w:p>
    <w:p w:rsidR="0080157C" w:rsidRPr="00141A1D" w:rsidRDefault="0080157C">
      <w:pPr>
        <w:pStyle w:val="Innehll1"/>
      </w:pPr>
      <w:r w:rsidRPr="00141A1D">
        <w:t>Innehållsförteckning</w:t>
      </w:r>
      <w:r w:rsidRPr="00141A1D">
        <w:tab/>
        <w:t>2</w:t>
      </w:r>
    </w:p>
    <w:p w:rsidR="0080157C" w:rsidRPr="00141A1D" w:rsidRDefault="0080157C">
      <w:pPr>
        <w:pStyle w:val="Innehll1"/>
      </w:pPr>
      <w:r w:rsidRPr="00141A1D">
        <w:t>Utskottets förslag till riksdagsbeslut</w:t>
      </w:r>
      <w:r w:rsidRPr="00141A1D">
        <w:tab/>
        <w:t>5</w:t>
      </w:r>
    </w:p>
    <w:p w:rsidR="0080157C" w:rsidRPr="00141A1D" w:rsidRDefault="0080157C">
      <w:pPr>
        <w:pStyle w:val="Innehll1"/>
      </w:pPr>
      <w:r w:rsidRPr="00141A1D">
        <w:t>Utskottets överväganden</w:t>
      </w:r>
      <w:r w:rsidRPr="00141A1D">
        <w:tab/>
        <w:t>8</w:t>
      </w:r>
    </w:p>
    <w:p w:rsidR="0080157C" w:rsidRPr="00141A1D" w:rsidRDefault="0080157C">
      <w:pPr>
        <w:pStyle w:val="Innehll2"/>
      </w:pPr>
      <w:r w:rsidRPr="00141A1D">
        <w:t>Lagen (1994:1065) om ekonomiska villkor för riksdagens ledamöter, m.m.</w:t>
      </w:r>
      <w:r w:rsidRPr="00141A1D">
        <w:tab/>
        <w:t>8</w:t>
      </w:r>
    </w:p>
    <w:p w:rsidR="0080157C" w:rsidRPr="00141A1D" w:rsidRDefault="0080157C">
      <w:pPr>
        <w:pStyle w:val="Innehll4"/>
      </w:pPr>
      <w:r w:rsidRPr="00141A1D">
        <w:t>Riksdagsstyrelsens förslag</w:t>
      </w:r>
      <w:r w:rsidRPr="00141A1D">
        <w:tab/>
        <w:t>8</w:t>
      </w:r>
    </w:p>
    <w:p w:rsidR="0080157C" w:rsidRPr="00141A1D" w:rsidRDefault="0080157C">
      <w:pPr>
        <w:pStyle w:val="Innehll4"/>
      </w:pPr>
      <w:r w:rsidRPr="00141A1D">
        <w:t>Utskottets ställningstagande</w:t>
      </w:r>
      <w:r w:rsidRPr="00141A1D">
        <w:tab/>
        <w:t>8</w:t>
      </w:r>
    </w:p>
    <w:p w:rsidR="0080157C" w:rsidRPr="00141A1D" w:rsidRDefault="0080157C">
      <w:pPr>
        <w:pStyle w:val="Innehll2"/>
      </w:pPr>
      <w:r w:rsidRPr="00141A1D">
        <w:t>Arvodet till ledamöter i vissa organ</w:t>
      </w:r>
      <w:r w:rsidRPr="00141A1D">
        <w:tab/>
        <w:t>9</w:t>
      </w:r>
    </w:p>
    <w:p w:rsidR="0080157C" w:rsidRPr="00141A1D" w:rsidRDefault="0080157C">
      <w:pPr>
        <w:pStyle w:val="Innehll4"/>
      </w:pPr>
      <w:r w:rsidRPr="00141A1D">
        <w:t>Motionen</w:t>
      </w:r>
      <w:r w:rsidRPr="00141A1D">
        <w:tab/>
        <w:t>9</w:t>
      </w:r>
    </w:p>
    <w:p w:rsidR="0080157C" w:rsidRPr="00141A1D" w:rsidRDefault="0080157C">
      <w:pPr>
        <w:pStyle w:val="Innehll4"/>
      </w:pPr>
      <w:r w:rsidRPr="00141A1D">
        <w:t>Gällande regler</w:t>
      </w:r>
      <w:r w:rsidRPr="00141A1D">
        <w:tab/>
        <w:t>9</w:t>
      </w:r>
    </w:p>
    <w:p w:rsidR="0080157C" w:rsidRPr="00141A1D" w:rsidRDefault="0080157C">
      <w:pPr>
        <w:pStyle w:val="Innehll4"/>
      </w:pPr>
      <w:r w:rsidRPr="00141A1D">
        <w:t>Tidigare behandling</w:t>
      </w:r>
      <w:r w:rsidRPr="00141A1D">
        <w:tab/>
        <w:t>10</w:t>
      </w:r>
    </w:p>
    <w:p w:rsidR="0080157C" w:rsidRPr="00141A1D" w:rsidRDefault="0080157C">
      <w:pPr>
        <w:pStyle w:val="Innehll4"/>
      </w:pPr>
      <w:r w:rsidRPr="00141A1D">
        <w:t>Utskottets ställningstagande</w:t>
      </w:r>
      <w:r w:rsidRPr="00141A1D">
        <w:tab/>
        <w:t>10</w:t>
      </w:r>
    </w:p>
    <w:p w:rsidR="0080157C" w:rsidRPr="00141A1D" w:rsidRDefault="0080157C">
      <w:pPr>
        <w:pStyle w:val="Innehll2"/>
      </w:pPr>
      <w:r w:rsidRPr="00141A1D">
        <w:t>Ersättningen till ersättare</w:t>
      </w:r>
      <w:r w:rsidRPr="00141A1D">
        <w:tab/>
        <w:t>10</w:t>
      </w:r>
    </w:p>
    <w:p w:rsidR="0080157C" w:rsidRPr="00141A1D" w:rsidRDefault="0080157C">
      <w:pPr>
        <w:pStyle w:val="Innehll4"/>
      </w:pPr>
      <w:r w:rsidRPr="00141A1D">
        <w:rPr>
          <w:snapToGrid w:val="0"/>
        </w:rPr>
        <w:t>Motionen</w:t>
      </w:r>
      <w:r w:rsidRPr="00141A1D">
        <w:tab/>
        <w:t>10</w:t>
      </w:r>
    </w:p>
    <w:p w:rsidR="0080157C" w:rsidRPr="00141A1D" w:rsidRDefault="0080157C">
      <w:pPr>
        <w:pStyle w:val="Innehll4"/>
      </w:pPr>
      <w:r w:rsidRPr="00141A1D">
        <w:t>Gällande regler</w:t>
      </w:r>
      <w:r w:rsidRPr="00141A1D">
        <w:tab/>
        <w:t>11</w:t>
      </w:r>
    </w:p>
    <w:p w:rsidR="0080157C" w:rsidRPr="00141A1D" w:rsidRDefault="0080157C">
      <w:pPr>
        <w:pStyle w:val="Innehll4"/>
      </w:pPr>
      <w:r w:rsidRPr="00141A1D">
        <w:t>Utskottets ställningstagande</w:t>
      </w:r>
      <w:r w:rsidRPr="00141A1D">
        <w:tab/>
        <w:t>11</w:t>
      </w:r>
    </w:p>
    <w:p w:rsidR="0080157C" w:rsidRPr="00141A1D" w:rsidRDefault="0080157C">
      <w:pPr>
        <w:pStyle w:val="Innehll2"/>
      </w:pPr>
      <w:r w:rsidRPr="00141A1D">
        <w:t>Riksdagens arbetsår</w:t>
      </w:r>
      <w:r w:rsidRPr="00141A1D">
        <w:tab/>
        <w:t>12</w:t>
      </w:r>
    </w:p>
    <w:p w:rsidR="0080157C" w:rsidRPr="00141A1D" w:rsidRDefault="0080157C">
      <w:pPr>
        <w:pStyle w:val="Innehll4"/>
      </w:pPr>
      <w:r w:rsidRPr="00141A1D">
        <w:t>Motionen</w:t>
      </w:r>
      <w:r w:rsidRPr="00141A1D">
        <w:tab/>
        <w:t>12</w:t>
      </w:r>
    </w:p>
    <w:p w:rsidR="0080157C" w:rsidRPr="00141A1D" w:rsidRDefault="0080157C">
      <w:pPr>
        <w:pStyle w:val="Innehll4"/>
      </w:pPr>
      <w:r w:rsidRPr="00141A1D">
        <w:t>Tidigare riksdagsbehandling</w:t>
      </w:r>
      <w:r w:rsidRPr="00141A1D">
        <w:tab/>
        <w:t>12</w:t>
      </w:r>
    </w:p>
    <w:p w:rsidR="0080157C" w:rsidRPr="00141A1D" w:rsidRDefault="0080157C">
      <w:pPr>
        <w:pStyle w:val="Innehll4"/>
      </w:pPr>
      <w:r w:rsidRPr="00141A1D">
        <w:t>Utskottets ställningstagande</w:t>
      </w:r>
      <w:r w:rsidRPr="00141A1D">
        <w:tab/>
        <w:t>12</w:t>
      </w:r>
    </w:p>
    <w:p w:rsidR="0080157C" w:rsidRPr="00141A1D" w:rsidRDefault="0080157C">
      <w:pPr>
        <w:pStyle w:val="Innehll2"/>
      </w:pPr>
      <w:r w:rsidRPr="00141A1D">
        <w:t>Ledamöternas placering i plenisalen</w:t>
      </w:r>
      <w:r w:rsidRPr="00141A1D">
        <w:tab/>
        <w:t>13</w:t>
      </w:r>
    </w:p>
    <w:p w:rsidR="0080157C" w:rsidRPr="00141A1D" w:rsidRDefault="0080157C">
      <w:pPr>
        <w:pStyle w:val="Innehll4"/>
      </w:pPr>
      <w:r w:rsidRPr="00141A1D">
        <w:t>Motionen</w:t>
      </w:r>
      <w:r w:rsidRPr="00141A1D">
        <w:tab/>
        <w:t>13</w:t>
      </w:r>
    </w:p>
    <w:p w:rsidR="0080157C" w:rsidRPr="00141A1D" w:rsidRDefault="0080157C">
      <w:pPr>
        <w:pStyle w:val="Innehll4"/>
      </w:pPr>
      <w:r w:rsidRPr="00141A1D">
        <w:t>Tidigare riksdagsbehandling</w:t>
      </w:r>
      <w:r w:rsidRPr="00141A1D">
        <w:tab/>
        <w:t>13</w:t>
      </w:r>
    </w:p>
    <w:p w:rsidR="0080157C" w:rsidRPr="00141A1D" w:rsidRDefault="0080157C">
      <w:pPr>
        <w:pStyle w:val="Innehll4"/>
      </w:pPr>
      <w:r w:rsidRPr="00141A1D">
        <w:t>Utskottets ställningstagande</w:t>
      </w:r>
      <w:r w:rsidRPr="00141A1D">
        <w:tab/>
        <w:t>13</w:t>
      </w:r>
    </w:p>
    <w:p w:rsidR="0080157C" w:rsidRPr="00141A1D" w:rsidRDefault="0080157C">
      <w:pPr>
        <w:pStyle w:val="Innehll2"/>
      </w:pPr>
      <w:r w:rsidRPr="00141A1D">
        <w:t>Ideologiska debatter i riksdagen</w:t>
      </w:r>
      <w:r w:rsidRPr="00141A1D">
        <w:tab/>
        <w:t>14</w:t>
      </w:r>
    </w:p>
    <w:p w:rsidR="0080157C" w:rsidRPr="00141A1D" w:rsidRDefault="0080157C">
      <w:pPr>
        <w:pStyle w:val="Innehll4"/>
      </w:pPr>
      <w:r w:rsidRPr="00141A1D">
        <w:t>Motionen</w:t>
      </w:r>
      <w:r w:rsidRPr="00141A1D">
        <w:tab/>
        <w:t>14</w:t>
      </w:r>
    </w:p>
    <w:p w:rsidR="0080157C" w:rsidRPr="00141A1D" w:rsidRDefault="0080157C">
      <w:pPr>
        <w:pStyle w:val="Innehll4"/>
      </w:pPr>
      <w:r w:rsidRPr="00141A1D">
        <w:t>Tidigare behandling</w:t>
      </w:r>
      <w:r w:rsidRPr="00141A1D">
        <w:tab/>
        <w:t>14</w:t>
      </w:r>
    </w:p>
    <w:p w:rsidR="0080157C" w:rsidRPr="00141A1D" w:rsidRDefault="0080157C">
      <w:pPr>
        <w:pStyle w:val="Innehll4"/>
      </w:pPr>
      <w:r w:rsidRPr="00141A1D">
        <w:t>Utskottets ställningstagande</w:t>
      </w:r>
      <w:r w:rsidRPr="00141A1D">
        <w:tab/>
        <w:t>14</w:t>
      </w:r>
    </w:p>
    <w:p w:rsidR="0080157C" w:rsidRPr="00141A1D" w:rsidRDefault="0080157C">
      <w:pPr>
        <w:pStyle w:val="Innehll2"/>
      </w:pPr>
      <w:r w:rsidRPr="00141A1D">
        <w:t>Statsrådens deltagande i riksdagsarbetet</w:t>
      </w:r>
      <w:r w:rsidRPr="00141A1D">
        <w:tab/>
        <w:t>14</w:t>
      </w:r>
    </w:p>
    <w:p w:rsidR="0080157C" w:rsidRPr="00141A1D" w:rsidRDefault="0080157C">
      <w:pPr>
        <w:pStyle w:val="Innehll4"/>
      </w:pPr>
      <w:r w:rsidRPr="00141A1D">
        <w:t>Motionen</w:t>
      </w:r>
      <w:r w:rsidRPr="00141A1D">
        <w:tab/>
        <w:t>15</w:t>
      </w:r>
    </w:p>
    <w:p w:rsidR="0080157C" w:rsidRPr="00141A1D" w:rsidRDefault="0080157C">
      <w:pPr>
        <w:pStyle w:val="Innehll4"/>
      </w:pPr>
      <w:r w:rsidRPr="00141A1D">
        <w:t>Utskottets ställningstagande</w:t>
      </w:r>
      <w:r w:rsidRPr="00141A1D">
        <w:tab/>
        <w:t>15</w:t>
      </w:r>
    </w:p>
    <w:p w:rsidR="0080157C" w:rsidRPr="00141A1D" w:rsidRDefault="0080157C">
      <w:pPr>
        <w:pStyle w:val="Innehll2"/>
      </w:pPr>
      <w:r w:rsidRPr="00141A1D">
        <w:t>Europaparlamentarikers deltagande i riksdagsdebatter</w:t>
      </w:r>
      <w:r w:rsidRPr="00141A1D">
        <w:tab/>
        <w:t>15</w:t>
      </w:r>
    </w:p>
    <w:p w:rsidR="0080157C" w:rsidRPr="00141A1D" w:rsidRDefault="0080157C">
      <w:pPr>
        <w:pStyle w:val="Innehll4"/>
      </w:pPr>
      <w:r w:rsidRPr="00141A1D">
        <w:t>Motionen</w:t>
      </w:r>
      <w:r w:rsidRPr="00141A1D">
        <w:tab/>
        <w:t>15</w:t>
      </w:r>
    </w:p>
    <w:p w:rsidR="0080157C" w:rsidRPr="00141A1D" w:rsidRDefault="0080157C">
      <w:pPr>
        <w:pStyle w:val="Innehll4"/>
      </w:pPr>
      <w:r w:rsidRPr="00141A1D">
        <w:t>Tidigare riksdagsbehandling</w:t>
      </w:r>
      <w:r w:rsidRPr="00141A1D">
        <w:tab/>
        <w:t>16</w:t>
      </w:r>
    </w:p>
    <w:p w:rsidR="0080157C" w:rsidRPr="00141A1D" w:rsidRDefault="0080157C">
      <w:pPr>
        <w:pStyle w:val="Innehll4"/>
      </w:pPr>
      <w:r w:rsidRPr="00141A1D">
        <w:t>Utskottets ställningstagande</w:t>
      </w:r>
      <w:r w:rsidRPr="00141A1D">
        <w:tab/>
        <w:t>16</w:t>
      </w:r>
    </w:p>
    <w:p w:rsidR="0080157C" w:rsidRPr="00141A1D" w:rsidRDefault="0080157C">
      <w:pPr>
        <w:pStyle w:val="Innehll2"/>
      </w:pPr>
      <w:r w:rsidRPr="00141A1D">
        <w:t>Den allmänna motionstiden m.m.</w:t>
      </w:r>
      <w:r w:rsidRPr="00141A1D">
        <w:tab/>
        <w:t>16</w:t>
      </w:r>
    </w:p>
    <w:p w:rsidR="0080157C" w:rsidRPr="00141A1D" w:rsidRDefault="0080157C">
      <w:pPr>
        <w:pStyle w:val="Innehll4"/>
      </w:pPr>
      <w:r w:rsidRPr="00141A1D">
        <w:t>Motionerna</w:t>
      </w:r>
      <w:r w:rsidRPr="00141A1D">
        <w:tab/>
        <w:t>16</w:t>
      </w:r>
    </w:p>
    <w:p w:rsidR="0080157C" w:rsidRPr="00141A1D" w:rsidRDefault="0080157C">
      <w:pPr>
        <w:pStyle w:val="Innehll4"/>
      </w:pPr>
      <w:r w:rsidRPr="00141A1D">
        <w:t>Tidigare riksdagsbehandling</w:t>
      </w:r>
      <w:r w:rsidRPr="00141A1D">
        <w:tab/>
        <w:t>17</w:t>
      </w:r>
    </w:p>
    <w:p w:rsidR="0080157C" w:rsidRPr="00141A1D" w:rsidRDefault="0080157C">
      <w:pPr>
        <w:pStyle w:val="Innehll4"/>
      </w:pPr>
      <w:r w:rsidRPr="00141A1D">
        <w:t>Utskottets ställningstagande</w:t>
      </w:r>
      <w:r w:rsidRPr="00141A1D">
        <w:tab/>
        <w:t>18</w:t>
      </w:r>
    </w:p>
    <w:p w:rsidR="0080157C" w:rsidRPr="00141A1D" w:rsidRDefault="0080157C">
      <w:pPr>
        <w:pStyle w:val="Innehll2"/>
      </w:pPr>
      <w:r w:rsidRPr="00141A1D">
        <w:t>Budgetprocessen</w:t>
      </w:r>
      <w:r w:rsidRPr="00141A1D">
        <w:tab/>
        <w:t>18</w:t>
      </w:r>
    </w:p>
    <w:p w:rsidR="0080157C" w:rsidRPr="00141A1D" w:rsidRDefault="0080157C">
      <w:pPr>
        <w:pStyle w:val="Innehll4"/>
      </w:pPr>
      <w:r w:rsidRPr="00141A1D">
        <w:t>Motionerna</w:t>
      </w:r>
      <w:r w:rsidRPr="00141A1D">
        <w:tab/>
        <w:t>18</w:t>
      </w:r>
    </w:p>
    <w:p w:rsidR="0080157C" w:rsidRPr="00141A1D" w:rsidRDefault="0080157C">
      <w:pPr>
        <w:pStyle w:val="Innehll4"/>
      </w:pPr>
      <w:r w:rsidRPr="00141A1D">
        <w:t>Tidigare behandling</w:t>
      </w:r>
      <w:r w:rsidRPr="00141A1D">
        <w:tab/>
        <w:t>19</w:t>
      </w:r>
    </w:p>
    <w:p w:rsidR="0080157C" w:rsidRPr="00141A1D" w:rsidRDefault="0080157C">
      <w:pPr>
        <w:pStyle w:val="Innehll4"/>
      </w:pPr>
      <w:r w:rsidRPr="00141A1D">
        <w:t>Utskottets ställningstagande</w:t>
      </w:r>
      <w:r w:rsidRPr="00141A1D">
        <w:tab/>
        <w:t>20</w:t>
      </w:r>
    </w:p>
    <w:p w:rsidR="0080157C" w:rsidRPr="00141A1D" w:rsidRDefault="0080157C">
      <w:pPr>
        <w:pStyle w:val="Innehll2"/>
      </w:pPr>
      <w:r w:rsidRPr="00141A1D">
        <w:t>Utformningen av motioner</w:t>
      </w:r>
      <w:r w:rsidRPr="00141A1D">
        <w:tab/>
        <w:t>20</w:t>
      </w:r>
    </w:p>
    <w:p w:rsidR="0080157C" w:rsidRPr="00141A1D" w:rsidRDefault="0080157C">
      <w:pPr>
        <w:pStyle w:val="Innehll4"/>
      </w:pPr>
      <w:r w:rsidRPr="00141A1D">
        <w:t>Motionen</w:t>
      </w:r>
      <w:r w:rsidRPr="00141A1D">
        <w:tab/>
        <w:t>20</w:t>
      </w:r>
    </w:p>
    <w:p w:rsidR="0080157C" w:rsidRPr="00141A1D" w:rsidRDefault="0080157C">
      <w:pPr>
        <w:pStyle w:val="Innehll4"/>
      </w:pPr>
      <w:r w:rsidRPr="00141A1D">
        <w:t>Gällande ordning</w:t>
      </w:r>
      <w:r w:rsidRPr="00141A1D">
        <w:tab/>
        <w:t>20</w:t>
      </w:r>
    </w:p>
    <w:p w:rsidR="0080157C" w:rsidRPr="00141A1D" w:rsidRDefault="0080157C">
      <w:pPr>
        <w:pStyle w:val="Innehll4"/>
      </w:pPr>
      <w:r w:rsidRPr="00141A1D">
        <w:t>Utskottets ställningstagande</w:t>
      </w:r>
      <w:r w:rsidRPr="00141A1D">
        <w:tab/>
        <w:t>21</w:t>
      </w:r>
    </w:p>
    <w:p w:rsidR="0080157C" w:rsidRPr="00141A1D" w:rsidRDefault="0080157C">
      <w:pPr>
        <w:pStyle w:val="Innehll2"/>
      </w:pPr>
      <w:r w:rsidRPr="00141A1D">
        <w:t>Utskottsorganisationen</w:t>
      </w:r>
      <w:r w:rsidRPr="00141A1D">
        <w:tab/>
        <w:t>21</w:t>
      </w:r>
    </w:p>
    <w:p w:rsidR="0080157C" w:rsidRPr="00141A1D" w:rsidRDefault="0080157C">
      <w:pPr>
        <w:pStyle w:val="Innehll4"/>
      </w:pPr>
      <w:r w:rsidRPr="00141A1D">
        <w:t>Motionerna</w:t>
      </w:r>
      <w:r w:rsidRPr="00141A1D">
        <w:tab/>
        <w:t>21</w:t>
      </w:r>
    </w:p>
    <w:p w:rsidR="0080157C" w:rsidRPr="00141A1D" w:rsidRDefault="0080157C">
      <w:pPr>
        <w:pStyle w:val="Innehll4"/>
      </w:pPr>
      <w:r w:rsidRPr="00141A1D">
        <w:t>Försvarsberedningens uppgifter</w:t>
      </w:r>
      <w:r w:rsidRPr="00141A1D">
        <w:tab/>
        <w:t>22</w:t>
      </w:r>
    </w:p>
    <w:p w:rsidR="0080157C" w:rsidRPr="00141A1D" w:rsidRDefault="0080157C">
      <w:pPr>
        <w:pStyle w:val="Innehll4"/>
      </w:pPr>
      <w:r w:rsidRPr="00141A1D">
        <w:t>Tidigare riksdagsbehandling</w:t>
      </w:r>
      <w:r w:rsidRPr="00141A1D">
        <w:tab/>
        <w:t>22</w:t>
      </w:r>
    </w:p>
    <w:p w:rsidR="0080157C" w:rsidRPr="00141A1D" w:rsidRDefault="0080157C">
      <w:pPr>
        <w:pStyle w:val="Innehll4"/>
      </w:pPr>
      <w:r w:rsidRPr="00141A1D">
        <w:t>Utskottets ställningstagande</w:t>
      </w:r>
      <w:r w:rsidRPr="00141A1D">
        <w:tab/>
        <w:t>23</w:t>
      </w:r>
    </w:p>
    <w:p w:rsidR="0080157C" w:rsidRPr="00141A1D" w:rsidRDefault="0080157C">
      <w:pPr>
        <w:pStyle w:val="Innehll2"/>
      </w:pPr>
      <w:r w:rsidRPr="00141A1D">
        <w:t>Utskottens arbetsformer</w:t>
      </w:r>
      <w:r w:rsidRPr="00141A1D">
        <w:tab/>
        <w:t>23</w:t>
      </w:r>
    </w:p>
    <w:p w:rsidR="0080157C" w:rsidRPr="00141A1D" w:rsidRDefault="0080157C">
      <w:pPr>
        <w:pStyle w:val="Innehll4"/>
      </w:pPr>
      <w:r w:rsidRPr="00141A1D">
        <w:t>Motionen</w:t>
      </w:r>
      <w:r w:rsidRPr="00141A1D">
        <w:tab/>
        <w:t>23</w:t>
      </w:r>
    </w:p>
    <w:p w:rsidR="0080157C" w:rsidRPr="00141A1D" w:rsidRDefault="0080157C">
      <w:pPr>
        <w:pStyle w:val="Innehll4"/>
      </w:pPr>
      <w:r w:rsidRPr="00141A1D">
        <w:t>Tidigare behandling</w:t>
      </w:r>
      <w:r w:rsidRPr="00141A1D">
        <w:tab/>
        <w:t>23</w:t>
      </w:r>
    </w:p>
    <w:p w:rsidR="0080157C" w:rsidRPr="00141A1D" w:rsidRDefault="0080157C">
      <w:pPr>
        <w:pStyle w:val="Innehll4"/>
      </w:pPr>
      <w:r w:rsidRPr="00141A1D">
        <w:t>Utskottets ställningstagande</w:t>
      </w:r>
      <w:r w:rsidRPr="00141A1D">
        <w:tab/>
        <w:t>24</w:t>
      </w:r>
    </w:p>
    <w:p w:rsidR="0080157C" w:rsidRPr="00141A1D" w:rsidRDefault="0080157C">
      <w:pPr>
        <w:pStyle w:val="Innehll2"/>
      </w:pPr>
      <w:r w:rsidRPr="00141A1D">
        <w:t>Utskottens arbete med EU-frågor</w:t>
      </w:r>
      <w:r w:rsidRPr="00141A1D">
        <w:tab/>
        <w:t>24</w:t>
      </w:r>
    </w:p>
    <w:p w:rsidR="0080157C" w:rsidRPr="00141A1D" w:rsidRDefault="0080157C">
      <w:pPr>
        <w:pStyle w:val="Innehll4"/>
      </w:pPr>
      <w:r w:rsidRPr="00141A1D">
        <w:t>Motionen</w:t>
      </w:r>
      <w:r w:rsidRPr="00141A1D">
        <w:tab/>
        <w:t>24</w:t>
      </w:r>
    </w:p>
    <w:p w:rsidR="0080157C" w:rsidRPr="00141A1D" w:rsidRDefault="0080157C">
      <w:pPr>
        <w:pStyle w:val="Innehll4"/>
      </w:pPr>
      <w:r w:rsidRPr="00141A1D">
        <w:t>Tidigare behandling</w:t>
      </w:r>
      <w:r w:rsidRPr="00141A1D">
        <w:tab/>
        <w:t>24</w:t>
      </w:r>
    </w:p>
    <w:p w:rsidR="0080157C" w:rsidRPr="00141A1D" w:rsidRDefault="0080157C">
      <w:pPr>
        <w:pStyle w:val="Innehll4"/>
      </w:pPr>
      <w:r w:rsidRPr="00141A1D">
        <w:t>Utskottets ställningstagande</w:t>
      </w:r>
      <w:r w:rsidRPr="00141A1D">
        <w:tab/>
        <w:t>25</w:t>
      </w:r>
    </w:p>
    <w:p w:rsidR="0080157C" w:rsidRPr="00141A1D" w:rsidRDefault="0080157C">
      <w:pPr>
        <w:pStyle w:val="Innehll2"/>
      </w:pPr>
      <w:r w:rsidRPr="00141A1D">
        <w:t>Edgång vid utfrågningar i konstitutionsutskottet</w:t>
      </w:r>
      <w:r w:rsidRPr="00141A1D">
        <w:tab/>
        <w:t>25</w:t>
      </w:r>
    </w:p>
    <w:p w:rsidR="0080157C" w:rsidRPr="00141A1D" w:rsidRDefault="0080157C">
      <w:pPr>
        <w:pStyle w:val="Innehll4"/>
      </w:pPr>
      <w:r w:rsidRPr="00141A1D">
        <w:t>Motionen</w:t>
      </w:r>
      <w:r w:rsidRPr="00141A1D">
        <w:tab/>
        <w:t>26</w:t>
      </w:r>
    </w:p>
    <w:p w:rsidR="0080157C" w:rsidRPr="00141A1D" w:rsidRDefault="0080157C">
      <w:pPr>
        <w:pStyle w:val="Innehll4"/>
      </w:pPr>
      <w:r w:rsidRPr="00141A1D">
        <w:t>Tidigare riksdagsbehandling</w:t>
      </w:r>
      <w:r w:rsidRPr="00141A1D">
        <w:tab/>
        <w:t>26</w:t>
      </w:r>
    </w:p>
    <w:p w:rsidR="0080157C" w:rsidRPr="00141A1D" w:rsidRDefault="0080157C">
      <w:pPr>
        <w:pStyle w:val="Innehll4"/>
      </w:pPr>
      <w:r w:rsidRPr="00141A1D">
        <w:t>Utskottets ställningstagande</w:t>
      </w:r>
      <w:r w:rsidRPr="00141A1D">
        <w:tab/>
        <w:t>26</w:t>
      </w:r>
    </w:p>
    <w:p w:rsidR="0080157C" w:rsidRPr="00141A1D" w:rsidRDefault="0080157C">
      <w:pPr>
        <w:pStyle w:val="Innehll2"/>
      </w:pPr>
      <w:r w:rsidRPr="00141A1D">
        <w:t>Debattordningen vid frågestunder</w:t>
      </w:r>
      <w:r w:rsidRPr="00141A1D">
        <w:tab/>
        <w:t>26</w:t>
      </w:r>
    </w:p>
    <w:p w:rsidR="0080157C" w:rsidRPr="00141A1D" w:rsidRDefault="0080157C">
      <w:pPr>
        <w:pStyle w:val="Innehll4"/>
      </w:pPr>
      <w:r w:rsidRPr="00141A1D">
        <w:t>Motionen</w:t>
      </w:r>
      <w:r w:rsidRPr="00141A1D">
        <w:tab/>
        <w:t>26</w:t>
      </w:r>
    </w:p>
    <w:p w:rsidR="0080157C" w:rsidRPr="00141A1D" w:rsidRDefault="0080157C">
      <w:pPr>
        <w:pStyle w:val="Innehll4"/>
      </w:pPr>
      <w:r w:rsidRPr="00141A1D">
        <w:t>Gällande regler</w:t>
      </w:r>
      <w:r w:rsidRPr="00141A1D">
        <w:tab/>
        <w:t>26</w:t>
      </w:r>
    </w:p>
    <w:p w:rsidR="0080157C" w:rsidRPr="00141A1D" w:rsidRDefault="0080157C">
      <w:pPr>
        <w:pStyle w:val="Innehll4"/>
      </w:pPr>
      <w:r w:rsidRPr="00141A1D">
        <w:t>Utskottets ställningstagande</w:t>
      </w:r>
      <w:r w:rsidRPr="00141A1D">
        <w:tab/>
        <w:t>27</w:t>
      </w:r>
    </w:p>
    <w:p w:rsidR="0080157C" w:rsidRPr="00141A1D" w:rsidRDefault="0080157C">
      <w:pPr>
        <w:pStyle w:val="Innehll2"/>
      </w:pPr>
      <w:r w:rsidRPr="00141A1D">
        <w:t>Registrering av lobbare</w:t>
      </w:r>
      <w:r w:rsidRPr="00141A1D">
        <w:tab/>
        <w:t>27</w:t>
      </w:r>
    </w:p>
    <w:p w:rsidR="0080157C" w:rsidRPr="00141A1D" w:rsidRDefault="0080157C">
      <w:pPr>
        <w:pStyle w:val="Innehll4"/>
      </w:pPr>
      <w:r w:rsidRPr="00141A1D">
        <w:t>Motionen</w:t>
      </w:r>
      <w:r w:rsidRPr="00141A1D">
        <w:tab/>
        <w:t>27</w:t>
      </w:r>
    </w:p>
    <w:p w:rsidR="0080157C" w:rsidRPr="00141A1D" w:rsidRDefault="0080157C">
      <w:pPr>
        <w:pStyle w:val="Innehll4"/>
      </w:pPr>
      <w:r w:rsidRPr="00141A1D">
        <w:t>Tidigare behandling</w:t>
      </w:r>
      <w:r w:rsidRPr="00141A1D">
        <w:tab/>
        <w:t>27</w:t>
      </w:r>
    </w:p>
    <w:p w:rsidR="0080157C" w:rsidRPr="00141A1D" w:rsidRDefault="0080157C">
      <w:pPr>
        <w:pStyle w:val="Innehll4"/>
      </w:pPr>
      <w:r w:rsidRPr="00141A1D">
        <w:t>Utskottets ställningstagande</w:t>
      </w:r>
      <w:r w:rsidRPr="00141A1D">
        <w:tab/>
        <w:t>27</w:t>
      </w:r>
    </w:p>
    <w:p w:rsidR="0080157C" w:rsidRPr="00141A1D" w:rsidRDefault="0080157C">
      <w:pPr>
        <w:pStyle w:val="Innehll2"/>
      </w:pPr>
      <w:r w:rsidRPr="00141A1D">
        <w:t>Teknisk utrustning</w:t>
      </w:r>
      <w:r w:rsidRPr="00141A1D">
        <w:tab/>
        <w:t>28</w:t>
      </w:r>
    </w:p>
    <w:p w:rsidR="0080157C" w:rsidRPr="00141A1D" w:rsidRDefault="0080157C">
      <w:pPr>
        <w:pStyle w:val="Innehll4"/>
      </w:pPr>
      <w:r w:rsidRPr="00141A1D">
        <w:t>Motionerna</w:t>
      </w:r>
      <w:r w:rsidRPr="00141A1D">
        <w:tab/>
        <w:t>28</w:t>
      </w:r>
    </w:p>
    <w:p w:rsidR="0080157C" w:rsidRPr="00141A1D" w:rsidRDefault="0080157C">
      <w:pPr>
        <w:pStyle w:val="Innehll4"/>
      </w:pPr>
      <w:r w:rsidRPr="00141A1D">
        <w:t>Tidigare riksdagsbehandling m.m.</w:t>
      </w:r>
      <w:r w:rsidRPr="00141A1D">
        <w:tab/>
        <w:t>28</w:t>
      </w:r>
    </w:p>
    <w:p w:rsidR="0080157C" w:rsidRPr="00141A1D" w:rsidRDefault="0080157C">
      <w:pPr>
        <w:pStyle w:val="Innehll4"/>
      </w:pPr>
      <w:r w:rsidRPr="00141A1D">
        <w:t>Utskottets ställningstagande</w:t>
      </w:r>
      <w:r w:rsidRPr="00141A1D">
        <w:tab/>
        <w:t>29</w:t>
      </w:r>
    </w:p>
    <w:p w:rsidR="0080157C" w:rsidRPr="00141A1D" w:rsidRDefault="0080157C">
      <w:pPr>
        <w:pStyle w:val="Innehll2"/>
      </w:pPr>
      <w:r w:rsidRPr="00141A1D">
        <w:t>Riksdagens IT-policy</w:t>
      </w:r>
      <w:r w:rsidRPr="00141A1D">
        <w:tab/>
        <w:t>29</w:t>
      </w:r>
    </w:p>
    <w:p w:rsidR="0080157C" w:rsidRPr="00141A1D" w:rsidRDefault="0080157C">
      <w:pPr>
        <w:pStyle w:val="Innehll4"/>
      </w:pPr>
      <w:r w:rsidRPr="00141A1D">
        <w:t>Motionen</w:t>
      </w:r>
      <w:r w:rsidRPr="00141A1D">
        <w:tab/>
        <w:t>29</w:t>
      </w:r>
    </w:p>
    <w:p w:rsidR="0080157C" w:rsidRPr="00141A1D" w:rsidRDefault="0080157C">
      <w:pPr>
        <w:pStyle w:val="Innehll4"/>
      </w:pPr>
      <w:r w:rsidRPr="00141A1D">
        <w:t>Tidigare riksdagsbehandling</w:t>
      </w:r>
      <w:r w:rsidRPr="00141A1D">
        <w:tab/>
        <w:t>30</w:t>
      </w:r>
    </w:p>
    <w:p w:rsidR="0080157C" w:rsidRPr="00141A1D" w:rsidRDefault="0080157C">
      <w:pPr>
        <w:pStyle w:val="Innehll4"/>
      </w:pPr>
      <w:r w:rsidRPr="00141A1D">
        <w:t>Utskottets ställningstagande</w:t>
      </w:r>
      <w:r w:rsidRPr="00141A1D">
        <w:tab/>
        <w:t>30</w:t>
      </w:r>
    </w:p>
    <w:p w:rsidR="0080157C" w:rsidRPr="00141A1D" w:rsidRDefault="0080157C">
      <w:pPr>
        <w:pStyle w:val="Innehll2"/>
      </w:pPr>
      <w:r w:rsidRPr="00141A1D">
        <w:t>Registrering av ledamöters ekonomiska intressen</w:t>
      </w:r>
      <w:r w:rsidRPr="00141A1D">
        <w:tab/>
        <w:t>30</w:t>
      </w:r>
    </w:p>
    <w:p w:rsidR="0080157C" w:rsidRPr="00141A1D" w:rsidRDefault="0080157C">
      <w:pPr>
        <w:pStyle w:val="Innehll4"/>
      </w:pPr>
      <w:r w:rsidRPr="00141A1D">
        <w:t>Motionen</w:t>
      </w:r>
      <w:r w:rsidRPr="00141A1D">
        <w:tab/>
        <w:t>30</w:t>
      </w:r>
    </w:p>
    <w:p w:rsidR="0080157C" w:rsidRPr="00141A1D" w:rsidRDefault="0080157C">
      <w:pPr>
        <w:pStyle w:val="Innehll4"/>
      </w:pPr>
      <w:r w:rsidRPr="00141A1D">
        <w:t>Tidigare behandling m.m.</w:t>
      </w:r>
      <w:r w:rsidRPr="00141A1D">
        <w:tab/>
        <w:t>30</w:t>
      </w:r>
    </w:p>
    <w:p w:rsidR="0080157C" w:rsidRPr="00141A1D" w:rsidRDefault="0080157C">
      <w:pPr>
        <w:pStyle w:val="Innehll4"/>
      </w:pPr>
      <w:r w:rsidRPr="00141A1D">
        <w:t>Utskottets ställningstagande</w:t>
      </w:r>
      <w:r w:rsidRPr="00141A1D">
        <w:tab/>
        <w:t>31</w:t>
      </w:r>
    </w:p>
    <w:p w:rsidR="0080157C" w:rsidRPr="00141A1D" w:rsidRDefault="0080157C">
      <w:pPr>
        <w:pStyle w:val="Innehll2"/>
      </w:pPr>
      <w:r w:rsidRPr="00141A1D">
        <w:t>Regionalt riksdagskontor i Göteborg</w:t>
      </w:r>
      <w:r w:rsidRPr="00141A1D">
        <w:tab/>
        <w:t>31</w:t>
      </w:r>
    </w:p>
    <w:p w:rsidR="0080157C" w:rsidRPr="00141A1D" w:rsidRDefault="0080157C">
      <w:pPr>
        <w:pStyle w:val="Innehll4"/>
      </w:pPr>
      <w:r w:rsidRPr="00141A1D">
        <w:t>Motionen</w:t>
      </w:r>
      <w:r w:rsidRPr="00141A1D">
        <w:tab/>
        <w:t>31</w:t>
      </w:r>
    </w:p>
    <w:p w:rsidR="0080157C" w:rsidRPr="00141A1D" w:rsidRDefault="0080157C">
      <w:pPr>
        <w:pStyle w:val="Innehll4"/>
      </w:pPr>
      <w:r w:rsidRPr="00141A1D">
        <w:t>Tidigare behandling</w:t>
      </w:r>
      <w:r w:rsidRPr="00141A1D">
        <w:tab/>
        <w:t>31</w:t>
      </w:r>
    </w:p>
    <w:p w:rsidR="0080157C" w:rsidRPr="00141A1D" w:rsidRDefault="0080157C">
      <w:pPr>
        <w:pStyle w:val="Innehll4"/>
      </w:pPr>
      <w:r w:rsidRPr="00141A1D">
        <w:t>Utskottets ställningstagande</w:t>
      </w:r>
      <w:r w:rsidRPr="00141A1D">
        <w:tab/>
        <w:t>32</w:t>
      </w:r>
    </w:p>
    <w:p w:rsidR="0080157C" w:rsidRPr="00141A1D" w:rsidRDefault="0080157C">
      <w:pPr>
        <w:pStyle w:val="Innehll2"/>
      </w:pPr>
      <w:r w:rsidRPr="00141A1D">
        <w:t>Högvakt vid riksdagen och Sagerska huset</w:t>
      </w:r>
      <w:r w:rsidRPr="00141A1D">
        <w:tab/>
        <w:t>32</w:t>
      </w:r>
    </w:p>
    <w:p w:rsidR="0080157C" w:rsidRPr="00141A1D" w:rsidRDefault="0080157C">
      <w:pPr>
        <w:pStyle w:val="Innehll4"/>
      </w:pPr>
      <w:r w:rsidRPr="00141A1D">
        <w:t>Motionen</w:t>
      </w:r>
      <w:r w:rsidRPr="00141A1D">
        <w:tab/>
        <w:t>32</w:t>
      </w:r>
    </w:p>
    <w:p w:rsidR="0080157C" w:rsidRPr="00141A1D" w:rsidRDefault="0080157C">
      <w:pPr>
        <w:pStyle w:val="Innehll4"/>
      </w:pPr>
      <w:r w:rsidRPr="00141A1D">
        <w:t>Gällande regler</w:t>
      </w:r>
      <w:r w:rsidRPr="00141A1D">
        <w:tab/>
        <w:t>32</w:t>
      </w:r>
    </w:p>
    <w:p w:rsidR="0080157C" w:rsidRPr="00141A1D" w:rsidRDefault="0080157C">
      <w:pPr>
        <w:pStyle w:val="Innehll4"/>
      </w:pPr>
      <w:r w:rsidRPr="00141A1D">
        <w:t>Utskottets ställningstagande</w:t>
      </w:r>
      <w:r w:rsidRPr="00141A1D">
        <w:tab/>
        <w:t>33</w:t>
      </w:r>
    </w:p>
    <w:p w:rsidR="0080157C" w:rsidRPr="00141A1D" w:rsidRDefault="0080157C">
      <w:pPr>
        <w:pStyle w:val="Innehll2"/>
      </w:pPr>
      <w:r w:rsidRPr="00141A1D">
        <w:t>Samordning av riksdagens informations- och dokumentationsverksamhet</w:t>
      </w:r>
      <w:r w:rsidRPr="00141A1D">
        <w:tab/>
        <w:t>34</w:t>
      </w:r>
    </w:p>
    <w:p w:rsidR="0080157C" w:rsidRPr="00141A1D" w:rsidRDefault="0080157C">
      <w:pPr>
        <w:pStyle w:val="Innehll4"/>
      </w:pPr>
      <w:r w:rsidRPr="00141A1D">
        <w:t>Motionen</w:t>
      </w:r>
      <w:r w:rsidRPr="00141A1D">
        <w:tab/>
        <w:t>34</w:t>
      </w:r>
    </w:p>
    <w:p w:rsidR="0080157C" w:rsidRPr="00141A1D" w:rsidRDefault="0080157C">
      <w:pPr>
        <w:pStyle w:val="Innehll4"/>
      </w:pPr>
      <w:r w:rsidRPr="00141A1D">
        <w:t>Tidigare behandling</w:t>
      </w:r>
      <w:r w:rsidRPr="00141A1D">
        <w:tab/>
        <w:t>34</w:t>
      </w:r>
    </w:p>
    <w:p w:rsidR="0080157C" w:rsidRPr="00141A1D" w:rsidRDefault="0080157C">
      <w:pPr>
        <w:pStyle w:val="Innehll4"/>
      </w:pPr>
      <w:r w:rsidRPr="00141A1D">
        <w:t>Utskottets ställningstagande</w:t>
      </w:r>
      <w:r w:rsidRPr="00141A1D">
        <w:tab/>
        <w:t>34</w:t>
      </w:r>
    </w:p>
    <w:p w:rsidR="0080157C" w:rsidRPr="00141A1D" w:rsidRDefault="0080157C">
      <w:pPr>
        <w:pStyle w:val="Innehll2"/>
      </w:pPr>
      <w:r w:rsidRPr="00141A1D">
        <w:t>Skolelevers besök i riksdagen</w:t>
      </w:r>
      <w:r w:rsidRPr="00141A1D">
        <w:tab/>
        <w:t>35</w:t>
      </w:r>
    </w:p>
    <w:p w:rsidR="0080157C" w:rsidRPr="00141A1D" w:rsidRDefault="0080157C">
      <w:pPr>
        <w:pStyle w:val="Innehll4"/>
      </w:pPr>
      <w:r w:rsidRPr="00141A1D">
        <w:t>Motionen</w:t>
      </w:r>
      <w:r w:rsidRPr="00141A1D">
        <w:tab/>
        <w:t>35</w:t>
      </w:r>
    </w:p>
    <w:p w:rsidR="0080157C" w:rsidRPr="00141A1D" w:rsidRDefault="0080157C">
      <w:pPr>
        <w:pStyle w:val="Innehll4"/>
      </w:pPr>
      <w:r w:rsidRPr="00141A1D">
        <w:t>Tidigare behandling</w:t>
      </w:r>
      <w:r w:rsidRPr="00141A1D">
        <w:tab/>
        <w:t>35</w:t>
      </w:r>
    </w:p>
    <w:p w:rsidR="0080157C" w:rsidRPr="00141A1D" w:rsidRDefault="0080157C">
      <w:pPr>
        <w:pStyle w:val="Innehll4"/>
      </w:pPr>
      <w:r w:rsidRPr="00141A1D">
        <w:t>Utskottets ställningstagande</w:t>
      </w:r>
      <w:r w:rsidRPr="00141A1D">
        <w:tab/>
        <w:t>35</w:t>
      </w:r>
    </w:p>
    <w:p w:rsidR="0080157C" w:rsidRPr="00141A1D" w:rsidRDefault="0080157C">
      <w:pPr>
        <w:pStyle w:val="Innehll1"/>
      </w:pPr>
      <w:r w:rsidRPr="00141A1D">
        <w:t>Reservationer</w:t>
      </w:r>
      <w:r w:rsidRPr="00141A1D">
        <w:tab/>
        <w:t>36</w:t>
      </w:r>
    </w:p>
    <w:p w:rsidR="0080157C" w:rsidRPr="00141A1D" w:rsidRDefault="0080157C">
      <w:pPr>
        <w:pStyle w:val="Innehll2"/>
      </w:pPr>
      <w:r w:rsidRPr="00141A1D">
        <w:t>1. Ledamöternas placering i plenisalen (punkt 5)</w:t>
      </w:r>
      <w:r w:rsidRPr="00141A1D">
        <w:tab/>
        <w:t>36</w:t>
      </w:r>
    </w:p>
    <w:p w:rsidR="0080157C" w:rsidRPr="00141A1D" w:rsidRDefault="0080157C">
      <w:pPr>
        <w:pStyle w:val="Innehll2"/>
      </w:pPr>
      <w:r w:rsidRPr="00141A1D">
        <w:t>2. Europaparlamentarikers deltagande i riksdagsdebatter (punkt 8)</w:t>
      </w:r>
      <w:r w:rsidRPr="00141A1D">
        <w:tab/>
        <w:t>36</w:t>
      </w:r>
    </w:p>
    <w:p w:rsidR="0080157C" w:rsidRPr="00141A1D" w:rsidRDefault="0080157C">
      <w:pPr>
        <w:pStyle w:val="Innehll2"/>
      </w:pPr>
      <w:r w:rsidRPr="00141A1D">
        <w:t>3. Budgetprocessen (punkt 10)</w:t>
      </w:r>
      <w:r w:rsidRPr="00141A1D">
        <w:tab/>
        <w:t>37</w:t>
      </w:r>
    </w:p>
    <w:p w:rsidR="0080157C" w:rsidRPr="00141A1D" w:rsidRDefault="0080157C">
      <w:pPr>
        <w:pStyle w:val="Innehll2"/>
      </w:pPr>
      <w:r w:rsidRPr="00141A1D">
        <w:t>4. Utskottsorganisationen (punkt 12)</w:t>
      </w:r>
      <w:r w:rsidRPr="00141A1D">
        <w:tab/>
        <w:t>37</w:t>
      </w:r>
    </w:p>
    <w:p w:rsidR="0080157C" w:rsidRPr="00141A1D" w:rsidRDefault="0080157C">
      <w:pPr>
        <w:pStyle w:val="Innehll2"/>
      </w:pPr>
      <w:r w:rsidRPr="00141A1D">
        <w:t>5. Försvarsberedningens roll (punkt 13 – motiveringen)</w:t>
      </w:r>
      <w:r w:rsidRPr="00141A1D">
        <w:tab/>
        <w:t>38</w:t>
      </w:r>
    </w:p>
    <w:p w:rsidR="0080157C" w:rsidRPr="00141A1D" w:rsidRDefault="0080157C">
      <w:pPr>
        <w:pStyle w:val="Innehll2"/>
      </w:pPr>
      <w:r w:rsidRPr="00141A1D">
        <w:t>6. Registrering av ledamöters ekonomiska intressen (punkt 21)</w:t>
      </w:r>
      <w:r w:rsidRPr="00141A1D">
        <w:tab/>
        <w:t>38</w:t>
      </w:r>
    </w:p>
    <w:p w:rsidR="0080157C" w:rsidRPr="00141A1D" w:rsidRDefault="0080157C">
      <w:pPr>
        <w:pStyle w:val="Innehll2"/>
      </w:pPr>
      <w:r w:rsidRPr="00141A1D">
        <w:t>7. Regionalt riksdagskontor i Göteborg (punkt 22)</w:t>
      </w:r>
      <w:r w:rsidRPr="00141A1D">
        <w:tab/>
        <w:t>39</w:t>
      </w:r>
    </w:p>
    <w:p w:rsidR="0080157C" w:rsidRPr="00141A1D" w:rsidRDefault="0080157C">
      <w:pPr>
        <w:pStyle w:val="Innehll1"/>
      </w:pPr>
      <w:r w:rsidRPr="00141A1D">
        <w:t>Särskilt yttrande</w:t>
      </w:r>
      <w:r w:rsidRPr="00141A1D">
        <w:tab/>
        <w:t>40</w:t>
      </w:r>
    </w:p>
    <w:p w:rsidR="0080157C" w:rsidRPr="00141A1D" w:rsidRDefault="0080157C">
      <w:pPr>
        <w:pStyle w:val="Innehll3"/>
      </w:pPr>
      <w:r w:rsidRPr="00141A1D">
        <w:t>Budgetprocessen (punkt 10)</w:t>
      </w:r>
      <w:r w:rsidRPr="00141A1D">
        <w:tab/>
        <w:t>40</w:t>
      </w:r>
    </w:p>
    <w:p w:rsidR="0080157C" w:rsidRPr="00141A1D" w:rsidRDefault="0080157C">
      <w:pPr>
        <w:pStyle w:val="Innehll1"/>
      </w:pPr>
      <w:r w:rsidRPr="00141A1D">
        <w:t>Förteckning över behandlade förslag</w:t>
      </w:r>
      <w:r w:rsidRPr="00141A1D">
        <w:tab/>
        <w:t>41</w:t>
      </w:r>
    </w:p>
    <w:p w:rsidR="0080157C" w:rsidRPr="00141A1D" w:rsidRDefault="0080157C">
      <w:pPr>
        <w:pStyle w:val="Innehll2"/>
      </w:pPr>
      <w:r w:rsidRPr="00141A1D">
        <w:t>Riksdagsstyrelsens förslag</w:t>
      </w:r>
      <w:r w:rsidRPr="00141A1D">
        <w:tab/>
        <w:t>41</w:t>
      </w:r>
    </w:p>
    <w:p w:rsidR="0080157C" w:rsidRPr="00141A1D" w:rsidRDefault="0080157C">
      <w:pPr>
        <w:pStyle w:val="Innehll2"/>
      </w:pPr>
      <w:r w:rsidRPr="00141A1D">
        <w:t>Motioner från allmänna motionstiden</w:t>
      </w:r>
      <w:r w:rsidRPr="00141A1D">
        <w:tab/>
        <w:t>41</w:t>
      </w:r>
    </w:p>
    <w:p w:rsidR="0080157C" w:rsidRPr="00141A1D" w:rsidRDefault="0080157C">
      <w:pPr>
        <w:pStyle w:val="Innehll1"/>
      </w:pPr>
      <w:r w:rsidRPr="00141A1D">
        <w:t>Riksdagsstyrelsens lagförslag</w:t>
      </w:r>
      <w:r w:rsidRPr="00141A1D">
        <w:tab/>
        <w:t>45</w:t>
      </w:r>
    </w:p>
    <w:p w:rsidR="0080157C" w:rsidRPr="00141A1D" w:rsidRDefault="0080157C">
      <w:pPr>
        <w:pStyle w:val="Innehll2"/>
      </w:pPr>
      <w:r w:rsidRPr="00141A1D">
        <w:t>1 Förslag till lag om ändring i lagen (1994:1065) om ekonomiska villkor för riksdagens ledamöter</w:t>
      </w:r>
      <w:r w:rsidRPr="00141A1D">
        <w:tab/>
        <w:t>45</w:t>
      </w:r>
    </w:p>
    <w:p w:rsidR="0080157C" w:rsidRPr="00141A1D" w:rsidRDefault="0080157C">
      <w:pPr>
        <w:pStyle w:val="Innehll2"/>
      </w:pPr>
      <w:r w:rsidRPr="00141A1D">
        <w:t>2 Förslag till lag om ändring i lagen (1996:304) om arvode m.m. till Sveriges företrädare i Europaparlamentet</w:t>
      </w:r>
      <w:r w:rsidRPr="00141A1D">
        <w:tab/>
        <w:t>49</w:t>
      </w:r>
    </w:p>
    <w:p w:rsidR="0080157C" w:rsidRPr="00141A1D" w:rsidRDefault="0080157C">
      <w:pPr>
        <w:pStyle w:val="Innehll1"/>
      </w:pPr>
      <w:r w:rsidRPr="00141A1D">
        <w:t>Reservanternas lagförslag</w:t>
      </w:r>
      <w:r w:rsidRPr="00141A1D">
        <w:tab/>
        <w:t>51</w:t>
      </w:r>
    </w:p>
    <w:p w:rsidR="0080157C" w:rsidRPr="00141A1D" w:rsidRDefault="0080157C">
      <w:pPr>
        <w:pStyle w:val="Innehll2"/>
      </w:pPr>
      <w:r w:rsidRPr="00141A1D">
        <w:t>Förslag till lag om ändring i lagen (1996:810) om registrering av riksdagsledamöters åtaganden och ekonomiska intressen</w:t>
      </w:r>
      <w:r w:rsidRPr="00141A1D">
        <w:tab/>
        <w:t>51</w:t>
      </w:r>
    </w:p>
    <w:p w:rsidR="0080157C" w:rsidRPr="00141A1D" w:rsidRDefault="0080157C">
      <w:pPr>
        <w:spacing w:before="0"/>
      </w:pPr>
    </w:p>
    <w:p w:rsidR="0080157C" w:rsidRPr="00141A1D" w:rsidRDefault="0080157C">
      <w:pPr>
        <w:pStyle w:val="Normaltindrag"/>
        <w:sectPr w:rsidR="00000000" w:rsidRPr="00141A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0157C" w:rsidRPr="00141A1D" w:rsidRDefault="0080157C">
      <w:pPr>
        <w:pStyle w:val="Rubrik1"/>
        <w:rPr>
          <w:noProof w:val="0"/>
        </w:rPr>
      </w:pPr>
      <w:bookmarkStart w:id="5" w:name="_Toc530475924"/>
      <w:r w:rsidRPr="00141A1D">
        <w:rPr>
          <w:noProof w:val="0"/>
        </w:rPr>
        <w:t>Utskottets förslag till riksdagsbeslut</w:t>
      </w:r>
      <w:bookmarkEnd w:id="5"/>
    </w:p>
    <w:p w:rsidR="0080157C" w:rsidRPr="00141A1D" w:rsidRDefault="0080157C">
      <w:pPr>
        <w:spacing w:before="0"/>
      </w:pPr>
      <w:r w:rsidRPr="00141A1D">
        <w:t>Med hänvisning till de motiveringar som framförs under Utskottets öve</w:t>
      </w:r>
      <w:r w:rsidRPr="00141A1D">
        <w:t>r</w:t>
      </w:r>
      <w:r w:rsidRPr="00141A1D">
        <w:t>väganden föreslår utskottet att riksdagen fattar följande beslut:</w:t>
      </w:r>
    </w:p>
    <w:p w:rsidR="0080157C" w:rsidRPr="00141A1D" w:rsidRDefault="0080157C">
      <w:pPr>
        <w:pStyle w:val="Normaltindrag"/>
      </w:pPr>
    </w:p>
    <w:p w:rsidR="0080157C" w:rsidRPr="00141A1D" w:rsidRDefault="0080157C">
      <w:pPr>
        <w:pStyle w:val="Frslagspunkt"/>
        <w:numPr>
          <w:ilvl w:val="0"/>
          <w:numId w:val="4"/>
        </w:numPr>
        <w:spacing w:before="0"/>
        <w:rPr>
          <w:noProof w:val="0"/>
        </w:rPr>
      </w:pPr>
      <w:r w:rsidRPr="00141A1D">
        <w:rPr>
          <w:noProof w:val="0"/>
        </w:rPr>
        <w:t>Riksdagsstyrelsens förslag 2001/02:RS1</w:t>
      </w:r>
    </w:p>
    <w:p w:rsidR="0080157C" w:rsidRPr="00141A1D" w:rsidRDefault="0080157C">
      <w:pPr>
        <w:pStyle w:val="Frslagstext"/>
      </w:pPr>
      <w:r w:rsidRPr="00141A1D">
        <w:t>Riksdagen antar i bilaga 2 intagna förslag till lag om ändring i lagen (1994:1065) om ekonomiska villkor för riksdagens ledamöter och förslag till lag om ändring i lagen (1996:304) om arvode m.m. till Sveriges för</w:t>
      </w:r>
      <w:r w:rsidRPr="00141A1D">
        <w:t>e</w:t>
      </w:r>
      <w:r w:rsidRPr="00141A1D">
        <w:t>trädare i Europaparlamentet. Därmed bifaller riksdagen riksdagsstyre</w:t>
      </w:r>
      <w:r w:rsidRPr="00141A1D">
        <w:t>l</w:t>
      </w:r>
      <w:r w:rsidRPr="00141A1D">
        <w:t xml:space="preserve">sens förslag 2001/02:RS1. </w:t>
      </w:r>
    </w:p>
    <w:p w:rsidR="0080157C" w:rsidRPr="00141A1D" w:rsidRDefault="0080157C">
      <w:pPr>
        <w:pStyle w:val="Frslagspunkt"/>
        <w:numPr>
          <w:ilvl w:val="0"/>
          <w:numId w:val="4"/>
        </w:numPr>
        <w:rPr>
          <w:noProof w:val="0"/>
        </w:rPr>
      </w:pPr>
      <w:bookmarkStart w:id="6" w:name="Nästa_Hpunkt"/>
      <w:bookmarkEnd w:id="6"/>
      <w:r w:rsidRPr="00141A1D">
        <w:rPr>
          <w:noProof w:val="0"/>
        </w:rPr>
        <w:t>Arvoden till ledamöter i vissa organ</w:t>
      </w:r>
    </w:p>
    <w:p w:rsidR="0080157C" w:rsidRPr="00141A1D" w:rsidRDefault="0080157C">
      <w:pPr>
        <w:pStyle w:val="Frslagstext"/>
      </w:pPr>
      <w:r w:rsidRPr="00141A1D">
        <w:t>Riksdagen avslår motionerna 2001/02:K209 och 2000/01:K376.</w:t>
      </w:r>
    </w:p>
    <w:p w:rsidR="0080157C" w:rsidRPr="00141A1D" w:rsidRDefault="0080157C">
      <w:pPr>
        <w:pStyle w:val="Frslagspunkt"/>
        <w:numPr>
          <w:ilvl w:val="0"/>
          <w:numId w:val="4"/>
        </w:numPr>
        <w:rPr>
          <w:noProof w:val="0"/>
        </w:rPr>
      </w:pPr>
      <w:r w:rsidRPr="00141A1D">
        <w:rPr>
          <w:noProof w:val="0"/>
        </w:rPr>
        <w:t>Ersättningen till ersättare</w:t>
      </w:r>
    </w:p>
    <w:p w:rsidR="0080157C" w:rsidRPr="00141A1D" w:rsidRDefault="0080157C">
      <w:pPr>
        <w:pStyle w:val="Frslagstext"/>
      </w:pPr>
      <w:r w:rsidRPr="00141A1D">
        <w:t>Riksdagen avslår motion 2001/02:K364.</w:t>
      </w:r>
    </w:p>
    <w:p w:rsidR="0080157C" w:rsidRPr="00141A1D" w:rsidRDefault="0080157C">
      <w:pPr>
        <w:pStyle w:val="Frslagspunkt"/>
        <w:numPr>
          <w:ilvl w:val="0"/>
          <w:numId w:val="4"/>
        </w:numPr>
        <w:rPr>
          <w:noProof w:val="0"/>
        </w:rPr>
      </w:pPr>
      <w:r w:rsidRPr="00141A1D">
        <w:rPr>
          <w:noProof w:val="0"/>
        </w:rPr>
        <w:t>Riksdagens arbetsår</w:t>
      </w:r>
    </w:p>
    <w:p w:rsidR="0080157C" w:rsidRPr="00141A1D" w:rsidRDefault="0080157C">
      <w:pPr>
        <w:pStyle w:val="Frslagstext"/>
      </w:pPr>
      <w:r w:rsidRPr="00141A1D">
        <w:t>Riksdagen avslår motionerna 2001/02:K211 och  2001/02:K363.</w:t>
      </w:r>
    </w:p>
    <w:p w:rsidR="0080157C" w:rsidRPr="00141A1D" w:rsidRDefault="0080157C">
      <w:pPr>
        <w:pStyle w:val="Frslagspunkt"/>
        <w:numPr>
          <w:ilvl w:val="0"/>
          <w:numId w:val="4"/>
        </w:numPr>
        <w:rPr>
          <w:noProof w:val="0"/>
        </w:rPr>
      </w:pPr>
      <w:r w:rsidRPr="00141A1D">
        <w:rPr>
          <w:noProof w:val="0"/>
        </w:rPr>
        <w:t>Ledamöternas placering i plenisalen</w:t>
      </w:r>
    </w:p>
    <w:p w:rsidR="0080157C" w:rsidRPr="00141A1D" w:rsidRDefault="0080157C">
      <w:pPr>
        <w:pStyle w:val="Frslagstext"/>
      </w:pPr>
      <w:r w:rsidRPr="00141A1D">
        <w:t>Riksdagen avslår motion 2001/02:K227.</w:t>
      </w:r>
    </w:p>
    <w:p w:rsidR="0080157C" w:rsidRPr="00141A1D" w:rsidRDefault="0080157C">
      <w:pPr>
        <w:pStyle w:val="Reservationshnvisning"/>
      </w:pPr>
      <w:r w:rsidRPr="00141A1D">
        <w:t>Reservation 1 (m, kd)</w:t>
      </w:r>
    </w:p>
    <w:p w:rsidR="0080157C" w:rsidRPr="00141A1D" w:rsidRDefault="0080157C">
      <w:pPr>
        <w:pStyle w:val="Frslagspunkt"/>
        <w:numPr>
          <w:ilvl w:val="0"/>
          <w:numId w:val="4"/>
        </w:numPr>
        <w:rPr>
          <w:noProof w:val="0"/>
        </w:rPr>
      </w:pPr>
      <w:r w:rsidRPr="00141A1D">
        <w:rPr>
          <w:noProof w:val="0"/>
        </w:rPr>
        <w:t>Ideologiska debatter i riksdagen</w:t>
      </w:r>
    </w:p>
    <w:p w:rsidR="0080157C" w:rsidRPr="00141A1D" w:rsidRDefault="0080157C">
      <w:pPr>
        <w:pStyle w:val="Frslagstext"/>
      </w:pPr>
      <w:r w:rsidRPr="00141A1D">
        <w:t>Riksdagen avslår motion 2001/02:U347 yrkande 4.</w:t>
      </w:r>
    </w:p>
    <w:p w:rsidR="0080157C" w:rsidRPr="00141A1D" w:rsidRDefault="0080157C">
      <w:pPr>
        <w:pStyle w:val="Frslagspunkt"/>
        <w:numPr>
          <w:ilvl w:val="0"/>
          <w:numId w:val="4"/>
        </w:numPr>
        <w:rPr>
          <w:noProof w:val="0"/>
        </w:rPr>
      </w:pPr>
      <w:r w:rsidRPr="00141A1D">
        <w:rPr>
          <w:noProof w:val="0"/>
        </w:rPr>
        <w:t>Statsrådens deltagande i riksdagsarbetet</w:t>
      </w:r>
    </w:p>
    <w:p w:rsidR="0080157C" w:rsidRPr="00141A1D" w:rsidRDefault="0080157C">
      <w:pPr>
        <w:pStyle w:val="Frslagstext"/>
      </w:pPr>
      <w:r w:rsidRPr="00141A1D">
        <w:t>Riksdagen avslår motion 2001/02:K402 yrkandena 1 och 2.</w:t>
      </w:r>
    </w:p>
    <w:p w:rsidR="0080157C" w:rsidRPr="00141A1D" w:rsidRDefault="0080157C">
      <w:pPr>
        <w:pStyle w:val="Frslagspunkt"/>
        <w:numPr>
          <w:ilvl w:val="0"/>
          <w:numId w:val="4"/>
        </w:numPr>
        <w:rPr>
          <w:noProof w:val="0"/>
        </w:rPr>
      </w:pPr>
      <w:r w:rsidRPr="00141A1D">
        <w:rPr>
          <w:noProof w:val="0"/>
        </w:rPr>
        <w:t>Europaparlamentarikers deltagande i riksdagsdebatter</w:t>
      </w:r>
    </w:p>
    <w:p w:rsidR="0080157C" w:rsidRPr="00141A1D" w:rsidRDefault="0080157C">
      <w:pPr>
        <w:pStyle w:val="Frslagstext"/>
      </w:pPr>
      <w:r w:rsidRPr="00141A1D">
        <w:t>Riksdagen avslår motion 2001/02:U301 yrkande 2.</w:t>
      </w:r>
    </w:p>
    <w:p w:rsidR="0080157C" w:rsidRPr="00141A1D" w:rsidRDefault="0080157C">
      <w:pPr>
        <w:pStyle w:val="Reservationshnvisning"/>
      </w:pPr>
      <w:r w:rsidRPr="00141A1D">
        <w:t>Reservation 2 (fp)</w:t>
      </w:r>
    </w:p>
    <w:p w:rsidR="0080157C" w:rsidRPr="00141A1D" w:rsidRDefault="0080157C">
      <w:pPr>
        <w:pStyle w:val="Frslagspunkt"/>
        <w:numPr>
          <w:ilvl w:val="0"/>
          <w:numId w:val="4"/>
        </w:numPr>
        <w:rPr>
          <w:noProof w:val="0"/>
        </w:rPr>
      </w:pPr>
      <w:r w:rsidRPr="00141A1D">
        <w:rPr>
          <w:noProof w:val="0"/>
        </w:rPr>
        <w:t>Den allmänna motionstiden m.m.</w:t>
      </w:r>
    </w:p>
    <w:p w:rsidR="0080157C" w:rsidRPr="00141A1D" w:rsidRDefault="0080157C">
      <w:pPr>
        <w:pStyle w:val="Frslagstext"/>
      </w:pPr>
      <w:r w:rsidRPr="00141A1D">
        <w:t>Riksdagen avslår motionerna 2001/02:K225, 2001/02:K252, 2001/02: K343, 2001/02:K375 och 2001/02:K423.</w:t>
      </w:r>
    </w:p>
    <w:p w:rsidR="0080157C" w:rsidRPr="00141A1D" w:rsidRDefault="0080157C">
      <w:pPr>
        <w:pStyle w:val="Frslagspunkt"/>
        <w:numPr>
          <w:ilvl w:val="0"/>
          <w:numId w:val="4"/>
        </w:numPr>
        <w:rPr>
          <w:noProof w:val="0"/>
        </w:rPr>
      </w:pPr>
      <w:r w:rsidRPr="00141A1D">
        <w:rPr>
          <w:noProof w:val="0"/>
        </w:rPr>
        <w:t>Budgetprocessen</w:t>
      </w:r>
    </w:p>
    <w:p w:rsidR="0080157C" w:rsidRPr="00141A1D" w:rsidRDefault="0080157C">
      <w:pPr>
        <w:pStyle w:val="Frslagstext"/>
      </w:pPr>
      <w:r w:rsidRPr="00141A1D">
        <w:t>Riksdagen avslår motionerna 2001/02:K277 och 2001/02:K332.</w:t>
      </w:r>
    </w:p>
    <w:p w:rsidR="0080157C" w:rsidRPr="00141A1D" w:rsidRDefault="0080157C">
      <w:pPr>
        <w:pStyle w:val="Reservationshnvisning"/>
      </w:pPr>
      <w:r w:rsidRPr="00141A1D">
        <w:t>Reservation 3 (v)</w:t>
      </w:r>
    </w:p>
    <w:p w:rsidR="0080157C" w:rsidRPr="00141A1D" w:rsidRDefault="0080157C">
      <w:pPr>
        <w:pStyle w:val="Frslagspunkt"/>
        <w:numPr>
          <w:ilvl w:val="0"/>
          <w:numId w:val="4"/>
        </w:numPr>
        <w:rPr>
          <w:noProof w:val="0"/>
        </w:rPr>
      </w:pPr>
      <w:r w:rsidRPr="00141A1D">
        <w:rPr>
          <w:noProof w:val="0"/>
        </w:rPr>
        <w:t>Utformningen av motioner</w:t>
      </w:r>
    </w:p>
    <w:p w:rsidR="0080157C" w:rsidRPr="00141A1D" w:rsidRDefault="0080157C">
      <w:pPr>
        <w:pStyle w:val="Frslagstext"/>
      </w:pPr>
      <w:r w:rsidRPr="00141A1D">
        <w:t>Riksdagen avslår motion 2001/02:K275.</w:t>
      </w:r>
    </w:p>
    <w:p w:rsidR="0080157C" w:rsidRPr="00141A1D" w:rsidRDefault="0080157C">
      <w:pPr>
        <w:pStyle w:val="Frslagspunkt"/>
        <w:numPr>
          <w:ilvl w:val="0"/>
          <w:numId w:val="4"/>
        </w:numPr>
        <w:rPr>
          <w:noProof w:val="0"/>
        </w:rPr>
      </w:pPr>
      <w:r w:rsidRPr="00141A1D">
        <w:rPr>
          <w:noProof w:val="0"/>
        </w:rPr>
        <w:t>Utskottsorganisationen</w:t>
      </w:r>
    </w:p>
    <w:p w:rsidR="0080157C" w:rsidRPr="00141A1D" w:rsidRDefault="0080157C">
      <w:pPr>
        <w:pStyle w:val="Frslagstext"/>
      </w:pPr>
      <w:r w:rsidRPr="00141A1D">
        <w:t>Riksdagen avslår motionerna 2001/02:K254, 2001/02:K298 yrkandena 1 och 2 samt 2001/02:K315 yrkande 1.</w:t>
      </w:r>
    </w:p>
    <w:p w:rsidR="0080157C" w:rsidRPr="00141A1D" w:rsidRDefault="0080157C">
      <w:pPr>
        <w:pStyle w:val="Reservationshnvisning"/>
      </w:pPr>
      <w:r w:rsidRPr="00141A1D">
        <w:t>Reservation 4 ( fp)</w:t>
      </w:r>
    </w:p>
    <w:p w:rsidR="0080157C" w:rsidRPr="00141A1D" w:rsidRDefault="0080157C">
      <w:pPr>
        <w:pStyle w:val="Frslagspunkt"/>
        <w:numPr>
          <w:ilvl w:val="0"/>
          <w:numId w:val="4"/>
        </w:numPr>
        <w:rPr>
          <w:noProof w:val="0"/>
        </w:rPr>
      </w:pPr>
      <w:r w:rsidRPr="00141A1D">
        <w:rPr>
          <w:noProof w:val="0"/>
        </w:rPr>
        <w:t>Försvarsberedningens roll</w:t>
      </w:r>
    </w:p>
    <w:p w:rsidR="0080157C" w:rsidRPr="00141A1D" w:rsidRDefault="0080157C">
      <w:pPr>
        <w:ind w:left="360"/>
      </w:pPr>
      <w:r w:rsidRPr="00141A1D">
        <w:t>Riksdagen avslår motion 2001/02:K315 yrkande 2.</w:t>
      </w:r>
    </w:p>
    <w:p w:rsidR="0080157C" w:rsidRPr="00141A1D" w:rsidRDefault="0080157C">
      <w:pPr>
        <w:pStyle w:val="Reservationshnvisning"/>
      </w:pPr>
      <w:r w:rsidRPr="00141A1D">
        <w:t>Reservation 5 (m) – motiv.</w:t>
      </w:r>
    </w:p>
    <w:p w:rsidR="0080157C" w:rsidRPr="00141A1D" w:rsidRDefault="0080157C">
      <w:pPr>
        <w:pStyle w:val="Frslagspunkt"/>
        <w:numPr>
          <w:ilvl w:val="0"/>
          <w:numId w:val="4"/>
        </w:numPr>
        <w:rPr>
          <w:noProof w:val="0"/>
        </w:rPr>
      </w:pPr>
      <w:r w:rsidRPr="00141A1D">
        <w:rPr>
          <w:noProof w:val="0"/>
        </w:rPr>
        <w:t>Utskottens arbetsformer</w:t>
      </w:r>
    </w:p>
    <w:p w:rsidR="0080157C" w:rsidRPr="00141A1D" w:rsidRDefault="0080157C">
      <w:pPr>
        <w:pStyle w:val="Frslagstext"/>
      </w:pPr>
      <w:r w:rsidRPr="00141A1D">
        <w:t>Riksdagen avslår motion 2001/02:K255.</w:t>
      </w:r>
    </w:p>
    <w:p w:rsidR="0080157C" w:rsidRPr="00141A1D" w:rsidRDefault="0080157C">
      <w:pPr>
        <w:pStyle w:val="Frslagspunkt"/>
        <w:rPr>
          <w:noProof w:val="0"/>
        </w:rPr>
      </w:pPr>
      <w:r w:rsidRPr="00141A1D">
        <w:rPr>
          <w:noProof w:val="0"/>
        </w:rPr>
        <w:t>15. Utskottens arbete med EU-frågor</w:t>
      </w:r>
    </w:p>
    <w:p w:rsidR="0080157C" w:rsidRPr="00141A1D" w:rsidRDefault="0080157C">
      <w:pPr>
        <w:pStyle w:val="Frslagstext"/>
      </w:pPr>
      <w:r w:rsidRPr="00141A1D">
        <w:t>Riksdagen avslår motion 2001/02:K426 yrkande 7.</w:t>
      </w:r>
    </w:p>
    <w:p w:rsidR="0080157C" w:rsidRPr="00141A1D" w:rsidRDefault="0080157C">
      <w:pPr>
        <w:pStyle w:val="Frslagspunkt"/>
        <w:rPr>
          <w:noProof w:val="0"/>
        </w:rPr>
      </w:pPr>
      <w:r w:rsidRPr="00141A1D">
        <w:rPr>
          <w:noProof w:val="0"/>
        </w:rPr>
        <w:t>16. Edgång vid utfrågningar i konstitutionsutskottet</w:t>
      </w:r>
    </w:p>
    <w:p w:rsidR="0080157C" w:rsidRPr="00141A1D" w:rsidRDefault="0080157C">
      <w:pPr>
        <w:pStyle w:val="Frslagstext"/>
      </w:pPr>
      <w:r w:rsidRPr="00141A1D">
        <w:t>Riksdagen avslår motion 2001/02:K316.</w:t>
      </w:r>
    </w:p>
    <w:p w:rsidR="0080157C" w:rsidRPr="00141A1D" w:rsidRDefault="0080157C">
      <w:pPr>
        <w:pStyle w:val="Frslagspunkt"/>
        <w:rPr>
          <w:noProof w:val="0"/>
        </w:rPr>
      </w:pPr>
      <w:r w:rsidRPr="00141A1D">
        <w:rPr>
          <w:noProof w:val="0"/>
        </w:rPr>
        <w:t>17. Debattordningen vid frågestunder</w:t>
      </w:r>
    </w:p>
    <w:p w:rsidR="0080157C" w:rsidRPr="00141A1D" w:rsidRDefault="0080157C">
      <w:pPr>
        <w:pStyle w:val="Frslagstext"/>
      </w:pPr>
      <w:r w:rsidRPr="00141A1D">
        <w:t>Riksdagen avslår motion 2001/02:K212.</w:t>
      </w:r>
    </w:p>
    <w:p w:rsidR="0080157C" w:rsidRPr="00141A1D" w:rsidRDefault="0080157C">
      <w:pPr>
        <w:pStyle w:val="Frslagspunkt"/>
        <w:rPr>
          <w:noProof w:val="0"/>
        </w:rPr>
      </w:pPr>
      <w:r w:rsidRPr="00141A1D">
        <w:rPr>
          <w:noProof w:val="0"/>
        </w:rPr>
        <w:t>18. Registrering av lobbare</w:t>
      </w:r>
    </w:p>
    <w:p w:rsidR="0080157C" w:rsidRPr="00141A1D" w:rsidRDefault="0080157C">
      <w:pPr>
        <w:pStyle w:val="Frslagstext"/>
      </w:pPr>
      <w:r w:rsidRPr="00141A1D">
        <w:t>Riksdagen avslår motion 2001/02:K380.</w:t>
      </w:r>
    </w:p>
    <w:p w:rsidR="0080157C" w:rsidRPr="00141A1D" w:rsidRDefault="0080157C">
      <w:pPr>
        <w:pStyle w:val="Frslagspunkt"/>
        <w:rPr>
          <w:noProof w:val="0"/>
        </w:rPr>
      </w:pPr>
      <w:r w:rsidRPr="00141A1D">
        <w:rPr>
          <w:noProof w:val="0"/>
        </w:rPr>
        <w:t>19. Teknisk utrustning</w:t>
      </w:r>
    </w:p>
    <w:p w:rsidR="0080157C" w:rsidRPr="00141A1D" w:rsidRDefault="0080157C">
      <w:pPr>
        <w:pStyle w:val="Frslagstext"/>
      </w:pPr>
      <w:r w:rsidRPr="00141A1D">
        <w:t>Riksdagen avslår motionerna 2001/02:K214 yrkandena 1 och 2 och 2001/02:K379.</w:t>
      </w:r>
    </w:p>
    <w:p w:rsidR="0080157C" w:rsidRPr="00141A1D" w:rsidRDefault="0080157C">
      <w:pPr>
        <w:pStyle w:val="Frslagspunkt"/>
        <w:rPr>
          <w:noProof w:val="0"/>
        </w:rPr>
      </w:pPr>
      <w:r w:rsidRPr="00141A1D">
        <w:rPr>
          <w:noProof w:val="0"/>
        </w:rPr>
        <w:t>20. Riksdagens IT-policy</w:t>
      </w:r>
    </w:p>
    <w:p w:rsidR="0080157C" w:rsidRPr="00141A1D" w:rsidRDefault="0080157C">
      <w:pPr>
        <w:pStyle w:val="Frslagstext"/>
      </w:pPr>
      <w:r w:rsidRPr="00141A1D">
        <w:t>Riksdagen avslår motionerna 2001/02:K231 yrkandena 1 och 2 samt 2001/02:Ub533 yrkande 6.</w:t>
      </w:r>
    </w:p>
    <w:p w:rsidR="0080157C" w:rsidRPr="00141A1D" w:rsidRDefault="0080157C">
      <w:pPr>
        <w:pStyle w:val="Frslagspunkt"/>
        <w:rPr>
          <w:noProof w:val="0"/>
        </w:rPr>
      </w:pPr>
      <w:r w:rsidRPr="00141A1D">
        <w:rPr>
          <w:noProof w:val="0"/>
        </w:rPr>
        <w:t>21. Registrering av ledamöters ekonomiska intressen</w:t>
      </w:r>
    </w:p>
    <w:p w:rsidR="0080157C" w:rsidRPr="00141A1D" w:rsidRDefault="0080157C">
      <w:pPr>
        <w:pStyle w:val="Frslagstext"/>
      </w:pPr>
      <w:r w:rsidRPr="00141A1D">
        <w:t>Riksdagen avslår motion 2001/02:K329.</w:t>
      </w:r>
    </w:p>
    <w:p w:rsidR="0080157C" w:rsidRPr="00141A1D" w:rsidRDefault="0080157C">
      <w:pPr>
        <w:pStyle w:val="Reservationshnvisning"/>
      </w:pPr>
      <w:r w:rsidRPr="00141A1D">
        <w:t>Reservation 6 (v, mp)</w:t>
      </w:r>
    </w:p>
    <w:p w:rsidR="0080157C" w:rsidRPr="00141A1D" w:rsidRDefault="0080157C">
      <w:pPr>
        <w:pStyle w:val="Frslagspunkt"/>
        <w:rPr>
          <w:noProof w:val="0"/>
        </w:rPr>
      </w:pPr>
      <w:r w:rsidRPr="00141A1D">
        <w:rPr>
          <w:noProof w:val="0"/>
        </w:rPr>
        <w:t>22. Regionalt riksdagskontor i Göteborg</w:t>
      </w:r>
    </w:p>
    <w:p w:rsidR="0080157C" w:rsidRPr="00141A1D" w:rsidRDefault="0080157C">
      <w:pPr>
        <w:pStyle w:val="Frslagstext"/>
      </w:pPr>
      <w:r w:rsidRPr="00141A1D">
        <w:t>Riksdagen avslår motion 2001/02:K256.</w:t>
      </w:r>
    </w:p>
    <w:p w:rsidR="0080157C" w:rsidRPr="00141A1D" w:rsidRDefault="0080157C">
      <w:pPr>
        <w:pStyle w:val="Reservationshnvisning"/>
      </w:pPr>
      <w:r w:rsidRPr="00141A1D">
        <w:tab/>
        <w:t>Reservation 7 (fp)</w:t>
      </w:r>
    </w:p>
    <w:p w:rsidR="0080157C" w:rsidRPr="00141A1D" w:rsidRDefault="0080157C">
      <w:pPr>
        <w:pStyle w:val="Frslagspunkt"/>
        <w:rPr>
          <w:noProof w:val="0"/>
        </w:rPr>
      </w:pPr>
      <w:r w:rsidRPr="00141A1D">
        <w:rPr>
          <w:noProof w:val="0"/>
        </w:rPr>
        <w:t>23. Högvakt vid riksdagen och Sagerska huset, m.m.</w:t>
      </w:r>
    </w:p>
    <w:p w:rsidR="0080157C" w:rsidRPr="00141A1D" w:rsidRDefault="0080157C">
      <w:pPr>
        <w:pStyle w:val="Frslagstext"/>
      </w:pPr>
      <w:r w:rsidRPr="00141A1D">
        <w:t>Riksdagen avslår motion 2001/02:K296 yrkandena 1 och 2.</w:t>
      </w:r>
    </w:p>
    <w:p w:rsidR="0080157C" w:rsidRPr="00141A1D" w:rsidRDefault="0080157C">
      <w:pPr>
        <w:pStyle w:val="Frslagspunkt"/>
        <w:rPr>
          <w:noProof w:val="0"/>
        </w:rPr>
      </w:pPr>
      <w:r w:rsidRPr="00141A1D">
        <w:rPr>
          <w:noProof w:val="0"/>
        </w:rPr>
        <w:t>24. Samordning av riksdagens informations- och dokumentationsverksamhet</w:t>
      </w:r>
    </w:p>
    <w:p w:rsidR="0080157C" w:rsidRPr="00141A1D" w:rsidRDefault="0080157C">
      <w:pPr>
        <w:pStyle w:val="Frslagstext"/>
      </w:pPr>
      <w:r w:rsidRPr="00141A1D">
        <w:t>Riksdagen avslår motion 2001/02:K274.</w:t>
      </w:r>
    </w:p>
    <w:p w:rsidR="0080157C" w:rsidRPr="00141A1D" w:rsidRDefault="0080157C">
      <w:pPr>
        <w:pStyle w:val="Frslagspunkt"/>
        <w:rPr>
          <w:noProof w:val="0"/>
        </w:rPr>
      </w:pPr>
      <w:r w:rsidRPr="00141A1D">
        <w:rPr>
          <w:noProof w:val="0"/>
        </w:rPr>
        <w:t>25. Skolelevers besök i riksdagen</w:t>
      </w:r>
    </w:p>
    <w:p w:rsidR="0080157C" w:rsidRPr="00141A1D" w:rsidRDefault="0080157C">
      <w:pPr>
        <w:pStyle w:val="Frslagstext"/>
      </w:pPr>
      <w:r w:rsidRPr="00141A1D">
        <w:t>Riksdagen avslår motion 2001/02:K202.</w:t>
      </w:r>
    </w:p>
    <w:p w:rsidR="0080157C" w:rsidRPr="00141A1D" w:rsidRDefault="0080157C">
      <w:pPr>
        <w:pStyle w:val="Normaltindrag"/>
      </w:pPr>
    </w:p>
    <w:p w:rsidR="0080157C" w:rsidRPr="00141A1D" w:rsidRDefault="0080157C">
      <w:pPr>
        <w:pStyle w:val="Utskriftsdatum"/>
      </w:pPr>
      <w:r w:rsidRPr="00141A1D">
        <w:t>Stockholm den 13 november 2001</w:t>
      </w:r>
    </w:p>
    <w:p w:rsidR="0080157C" w:rsidRPr="00141A1D" w:rsidRDefault="0080157C">
      <w:r w:rsidRPr="00141A1D">
        <w:t>På konstitutionsutskottets vägnar</w:t>
      </w:r>
    </w:p>
    <w:p w:rsidR="0080157C" w:rsidRPr="00141A1D" w:rsidRDefault="0080157C">
      <w:pPr>
        <w:pStyle w:val="Ordfranden"/>
        <w:rPr>
          <w:noProof w:val="0"/>
        </w:rPr>
      </w:pPr>
      <w:bookmarkStart w:id="7" w:name="Ordförande"/>
      <w:bookmarkEnd w:id="7"/>
      <w:r w:rsidRPr="00141A1D">
        <w:rPr>
          <w:noProof w:val="0"/>
        </w:rPr>
        <w:t xml:space="preserve">Per Unckel </w:t>
      </w:r>
    </w:p>
    <w:p w:rsidR="0080157C" w:rsidRPr="00141A1D" w:rsidRDefault="0080157C">
      <w:pPr>
        <w:pStyle w:val="Deltagare"/>
        <w:rPr>
          <w:noProof w:val="0"/>
        </w:rPr>
      </w:pPr>
      <w:bookmarkStart w:id="8" w:name="Deltagare"/>
      <w:bookmarkEnd w:id="8"/>
      <w:r w:rsidRPr="00141A1D">
        <w:rPr>
          <w:noProof w:val="0"/>
        </w:rPr>
        <w:t>Följande ledamöter har deltagit i beslutet: Per Unckel (m), Göran Magnusson (s), Barbro Hietala Nordlund (s), Kenneth Kvist (v), Ingvar Svensson (kd), Inger René (m), Mats Berglind (s), Lars Hjertén (m), Kerstin Kristiansson Karlstedt (s), Kenth Högström (s), Mats Einarsson (v), Björn von der Esch (kd), Nils Fredrik Aurelius (m), Per Lager (mp), Åsa Torstensson (c), Helena Bargholtz (fp) och Britt-Marie Lindkvist (s).</w:t>
      </w:r>
    </w:p>
    <w:p w:rsidR="0080157C" w:rsidRPr="00141A1D" w:rsidRDefault="0080157C">
      <w:pPr>
        <w:pStyle w:val="Normaltindrag"/>
      </w:pPr>
    </w:p>
    <w:p w:rsidR="0080157C" w:rsidRPr="00141A1D" w:rsidRDefault="0080157C">
      <w:pPr>
        <w:pStyle w:val="Normaltindrag"/>
        <w:sectPr w:rsidR="00000000" w:rsidRPr="00141A1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0157C" w:rsidRPr="00141A1D" w:rsidRDefault="0080157C"/>
    <w:p w:rsidR="0080157C" w:rsidRPr="00141A1D" w:rsidRDefault="0080157C">
      <w:pPr>
        <w:pStyle w:val="Rubrik1"/>
        <w:rPr>
          <w:noProof w:val="0"/>
        </w:rPr>
      </w:pPr>
      <w:bookmarkStart w:id="9" w:name="_Toc530475925"/>
      <w:r w:rsidRPr="00141A1D">
        <w:rPr>
          <w:noProof w:val="0"/>
        </w:rPr>
        <w:t>Utskottets överväganden</w:t>
      </w:r>
      <w:bookmarkEnd w:id="9"/>
    </w:p>
    <w:p w:rsidR="0080157C" w:rsidRPr="00141A1D" w:rsidRDefault="0080157C">
      <w:pPr>
        <w:pStyle w:val="Rubrik2"/>
        <w:spacing w:before="0"/>
      </w:pPr>
      <w:bookmarkStart w:id="10" w:name="_Toc530475926"/>
      <w:r w:rsidRPr="00141A1D">
        <w:t>Lagen (1994:1065) om ekonomiska villkor för riksdagens ledamöter, m.m.</w:t>
      </w:r>
      <w:bookmarkEnd w:id="10"/>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tillstyrker riksdagsstyrelsens förslag till lag om ändring i lagen (1994:1065) om ekonomiska villkor för riksdagens ledamöter och lag om ändring i lagen (1996:304) om arvode m.m. till Sveriges för</w:t>
      </w:r>
      <w:r w:rsidRPr="00141A1D">
        <w:t>e</w:t>
      </w:r>
      <w:r w:rsidRPr="00141A1D">
        <w:t>trädare i Europaparlamentet.</w:t>
      </w:r>
    </w:p>
    <w:p w:rsidR="0080157C" w:rsidRPr="00141A1D" w:rsidRDefault="0080157C">
      <w:pPr>
        <w:pStyle w:val="Rubrik4"/>
        <w:rPr>
          <w:noProof w:val="0"/>
        </w:rPr>
      </w:pPr>
      <w:bookmarkStart w:id="11" w:name="_Toc530475927"/>
      <w:r w:rsidRPr="00141A1D">
        <w:rPr>
          <w:noProof w:val="0"/>
        </w:rPr>
        <w:t>Riksdagsstyrelsens förslag</w:t>
      </w:r>
      <w:bookmarkEnd w:id="11"/>
    </w:p>
    <w:p w:rsidR="0080157C" w:rsidRPr="00141A1D" w:rsidRDefault="0080157C">
      <w:r w:rsidRPr="00141A1D">
        <w:t>Riksdagen beslutade i december 2000 (bet. 1999/2000:KU1 s. 25, prot. 37) att ge riksdagsstyrelsen i uppdrag att skyndsamt utreda förslag om ändrat ersät</w:t>
      </w:r>
      <w:r w:rsidRPr="00141A1D">
        <w:t>t</w:t>
      </w:r>
      <w:r w:rsidRPr="00141A1D">
        <w:t>ningssystem för riksdagsledamöternas sjukvårdsförmåner. Riksdagsstyrelsen lägger nu fram överväganden i frågan. Förslaget innebär att ersättningar som betalas till ledamöterna för deras sjukvårdskostnader, dvs. för bl.a. läkarbesök och läkemedel, i huvudsak tas bort. Vid särskilda skäl föreslås att en rik</w:t>
      </w:r>
      <w:r w:rsidRPr="00141A1D">
        <w:t>s</w:t>
      </w:r>
      <w:r w:rsidRPr="00141A1D">
        <w:t>dagsledamot efter prövning av riksdagsförvaltningen skall kunna få ersättning för kostn</w:t>
      </w:r>
      <w:r w:rsidRPr="00141A1D">
        <w:t>a</w:t>
      </w:r>
      <w:r w:rsidRPr="00141A1D">
        <w:t xml:space="preserve">der för insatser i rehabiliterande syfte. </w:t>
      </w:r>
    </w:p>
    <w:p w:rsidR="0080157C" w:rsidRPr="00141A1D" w:rsidRDefault="0080157C">
      <w:pPr>
        <w:pStyle w:val="Normaltindrag"/>
      </w:pPr>
      <w:r w:rsidRPr="00141A1D">
        <w:t>Förslaget innebär vidare att efterlevandeskyddet efter den som är rik</w:t>
      </w:r>
      <w:r w:rsidRPr="00141A1D">
        <w:t>s</w:t>
      </w:r>
      <w:r w:rsidRPr="00141A1D">
        <w:t xml:space="preserve">dagsledamot eller företrädare i Europaparlamentet efter fyllda 70 år förstärks. </w:t>
      </w:r>
    </w:p>
    <w:p w:rsidR="0080157C" w:rsidRPr="00141A1D" w:rsidRDefault="0080157C">
      <w:pPr>
        <w:pStyle w:val="Normaltindrag"/>
      </w:pPr>
      <w:r w:rsidRPr="00141A1D">
        <w:t>Förslaget innehåller även två ändringar som i princip utgör följdändringar till tidigare gjorda ändringar i ersättningslagen och företrädarlagen. Den ena ändringen avser att säkerställa att en riksdagsledamot eller företrädare som får sjukpension inte kommer i ett sämre läge på grund av samordning än vad som gäller enligt reglerna om sjukpension i pensionsavtalet för statstjänstemän (PA–91). Den andra ändringen innebär att arv</w:t>
      </w:r>
      <w:r w:rsidRPr="00141A1D">
        <w:t xml:space="preserve">ode till ordförande och vice ordförande i EU-nämnden skall ingå vid beräkning av underlag för såväl egenpensionsförmåner som inkomstgaranti, både enligt ersättningslagen och enligt företrädarlagen. </w:t>
      </w:r>
    </w:p>
    <w:p w:rsidR="0080157C" w:rsidRPr="00141A1D" w:rsidRDefault="0080157C">
      <w:pPr>
        <w:pStyle w:val="Normaltindrag"/>
      </w:pPr>
      <w:r w:rsidRPr="00141A1D">
        <w:t xml:space="preserve">Förslaget innehåller dessutom förtydligande av begreppet tid i ersättnings-lagen vid beräkning av tjänstgöringstid i riksdagen. </w:t>
      </w:r>
    </w:p>
    <w:p w:rsidR="0080157C" w:rsidRPr="00141A1D" w:rsidRDefault="0080157C">
      <w:pPr>
        <w:pStyle w:val="Rubrik4"/>
        <w:rPr>
          <w:noProof w:val="0"/>
        </w:rPr>
      </w:pPr>
      <w:bookmarkStart w:id="12" w:name="_Toc530475928"/>
      <w:r w:rsidRPr="00141A1D">
        <w:rPr>
          <w:noProof w:val="0"/>
        </w:rPr>
        <w:t>Utskottets ställningstagande</w:t>
      </w:r>
      <w:bookmarkEnd w:id="12"/>
    </w:p>
    <w:p w:rsidR="0080157C" w:rsidRPr="00141A1D" w:rsidRDefault="0080157C">
      <w:r w:rsidRPr="00141A1D">
        <w:t>Utskottet tillstyrker riksdagsstyrelsens lagförslag.</w:t>
      </w:r>
    </w:p>
    <w:p w:rsidR="0080157C" w:rsidRPr="00141A1D" w:rsidRDefault="0080157C">
      <w:pPr>
        <w:pStyle w:val="Rubrik2"/>
      </w:pPr>
      <w:bookmarkStart w:id="13" w:name="_Toc530475929"/>
      <w:r w:rsidRPr="00141A1D">
        <w:t>Arvodet till ledamöter i vissa organ</w:t>
      </w:r>
      <w:bookmarkEnd w:id="13"/>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två motionsyrkanden om minskat arvode för vissa uppdrag med hänsyn till det merarbete de aktuella uppdragen innebär.</w:t>
      </w:r>
    </w:p>
    <w:p w:rsidR="0080157C" w:rsidRPr="00141A1D" w:rsidRDefault="0080157C">
      <w:pPr>
        <w:pStyle w:val="Rubrik4"/>
        <w:rPr>
          <w:noProof w:val="0"/>
        </w:rPr>
      </w:pPr>
      <w:bookmarkStart w:id="14" w:name="_Toc530475930"/>
      <w:r w:rsidRPr="00141A1D">
        <w:rPr>
          <w:noProof w:val="0"/>
        </w:rPr>
        <w:t>Motionen</w:t>
      </w:r>
      <w:bookmarkEnd w:id="14"/>
    </w:p>
    <w:p w:rsidR="0080157C" w:rsidRPr="00141A1D" w:rsidRDefault="0080157C">
      <w:r w:rsidRPr="00141A1D">
        <w:t xml:space="preserve">Rolf Gunnarsson (m) begär i motion K209 att förtroendeuppdraget att sitta i riksdagsstyrelsen inte skall ge ett extra arvode. Riksdagsstyrelsens arbete genomförs på en tid då alla riksdagsledamöter arbetar. Motionären anser inte att ledamotskapet i riksdagsstyrelsen skulle vara ett mer betungande arbete än hårt arbete med debatter, interpellationer och motioner m.m., vilket ingår i det ordinarie riksdagsarbetet. Det saknas därför enligt motionen anledning att belöna riksdagsstyrelseuppdraget med ett extra </w:t>
      </w:r>
      <w:r w:rsidRPr="00141A1D">
        <w:t>arvode.</w:t>
      </w:r>
    </w:p>
    <w:p w:rsidR="0080157C" w:rsidRPr="00141A1D" w:rsidRDefault="0080157C">
      <w:pPr>
        <w:pStyle w:val="Normaltindrag"/>
        <w:rPr>
          <w:snapToGrid w:val="0"/>
          <w:lang w:eastAsia="sv-SE"/>
        </w:rPr>
      </w:pPr>
      <w:r w:rsidRPr="00141A1D">
        <w:rPr>
          <w:snapToGrid w:val="0"/>
          <w:lang w:eastAsia="sv-SE"/>
        </w:rPr>
        <w:t>I motion K376 av Tanja Linderborg (v) begärs att riksdagen beslutar att avskaffa rätten till sammanträdesarvode för riksdagens revisorer. Motionären hänvisar till att ledamöter i Riksdagens revisorer, som inte är ordförande, vice ordförande eller ledamot av arbetsutskottet, får ett sammanträdesarvode u</w:t>
      </w:r>
      <w:r w:rsidRPr="00141A1D">
        <w:rPr>
          <w:snapToGrid w:val="0"/>
          <w:lang w:eastAsia="sv-SE"/>
        </w:rPr>
        <w:t>t</w:t>
      </w:r>
      <w:r w:rsidRPr="00141A1D">
        <w:rPr>
          <w:snapToGrid w:val="0"/>
          <w:lang w:eastAsia="sv-SE"/>
        </w:rPr>
        <w:t>över det månatliga tilläggsarvodet som för närvarande är 10,5 % av 41 500 kr. Detta är enligt motionären inte sakligt mot</w:t>
      </w:r>
      <w:r w:rsidRPr="00141A1D">
        <w:rPr>
          <w:snapToGrid w:val="0"/>
          <w:lang w:eastAsia="sv-SE"/>
        </w:rPr>
        <w:t>i</w:t>
      </w:r>
      <w:r w:rsidRPr="00141A1D">
        <w:rPr>
          <w:snapToGrid w:val="0"/>
          <w:lang w:eastAsia="sv-SE"/>
        </w:rPr>
        <w:t>verat.</w:t>
      </w:r>
    </w:p>
    <w:p w:rsidR="0080157C" w:rsidRPr="00141A1D" w:rsidRDefault="0080157C">
      <w:pPr>
        <w:pStyle w:val="Rubrik4"/>
        <w:rPr>
          <w:noProof w:val="0"/>
        </w:rPr>
      </w:pPr>
      <w:bookmarkStart w:id="15" w:name="_Toc530475931"/>
      <w:r w:rsidRPr="00141A1D">
        <w:rPr>
          <w:noProof w:val="0"/>
        </w:rPr>
        <w:t>Gällande regler</w:t>
      </w:r>
      <w:bookmarkEnd w:id="15"/>
    </w:p>
    <w:p w:rsidR="0080157C" w:rsidRPr="00141A1D" w:rsidRDefault="0080157C">
      <w:r w:rsidRPr="00141A1D">
        <w:t>Enligt 1 § lagen (1989:185) om arvoden m.m. för uppdrag inom riksdagen, dess myndigheter och organ betalas månadsarvode för ledamot m.m. av rik</w:t>
      </w:r>
      <w:r w:rsidRPr="00141A1D">
        <w:t>s</w:t>
      </w:r>
      <w:r w:rsidRPr="00141A1D">
        <w:t>dagsstyrelsen med 15 % av arvodet som riksdagsledamot. För riksdagens revisorer betalas månadsarvode med 17,5 %, 14 %, 12,5 % och 10,5 % ber</w:t>
      </w:r>
      <w:r w:rsidRPr="00141A1D">
        <w:t>o</w:t>
      </w:r>
      <w:r w:rsidRPr="00141A1D">
        <w:t>ende på uppgift. Därutöver betalas till riksdagens revisorer liksom till Rik</w:t>
      </w:r>
      <w:r w:rsidRPr="00141A1D">
        <w:t>s</w:t>
      </w:r>
      <w:r w:rsidRPr="00141A1D">
        <w:t>bankens fullmäktige och suppleanter, ordförande och ledamot av arbetsu</w:t>
      </w:r>
      <w:r w:rsidRPr="00141A1D">
        <w:t>t</w:t>
      </w:r>
      <w:r w:rsidRPr="00141A1D">
        <w:t xml:space="preserve">skottet i Nordiska rådets svenska delegation, ordförande och ledamöter i Riksdagens besvärsnämnd, ordförande och ersättare för ordförande i Valprövningsnämnden samt ordförande, vice ordförande, ledamöter och suppleanter i </w:t>
      </w:r>
      <w:r w:rsidRPr="00141A1D">
        <w:t>Stiftelsen Riksbankens jubileumsfond särskilt arvode för sa</w:t>
      </w:r>
      <w:r w:rsidRPr="00141A1D">
        <w:t>m</w:t>
      </w:r>
      <w:r w:rsidRPr="00141A1D">
        <w:t>manträdesdag (sammanträdesarvode). Sammanträdesarvode betalas inte till vald ledamot eller särskild företrädare för partigrupp i riksdagsstyrelsen eller till ordförande och vice ordförande i EU-nämnden.</w:t>
      </w:r>
    </w:p>
    <w:p w:rsidR="0080157C" w:rsidRPr="00141A1D" w:rsidRDefault="0080157C">
      <w:pPr>
        <w:pStyle w:val="Normaltindrag"/>
      </w:pPr>
      <w:r w:rsidRPr="00141A1D">
        <w:t>Enbart sammanträdesarvode betalas till ledamot och suppleant i EU-nämnden, ledamot i Rådet för ledamotsnära frågor, tjänstgörande suppleant och tjänstgörande ersättare för företrädare för partigrupp utan vald ledamot i riksdagsstyrelsen, ledamot och</w:t>
      </w:r>
      <w:r w:rsidRPr="00141A1D">
        <w:t xml:space="preserve"> suppleant i Valprövningsnämnden, suppleant i Nordiska rådets svenska delegations arbetsutskott, suppleant i Riksdagens besvärsnämnd, ledamot och suppleant i Utrikesnämnden (under plenifri tid) samt till riksdagsledamot vid deltagande i Nordiska rådets respektive Europ</w:t>
      </w:r>
      <w:r w:rsidRPr="00141A1D">
        <w:t>a</w:t>
      </w:r>
      <w:r w:rsidRPr="00141A1D">
        <w:t>rådets verksamhet på riksdagens uppdrag. Arvodesbeloppen fastställs av riksdagsstyre</w:t>
      </w:r>
      <w:r w:rsidRPr="00141A1D">
        <w:t>l</w:t>
      </w:r>
      <w:r w:rsidRPr="00141A1D">
        <w:t>sen.</w:t>
      </w:r>
    </w:p>
    <w:p w:rsidR="0080157C" w:rsidRPr="00141A1D" w:rsidRDefault="0080157C">
      <w:pPr>
        <w:pStyle w:val="Rubrik4"/>
        <w:rPr>
          <w:noProof w:val="0"/>
        </w:rPr>
      </w:pPr>
      <w:bookmarkStart w:id="16" w:name="_Toc530475932"/>
      <w:r w:rsidRPr="00141A1D">
        <w:rPr>
          <w:noProof w:val="0"/>
        </w:rPr>
        <w:t>Tidigare behandling</w:t>
      </w:r>
      <w:bookmarkEnd w:id="16"/>
    </w:p>
    <w:p w:rsidR="0080157C" w:rsidRPr="00141A1D" w:rsidRDefault="0080157C">
      <w:r w:rsidRPr="00141A1D">
        <w:t>Våren 2000 avstyrkte utskottet ett motionsyrkande i syfte att inskränka mö</w:t>
      </w:r>
      <w:r w:rsidRPr="00141A1D">
        <w:t>j</w:t>
      </w:r>
      <w:r w:rsidRPr="00141A1D">
        <w:t>ligheterna till arvode (bet. 1999/2000:KU22). Utskottet framhöll att de up</w:t>
      </w:r>
      <w:r w:rsidRPr="00141A1D">
        <w:t>p</w:t>
      </w:r>
      <w:r w:rsidRPr="00141A1D">
        <w:t>drag som ersätts enligt arvodeslagen är sådana som tillkommer utöver det ordinarie riksdagsuppdraget. Dessa uppdrag medför ofta ett betydande mera</w:t>
      </w:r>
      <w:r w:rsidRPr="00141A1D">
        <w:t>r</w:t>
      </w:r>
      <w:r w:rsidRPr="00141A1D">
        <w:t>bete i fråga om ansvar, inläsningsarbete och tidsåtgång. Det var därför enligt utskottet motiverat att det betalas särskild ersättning för dessa uppdrag utöver det ordinarie led</w:t>
      </w:r>
      <w:r w:rsidRPr="00141A1D">
        <w:t>a</w:t>
      </w:r>
      <w:r w:rsidRPr="00141A1D">
        <w:t>motsarvodet.</w:t>
      </w:r>
    </w:p>
    <w:p w:rsidR="0080157C" w:rsidRPr="00141A1D" w:rsidRDefault="0080157C">
      <w:pPr>
        <w:pStyle w:val="Rubrik4"/>
        <w:rPr>
          <w:noProof w:val="0"/>
        </w:rPr>
      </w:pPr>
      <w:bookmarkStart w:id="17" w:name="_Toc530475933"/>
      <w:r w:rsidRPr="00141A1D">
        <w:rPr>
          <w:noProof w:val="0"/>
        </w:rPr>
        <w:t>Utskottets ställningstagande</w:t>
      </w:r>
      <w:bookmarkEnd w:id="17"/>
    </w:p>
    <w:p w:rsidR="0080157C" w:rsidRPr="00141A1D" w:rsidRDefault="0080157C">
      <w:r w:rsidRPr="00141A1D">
        <w:t>Utskottet anser fortfarande att det, mot bakgrund av det merarbete som de aktuella uppdragen innebär, är motiverat med de särskilda arvoden som anges i arvodeslagen. När det gäller frågan om sammanträdesarvode till riksdagens revisorer vill utskottet dessutom hänvisa till att Riksdagens revisorer kommer att upphöra i samband med inrättandet av den nya Riksrevisionen under första halvåret 2003 (bet. 2001/02:KU8, rskr. 116–119). Frågan om ersättning till den nya styrelsen i Riksrevisionen kan senare bli före</w:t>
      </w:r>
      <w:r w:rsidRPr="00141A1D">
        <w:t>mål för överväganden i riksdagen. Motionerna K209 (m) och K376 (v) avstyrks.</w:t>
      </w:r>
    </w:p>
    <w:p w:rsidR="0080157C" w:rsidRPr="00141A1D" w:rsidRDefault="0080157C">
      <w:pPr>
        <w:pStyle w:val="Rubrik2"/>
      </w:pPr>
      <w:bookmarkStart w:id="18" w:name="_Toc530475934"/>
      <w:r w:rsidRPr="00141A1D">
        <w:t>Ersättningen till ersättare</w:t>
      </w:r>
      <w:bookmarkEnd w:id="18"/>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förändrade villkor för ersättare för riksdagsledamöter.</w:t>
      </w:r>
    </w:p>
    <w:p w:rsidR="0080157C" w:rsidRPr="00141A1D" w:rsidRDefault="0080157C">
      <w:pPr>
        <w:pStyle w:val="Rubrik4"/>
        <w:rPr>
          <w:noProof w:val="0"/>
          <w:snapToGrid w:val="0"/>
          <w:lang w:eastAsia="sv-SE"/>
        </w:rPr>
      </w:pPr>
      <w:bookmarkStart w:id="19" w:name="_Toc530475935"/>
      <w:r w:rsidRPr="00141A1D">
        <w:rPr>
          <w:noProof w:val="0"/>
          <w:snapToGrid w:val="0"/>
          <w:lang w:eastAsia="sv-SE"/>
        </w:rPr>
        <w:t>Motionen</w:t>
      </w:r>
      <w:bookmarkEnd w:id="19"/>
    </w:p>
    <w:p w:rsidR="0080157C" w:rsidRPr="00141A1D" w:rsidRDefault="0080157C">
      <w:pPr>
        <w:rPr>
          <w:snapToGrid w:val="0"/>
          <w:lang w:eastAsia="sv-SE"/>
        </w:rPr>
      </w:pPr>
      <w:r w:rsidRPr="00141A1D">
        <w:rPr>
          <w:snapToGrid w:val="0"/>
          <w:lang w:eastAsia="sv-SE"/>
        </w:rPr>
        <w:t>I motion K364 av Lars Lilja och Carin Lundberg (s) begärs förbättrade villkor för ersättare för riksdagsledamöter.</w:t>
      </w:r>
      <w:r w:rsidRPr="00141A1D">
        <w:rPr>
          <w:b/>
          <w:snapToGrid w:val="0"/>
          <w:sz w:val="32"/>
          <w:lang w:eastAsia="sv-SE"/>
        </w:rPr>
        <w:t xml:space="preserve"> </w:t>
      </w:r>
      <w:r w:rsidRPr="00141A1D">
        <w:rPr>
          <w:snapToGrid w:val="0"/>
          <w:lang w:eastAsia="sv-SE"/>
        </w:rPr>
        <w:t>Det är enligt motionärerna inte helt ova</w:t>
      </w:r>
      <w:r w:rsidRPr="00141A1D">
        <w:rPr>
          <w:snapToGrid w:val="0"/>
          <w:lang w:eastAsia="sv-SE"/>
        </w:rPr>
        <w:t>n</w:t>
      </w:r>
      <w:r w:rsidRPr="00141A1D">
        <w:rPr>
          <w:snapToGrid w:val="0"/>
          <w:lang w:eastAsia="sv-SE"/>
        </w:rPr>
        <w:t>ligt att en ordinarie ledamot är tjänstledig under den del av året som riksdagen sammanträder, dvs. från mitten av september till mitten av juni. När då rik</w:t>
      </w:r>
      <w:r w:rsidRPr="00141A1D">
        <w:rPr>
          <w:snapToGrid w:val="0"/>
          <w:lang w:eastAsia="sv-SE"/>
        </w:rPr>
        <w:t>s</w:t>
      </w:r>
      <w:r w:rsidRPr="00141A1D">
        <w:rPr>
          <w:snapToGrid w:val="0"/>
          <w:lang w:eastAsia="sv-SE"/>
        </w:rPr>
        <w:t>dagen ’’stänger’’ för sommaren skall ersättaren återgå till sitt ordinarie arbete och förhoppningsvis en välförtjänt semester. Problemet är då att ersättaren varit borta från sitt ordinarie arbete och inte tjänat in någon semesterlön. Då återstår alternativen att arbeta större delen av semestern eller vara ledig</w:t>
      </w:r>
      <w:r w:rsidRPr="00141A1D">
        <w:rPr>
          <w:snapToGrid w:val="0"/>
          <w:lang w:eastAsia="sv-SE"/>
        </w:rPr>
        <w:t xml:space="preserve"> utan lön. För lärare finns inte heller möjligheten att arbeta i yrket under sommaren. En lösning på detta problem vore enligt motionärerna att riksdagen till ersä</w:t>
      </w:r>
      <w:r w:rsidRPr="00141A1D">
        <w:rPr>
          <w:snapToGrid w:val="0"/>
          <w:lang w:eastAsia="sv-SE"/>
        </w:rPr>
        <w:t>t</w:t>
      </w:r>
      <w:r w:rsidRPr="00141A1D">
        <w:rPr>
          <w:snapToGrid w:val="0"/>
          <w:lang w:eastAsia="sv-SE"/>
        </w:rPr>
        <w:t>tare som slutat sin tjänstgöring betalar ut den semesterersättning som ersätt</w:t>
      </w:r>
      <w:r w:rsidRPr="00141A1D">
        <w:rPr>
          <w:snapToGrid w:val="0"/>
          <w:lang w:eastAsia="sv-SE"/>
        </w:rPr>
        <w:t>a</w:t>
      </w:r>
      <w:r w:rsidRPr="00141A1D">
        <w:rPr>
          <w:snapToGrid w:val="0"/>
          <w:lang w:eastAsia="sv-SE"/>
        </w:rPr>
        <w:t>ren skulle ha varit berättigad till om han eller hon haft sitt ordinarie arbete under den tid han eller hon tjänstgjort som ersättare, maximalt tolv månader.</w:t>
      </w:r>
    </w:p>
    <w:p w:rsidR="0080157C" w:rsidRPr="00141A1D" w:rsidRDefault="0080157C">
      <w:pPr>
        <w:pStyle w:val="Rubrik4"/>
        <w:rPr>
          <w:noProof w:val="0"/>
        </w:rPr>
      </w:pPr>
      <w:bookmarkStart w:id="20" w:name="_Toc530475936"/>
      <w:r w:rsidRPr="00141A1D">
        <w:rPr>
          <w:noProof w:val="0"/>
        </w:rPr>
        <w:t>Gällande regler</w:t>
      </w:r>
      <w:bookmarkEnd w:id="20"/>
    </w:p>
    <w:p w:rsidR="0080157C" w:rsidRPr="00141A1D" w:rsidRDefault="0080157C">
      <w:r w:rsidRPr="00141A1D">
        <w:t>Enligt 4 § semesterlagen (1977:480) har arbetstagare i princip rätt till 25 semesterdagar varje semesterår. Under semesterledighet skall arbetstagare ha semesterlön i den mån han har tjänat in sådan under intjänandeåret. Seme</w:t>
      </w:r>
      <w:r w:rsidRPr="00141A1D">
        <w:t>s</w:t>
      </w:r>
      <w:r w:rsidRPr="00141A1D">
        <w:t>terlönen utgör 12 % av arbetstagarens under intjänandeåret förfallna lön i anställningen (16 §). Upphör arbetstagare att vara anställd hos arbetsgivaren innan han har erhållit den semesterlön som han har tjänat in, skall arbetstag</w:t>
      </w:r>
      <w:r w:rsidRPr="00141A1D">
        <w:t>a</w:t>
      </w:r>
      <w:r w:rsidRPr="00141A1D">
        <w:t xml:space="preserve">ren enligt 28 § i stället erhålla semesterersättning, </w:t>
      </w:r>
    </w:p>
    <w:p w:rsidR="0080157C" w:rsidRPr="00141A1D" w:rsidRDefault="0080157C">
      <w:pPr>
        <w:pStyle w:val="Normaltindrag"/>
      </w:pPr>
      <w:r w:rsidRPr="00141A1D">
        <w:t>Enligt 1 kap. 2 § lagen (1994:1065) om ekonomiska villkor för riksdagens ledamöter tillämpas bestämmelserna om arvode, reskostnadsersättning, tra</w:t>
      </w:r>
      <w:r w:rsidRPr="00141A1D">
        <w:t>k</w:t>
      </w:r>
      <w:r w:rsidRPr="00141A1D">
        <w:t>tamente m.m., kostnadsersättning och teknisk utrustning samt försäkrings- och sjukvårdsförmåner fr.o.m. den dag då ledamoten tar plats i riksdagen t.o.m. 30 dagar efter det att uppdraget att vara ledamot upphör. För den som ersätter annan ledamot än talmannen eller ett statsråd eller en statssekreterare tillämpas bestämmelserna dock endast för den tid som ersättaren enligt bevis från riksdagen skall fullgöra uppdraget. Om uppdraget upphör tidigare än vid den tidpunkten, tillämpas bestämmelserna t.o.m. 30 d</w:t>
      </w:r>
      <w:r w:rsidRPr="00141A1D">
        <w:t>agar efter den dag up</w:t>
      </w:r>
      <w:r w:rsidRPr="00141A1D">
        <w:t>p</w:t>
      </w:r>
      <w:r w:rsidRPr="00141A1D">
        <w:t>draget up</w:t>
      </w:r>
      <w:r w:rsidRPr="00141A1D">
        <w:t>p</w:t>
      </w:r>
      <w:r w:rsidRPr="00141A1D">
        <w:t xml:space="preserve">hör, dock längst till den dag som anges i beviset. </w:t>
      </w:r>
    </w:p>
    <w:p w:rsidR="0080157C" w:rsidRPr="00141A1D" w:rsidRDefault="0080157C">
      <w:pPr>
        <w:pStyle w:val="Normaltindrag"/>
      </w:pPr>
      <w:r w:rsidRPr="00141A1D">
        <w:t>I betänkande 1997/98:KU6 anförde utskottet i fråga om ersättning efter kortare uppdrag som ersättare för riksdagsledamot att det vore rimligt att ersättaren tillförsäkrades en viss minsta ersättning vid avgångstillfället. Med anledning därav föreslog förvaltningsstyrelsen (förs. 1998/99:RFK2) när det gäller uppdrag som blivit kortare än som framgår av beviset från riksdagen att bestämmelserna i 3–6 kap. och 15 kap. lagen (19</w:t>
      </w:r>
      <w:r w:rsidRPr="00141A1D">
        <w:t>94:1065) om ekonomiska villkor för riksdagens ledamöter skulle tillämpas fr.o.m. den dag då ledam</w:t>
      </w:r>
      <w:r w:rsidRPr="00141A1D">
        <w:t>o</w:t>
      </w:r>
      <w:r w:rsidRPr="00141A1D">
        <w:t>ten tar plats i riksdagen t.o.m. 30 dagar efter det att uppdraget att vara led</w:t>
      </w:r>
      <w:r w:rsidRPr="00141A1D">
        <w:t>a</w:t>
      </w:r>
      <w:r w:rsidRPr="00141A1D">
        <w:t>mot upphör. Till grund för förslaget låg bl.a. bedömningen att en tidsperiod på 30 dagar är erforderlig för att förbereda återgången till tidigare arbete eller nya arbetsuppgifter. Utskottet tillstyrkte fö</w:t>
      </w:r>
      <w:r w:rsidRPr="00141A1D">
        <w:t>r</w:t>
      </w:r>
      <w:r w:rsidRPr="00141A1D">
        <w:t>slaget (bet. 1998/99:KU1).</w:t>
      </w:r>
    </w:p>
    <w:p w:rsidR="0080157C" w:rsidRPr="00141A1D" w:rsidRDefault="0080157C">
      <w:pPr>
        <w:pStyle w:val="Rubrik4"/>
        <w:rPr>
          <w:noProof w:val="0"/>
        </w:rPr>
      </w:pPr>
      <w:bookmarkStart w:id="21" w:name="_Toc530475937"/>
      <w:r w:rsidRPr="00141A1D">
        <w:rPr>
          <w:noProof w:val="0"/>
        </w:rPr>
        <w:t>Utskottets ställningstagande</w:t>
      </w:r>
      <w:bookmarkEnd w:id="21"/>
    </w:p>
    <w:p w:rsidR="0080157C" w:rsidRPr="00141A1D" w:rsidRDefault="0080157C">
      <w:r w:rsidRPr="00141A1D">
        <w:t>Det förhållandet att ersättningen till ersättare i normalfallet upphör samtidigt med att uppdraget tar slut, alltså utan den 30-dagarsperiod som annars til</w:t>
      </w:r>
      <w:r w:rsidRPr="00141A1D">
        <w:t>l</w:t>
      </w:r>
      <w:r w:rsidRPr="00141A1D">
        <w:t>kommer, skulle som motionärerna framhåller självfallet kunna vålla svåri</w:t>
      </w:r>
      <w:r w:rsidRPr="00141A1D">
        <w:t>g</w:t>
      </w:r>
      <w:r w:rsidRPr="00141A1D">
        <w:t>heter i vissa fall. Det kan således ibland vara ett problem att återgå till en anställning vid riksmötets slut i början av sommaren även om ersättaren haft kännedom om ersättningsreglerna och därigenom i tid kunnat planera för sin verksamhet efter uppdragets slut. Bortsett från statsrådsersättarna är emelle</w:t>
      </w:r>
      <w:r w:rsidRPr="00141A1D">
        <w:t>r</w:t>
      </w:r>
      <w:r w:rsidRPr="00141A1D">
        <w:t>tid flertalet ersättaruppdrag av kortvarig natur och har när det gäller något längre uppdrag endast i ett par fall under de senas</w:t>
      </w:r>
      <w:r w:rsidRPr="00141A1D">
        <w:t>te åren upphört i samband med sommaruppehållet. Utskottet är mot denna bakgrund inte berett att nu förorda en ändring av reglerna. Motion K364 (s) avstyrks därför.</w:t>
      </w:r>
    </w:p>
    <w:p w:rsidR="0080157C" w:rsidRPr="00141A1D" w:rsidRDefault="0080157C">
      <w:pPr>
        <w:pStyle w:val="Rubrik2"/>
      </w:pPr>
      <w:bookmarkStart w:id="22" w:name="_Toc530475938"/>
      <w:r w:rsidRPr="00141A1D">
        <w:t>Riksd</w:t>
      </w:r>
      <w:r w:rsidRPr="00141A1D">
        <w:t>a</w:t>
      </w:r>
      <w:r w:rsidRPr="00141A1D">
        <w:t>gens arbetsår</w:t>
      </w:r>
      <w:bookmarkEnd w:id="22"/>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två motionsyrkanden om att riksdagens öp</w:t>
      </w:r>
      <w:r w:rsidRPr="00141A1D">
        <w:t>p</w:t>
      </w:r>
      <w:r w:rsidRPr="00141A1D">
        <w:t>nande skall förläggas till augusti, m.m.</w:t>
      </w:r>
    </w:p>
    <w:p w:rsidR="0080157C" w:rsidRPr="00141A1D" w:rsidRDefault="0080157C">
      <w:pPr>
        <w:pStyle w:val="Rubrik4"/>
        <w:rPr>
          <w:noProof w:val="0"/>
        </w:rPr>
      </w:pPr>
      <w:bookmarkStart w:id="23" w:name="_Toc530475939"/>
      <w:r w:rsidRPr="00141A1D">
        <w:rPr>
          <w:noProof w:val="0"/>
        </w:rPr>
        <w:t>Motionen</w:t>
      </w:r>
      <w:bookmarkEnd w:id="23"/>
    </w:p>
    <w:p w:rsidR="0080157C" w:rsidRPr="00141A1D" w:rsidRDefault="0080157C">
      <w:r w:rsidRPr="00141A1D">
        <w:t>I motion K363 av Monica Green (s) begärs att riksdagens öppnande förläggs till mitten av augusti. En sådan förändring skulle framför allt innebära ett flertal förbättringar för ledamöters arbetssituation. Höstens arbete kan utföras under en längre och mindre stressad tid. Genom att tidigarelägga tidpunkten för riksmötets öppnande förlängs därmed riksdagsåret.</w:t>
      </w:r>
    </w:p>
    <w:p w:rsidR="0080157C" w:rsidRPr="00141A1D" w:rsidRDefault="0080157C">
      <w:pPr>
        <w:pStyle w:val="Normaltindrag"/>
      </w:pPr>
      <w:r w:rsidRPr="00141A1D">
        <w:t>Rolf Gunnarsson (m) begär i motion K211 en ändrad ordning för arbetet i riksdagen. Det vore enligt motionären en fördel om riksdagen öppnades kring 20–25 augusti efter sommaruppehållet. Vidare kan juluppehållet förkortas med en vecka.</w:t>
      </w:r>
    </w:p>
    <w:p w:rsidR="0080157C" w:rsidRPr="00141A1D" w:rsidRDefault="0080157C">
      <w:pPr>
        <w:pStyle w:val="Rubrik4"/>
        <w:rPr>
          <w:noProof w:val="0"/>
        </w:rPr>
      </w:pPr>
      <w:bookmarkStart w:id="24" w:name="_Toc530475940"/>
      <w:r w:rsidRPr="00141A1D">
        <w:rPr>
          <w:noProof w:val="0"/>
        </w:rPr>
        <w:t>Tidigare riksdagsbehandling</w:t>
      </w:r>
      <w:bookmarkEnd w:id="24"/>
    </w:p>
    <w:p w:rsidR="0080157C" w:rsidRPr="00141A1D" w:rsidRDefault="0080157C">
      <w:r w:rsidRPr="00141A1D">
        <w:t>Hösten 2000 behandlade utskottet ett par motionsyrkanden om arbetsåret i riksdagen (bet. 2001/02:KU4). Utskottet delade motionärernas uppfattning om vikten av en någorlunda jämn arbetsbelastning under riksdagsåret. A</w:t>
      </w:r>
      <w:r w:rsidRPr="00141A1D">
        <w:t>r</w:t>
      </w:r>
      <w:r w:rsidRPr="00141A1D">
        <w:t>betsperioderna mellan de plenifria veckorna är oftast mycket intensiva medan sommaruppehållet är förhållandevis långvarigt. Det var emellertid enligt utskottet talmannens ansvar att efter överläggning i riksdagsstyrelsen och i samråd med de särskilda företrädarna för partigrupperna årligen planera rik</w:t>
      </w:r>
      <w:r w:rsidRPr="00141A1D">
        <w:t>s</w:t>
      </w:r>
      <w:r w:rsidRPr="00141A1D">
        <w:t>dagsarbetet med den begränsningen i huvudsak att nytt riksmöte i enlighet med 1 kap. 2 § riksdagsordningen skall inledas i september. Till detta ko</w:t>
      </w:r>
      <w:r w:rsidRPr="00141A1D">
        <w:t>m</w:t>
      </w:r>
      <w:r w:rsidRPr="00141A1D">
        <w:t>mer Riksdagskommitténs uttalande bl.a. om att riksdagsarbete</w:t>
      </w:r>
      <w:r w:rsidRPr="00141A1D">
        <w:t>t bör avslutas i juni. Enligt utskottets mening saknades anledning att förutsätta annat än att talmannen, riksdagsstyrelsen eller de särskilda företrädarna för partigrupperna tar initiativ till de förändringar som behövs för att åstadkomma en så jämn arbetsrytm som möjligt. Utskottet var inte berett att då föreslå ändringar i de regler och riktlinjer som styr utrymmet för arbetsplaneringen. Motionsyrka</w:t>
      </w:r>
      <w:r w:rsidRPr="00141A1D">
        <w:t>n</w:t>
      </w:r>
      <w:r w:rsidRPr="00141A1D">
        <w:t>det avstyr</w:t>
      </w:r>
      <w:r w:rsidRPr="00141A1D">
        <w:t>k</w:t>
      </w:r>
      <w:r w:rsidRPr="00141A1D">
        <w:t xml:space="preserve">tes. </w:t>
      </w:r>
    </w:p>
    <w:p w:rsidR="0080157C" w:rsidRPr="00141A1D" w:rsidRDefault="0080157C">
      <w:pPr>
        <w:pStyle w:val="Rubrik4"/>
        <w:rPr>
          <w:noProof w:val="0"/>
        </w:rPr>
      </w:pPr>
      <w:bookmarkStart w:id="25" w:name="_Toc530475941"/>
      <w:r w:rsidRPr="00141A1D">
        <w:rPr>
          <w:noProof w:val="0"/>
        </w:rPr>
        <w:t>Utskottets ställningstagande</w:t>
      </w:r>
      <w:bookmarkEnd w:id="25"/>
    </w:p>
    <w:p w:rsidR="0080157C" w:rsidRPr="00141A1D" w:rsidRDefault="0080157C">
      <w:r w:rsidRPr="00141A1D">
        <w:t>Utskottet är fortfarande inte berett att föreslå en sådan ändring av riksdag</w:t>
      </w:r>
      <w:r w:rsidRPr="00141A1D">
        <w:t>s</w:t>
      </w:r>
      <w:r w:rsidRPr="00141A1D">
        <w:t>ordningen att riksmöte mellan valår kan inledas i augusti. Också när det gäller frågan om juluppehållets längd vill utskottet hänvisa till sitt ställningstagande hösten 2000. Frågan om en jämnare arbetsrytm är således en fråga närmast för talmannen, riksdagsstyrelsen och de särskilda företrädarna för partigru</w:t>
      </w:r>
      <w:r w:rsidRPr="00141A1D">
        <w:t>p</w:t>
      </w:r>
      <w:r w:rsidRPr="00141A1D">
        <w:t>perna. I sammanhanget kan vidare nämnas att inget hindrar att utskotten sammanträder före riksmötets öppnande i september. Detta är emellertid en fråga för utskotten att själva ta ställning till. Utsk</w:t>
      </w:r>
      <w:r w:rsidRPr="00141A1D">
        <w:t>ottet avstyrker följaktligen motionerna K363 (s) och K211 (m).</w:t>
      </w:r>
    </w:p>
    <w:p w:rsidR="0080157C" w:rsidRPr="00141A1D" w:rsidRDefault="0080157C">
      <w:pPr>
        <w:pStyle w:val="Rubrik2"/>
      </w:pPr>
      <w:bookmarkStart w:id="26" w:name="_Toc530475942"/>
      <w:r w:rsidRPr="00141A1D">
        <w:t>Ledamöternas placering i plenisalen</w:t>
      </w:r>
      <w:bookmarkEnd w:id="26"/>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med hänvisning till tidigare ställningstaganden ett motionsyrkande om att ledamöterna skall ha plats i kammaren efter partitillhörighet.</w:t>
      </w:r>
    </w:p>
    <w:p w:rsidR="0080157C" w:rsidRPr="00141A1D" w:rsidRDefault="0080157C">
      <w:pPr>
        <w:pStyle w:val="Utskottsfrslagikorthet-Text"/>
      </w:pPr>
      <w:r w:rsidRPr="00141A1D">
        <w:t>Jämför reservation 1 (m och kd).</w:t>
      </w:r>
    </w:p>
    <w:p w:rsidR="0080157C" w:rsidRPr="00141A1D" w:rsidRDefault="0080157C">
      <w:pPr>
        <w:pStyle w:val="Rubrik4"/>
        <w:rPr>
          <w:noProof w:val="0"/>
        </w:rPr>
      </w:pPr>
      <w:bookmarkStart w:id="27" w:name="_Toc530475943"/>
      <w:r w:rsidRPr="00141A1D">
        <w:rPr>
          <w:noProof w:val="0"/>
        </w:rPr>
        <w:t>Motionen</w:t>
      </w:r>
      <w:bookmarkEnd w:id="27"/>
    </w:p>
    <w:p w:rsidR="0080157C" w:rsidRPr="00141A1D" w:rsidRDefault="0080157C">
      <w:r w:rsidRPr="00141A1D">
        <w:t>Margareta Cederfelt (m) begär i motion K227 att stolarna i riksdagens ka</w:t>
      </w:r>
      <w:r w:rsidRPr="00141A1D">
        <w:t>m</w:t>
      </w:r>
      <w:r w:rsidRPr="00141A1D">
        <w:t>mare skall fördelas efter partitillhörighet. Den nuvarande placeringen är enligt motionen ålderdomlig och motverkar en livlig och aktiv debatt.</w:t>
      </w:r>
    </w:p>
    <w:p w:rsidR="0080157C" w:rsidRPr="00141A1D" w:rsidRDefault="0080157C">
      <w:pPr>
        <w:pStyle w:val="Rubrik4"/>
        <w:rPr>
          <w:noProof w:val="0"/>
        </w:rPr>
      </w:pPr>
      <w:bookmarkStart w:id="28" w:name="_Toc530475944"/>
      <w:r w:rsidRPr="00141A1D">
        <w:rPr>
          <w:noProof w:val="0"/>
        </w:rPr>
        <w:t>Tidigare riksdagsbehandling</w:t>
      </w:r>
      <w:bookmarkEnd w:id="28"/>
    </w:p>
    <w:p w:rsidR="0080157C" w:rsidRPr="00141A1D" w:rsidRDefault="0080157C">
      <w:r w:rsidRPr="00141A1D">
        <w:t>Hösten 2000 behandlade utskottet ett par motionsyrkanden liknande det nu aktuella (bet. 2001/02:KU4). Utskottet avstyrkte motionsyrkandena med hänvisning till att liknande motionsförslag avstyrkts vid flera tillfällen. I ett tidigare betänkande (bet. 1987/88:KU43) anförde utskottet bl.a. att en partivis placering av ledamöterna skulle vara en markering av den framträdande roll som de politiska partierna numera spelar i riksdagen. Det skulle enligt u</w:t>
      </w:r>
      <w:r w:rsidRPr="00141A1D">
        <w:t>t</w:t>
      </w:r>
      <w:r w:rsidRPr="00141A1D">
        <w:t>skottet troligen också ha vissa andra fördelar från kontakt- och debattsy</w:t>
      </w:r>
      <w:r w:rsidRPr="00141A1D">
        <w:t>n</w:t>
      </w:r>
      <w:r w:rsidRPr="00141A1D">
        <w:t>punkt. Emellertid fanns det enligt utskottets bedömning inte någon tillräckligt stark opinion bland ledamöterna för att bryta traditionen. I ett betänkande år 1992 (bet. 1992/93:KU9) ansåg utskottet  att effekterna från debatt- och ko</w:t>
      </w:r>
      <w:r w:rsidRPr="00141A1D">
        <w:t>n</w:t>
      </w:r>
      <w:r w:rsidRPr="00141A1D">
        <w:t>taktsynpunkt inte skulle bli de som avsågs i den då aktuella motionen. U</w:t>
      </w:r>
      <w:r w:rsidRPr="00141A1D">
        <w:t>t</w:t>
      </w:r>
      <w:r w:rsidRPr="00141A1D">
        <w:t>skottet ansåg att en omdisponering av plenisalen måste ske om man vill skapa en tätare atmosfär vid debatterna och avstyrkte moti</w:t>
      </w:r>
      <w:r w:rsidRPr="00141A1D">
        <w:t xml:space="preserve">onen. Utskottet vidhöll vid frågans behandling under 1996/97 och 1997/98 års riksmöten sin tidigare uppfattning (bet.1996/97:KU13, 1997/98: KU27). </w:t>
      </w:r>
    </w:p>
    <w:p w:rsidR="0080157C" w:rsidRPr="00141A1D" w:rsidRDefault="0080157C">
      <w:pPr>
        <w:pStyle w:val="Rubrik4"/>
        <w:rPr>
          <w:noProof w:val="0"/>
        </w:rPr>
      </w:pPr>
      <w:bookmarkStart w:id="29" w:name="_Toc530475945"/>
      <w:r w:rsidRPr="00141A1D">
        <w:rPr>
          <w:noProof w:val="0"/>
        </w:rPr>
        <w:t>Utskottets ställningstagande</w:t>
      </w:r>
      <w:bookmarkEnd w:id="29"/>
    </w:p>
    <w:p w:rsidR="0080157C" w:rsidRPr="00141A1D" w:rsidRDefault="0080157C">
      <w:r w:rsidRPr="00141A1D">
        <w:t>Utskottet gör inte nu någon annan bedömning. Motion K227 (m) avstyrks.</w:t>
      </w:r>
    </w:p>
    <w:p w:rsidR="0080157C" w:rsidRPr="00141A1D" w:rsidRDefault="0080157C">
      <w:pPr>
        <w:pStyle w:val="Normaltindrag"/>
      </w:pPr>
    </w:p>
    <w:p w:rsidR="0080157C" w:rsidRPr="00141A1D" w:rsidRDefault="0080157C">
      <w:pPr>
        <w:pStyle w:val="Normaltindrag"/>
      </w:pPr>
    </w:p>
    <w:p w:rsidR="0080157C" w:rsidRPr="00141A1D" w:rsidRDefault="0080157C">
      <w:pPr>
        <w:pStyle w:val="Normaltindrag"/>
      </w:pPr>
    </w:p>
    <w:p w:rsidR="0080157C" w:rsidRPr="00141A1D" w:rsidRDefault="0080157C">
      <w:pPr>
        <w:pStyle w:val="Normaltindrag"/>
      </w:pPr>
    </w:p>
    <w:p w:rsidR="0080157C" w:rsidRPr="00141A1D" w:rsidRDefault="0080157C">
      <w:pPr>
        <w:pStyle w:val="Normaltindrag"/>
      </w:pPr>
    </w:p>
    <w:p w:rsidR="0080157C" w:rsidRPr="00141A1D" w:rsidRDefault="0080157C">
      <w:pPr>
        <w:pStyle w:val="Normaltindrag"/>
      </w:pPr>
    </w:p>
    <w:p w:rsidR="0080157C" w:rsidRPr="00141A1D" w:rsidRDefault="0080157C">
      <w:pPr>
        <w:pStyle w:val="Rubrik2"/>
      </w:pPr>
      <w:bookmarkStart w:id="30" w:name="_Toc530475946"/>
      <w:r w:rsidRPr="00141A1D">
        <w:t>Ideologiska debatter i riksdagen</w:t>
      </w:r>
      <w:bookmarkEnd w:id="30"/>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återkommande ideol</w:t>
      </w:r>
      <w:r w:rsidRPr="00141A1D">
        <w:t>o</w:t>
      </w:r>
      <w:r w:rsidRPr="00141A1D">
        <w:t>giska debatter med hänvisning till att detta är en fråga för talma</w:t>
      </w:r>
      <w:r w:rsidRPr="00141A1D">
        <w:t>n</w:t>
      </w:r>
      <w:r w:rsidRPr="00141A1D">
        <w:t xml:space="preserve">nen i samråd med de särskilda företrädarna för partigrupperna. </w:t>
      </w:r>
    </w:p>
    <w:p w:rsidR="0080157C" w:rsidRPr="00141A1D" w:rsidRDefault="0080157C">
      <w:pPr>
        <w:pStyle w:val="Rubrik4"/>
        <w:rPr>
          <w:noProof w:val="0"/>
        </w:rPr>
      </w:pPr>
      <w:bookmarkStart w:id="31" w:name="_Toc530475947"/>
      <w:r w:rsidRPr="00141A1D">
        <w:rPr>
          <w:noProof w:val="0"/>
        </w:rPr>
        <w:t>Motionen</w:t>
      </w:r>
      <w:bookmarkEnd w:id="31"/>
    </w:p>
    <w:p w:rsidR="0080157C" w:rsidRPr="00141A1D" w:rsidRDefault="0080157C">
      <w:r w:rsidRPr="00141A1D">
        <w:t>I motion U347 (yrkande 4) av Ana Maria Narti m.fl. (fp) begärs upprepade ideologiska debatter i riksdagen. Motionärerna vänder sig mot våldsromant</w:t>
      </w:r>
      <w:r w:rsidRPr="00141A1D">
        <w:t>i</w:t>
      </w:r>
      <w:r w:rsidRPr="00141A1D">
        <w:t>ken i det politiska livet. De som är aktiva i politiken och alla engagerade människor har i dag en plikt att stå upp mot våldet och fördöma allt tal och alla handlingsplaner som bygger på hat.</w:t>
      </w:r>
    </w:p>
    <w:p w:rsidR="0080157C" w:rsidRPr="00141A1D" w:rsidRDefault="0080157C">
      <w:pPr>
        <w:pStyle w:val="Rubrik4"/>
        <w:rPr>
          <w:noProof w:val="0"/>
        </w:rPr>
      </w:pPr>
      <w:bookmarkStart w:id="32" w:name="_Toc530475948"/>
      <w:r w:rsidRPr="00141A1D">
        <w:rPr>
          <w:noProof w:val="0"/>
        </w:rPr>
        <w:t>Tidigare behandling</w:t>
      </w:r>
      <w:bookmarkEnd w:id="32"/>
    </w:p>
    <w:p w:rsidR="0080157C" w:rsidRPr="00141A1D" w:rsidRDefault="0080157C">
      <w:r w:rsidRPr="00141A1D">
        <w:t>Hösten 2000 behandlade utskottet ett motionsyrkande om en årligen åte</w:t>
      </w:r>
      <w:r w:rsidRPr="00141A1D">
        <w:t>r</w:t>
      </w:r>
      <w:r w:rsidRPr="00141A1D">
        <w:t>kommande debatt inom ett särskilt område (bet. 2001/02:KU4). Utskottet redovisade att särskilt anordnade debatter, dvs. debatter som inte har samband med handläggning av ärenden eller meddelanden från regeringen, finns av olika typer: partiledardebatter, allmänpolitiska debatter, aktuella debatter, information från regeringen och debatter med fastställda regler. Utskottet avstyrkte det då aktuella motionsyrkandet med hänvisning till att riksdagsst</w:t>
      </w:r>
      <w:r w:rsidRPr="00141A1D">
        <w:t>y</w:t>
      </w:r>
      <w:r w:rsidRPr="00141A1D">
        <w:t>relsen regelbundet skall överlägga om planeringen av riksda</w:t>
      </w:r>
      <w:r w:rsidRPr="00141A1D">
        <w:t>gsarbetet och att talmannen skall samråda med de särskilda företrädarna för partigrupperna om uppläggningen av kammarens överläggningar.</w:t>
      </w:r>
    </w:p>
    <w:p w:rsidR="0080157C" w:rsidRPr="00141A1D" w:rsidRDefault="0080157C">
      <w:pPr>
        <w:pStyle w:val="Rubrik4"/>
        <w:rPr>
          <w:noProof w:val="0"/>
        </w:rPr>
      </w:pPr>
      <w:bookmarkStart w:id="33" w:name="_Toc530475949"/>
      <w:r w:rsidRPr="00141A1D">
        <w:rPr>
          <w:noProof w:val="0"/>
        </w:rPr>
        <w:t>Utskottets ställningstagande</w:t>
      </w:r>
      <w:bookmarkEnd w:id="33"/>
    </w:p>
    <w:p w:rsidR="0080157C" w:rsidRPr="00141A1D" w:rsidRDefault="0080157C">
      <w:r w:rsidRPr="00141A1D">
        <w:t>Utskottet vill också nu hänvisa till att frågan om särskilda, bl.a. aktuella, debatter är en fråga för talmannen i samråd med de särskilda företrädarna för partigrupperna. Utskottet vill vidare hänvisa till att inget hindrar en riksdag</w:t>
      </w:r>
      <w:r w:rsidRPr="00141A1D">
        <w:t>s</w:t>
      </w:r>
      <w:r w:rsidRPr="00141A1D">
        <w:t>ledamot från att begära andra särskilt anordnade debatter än aktuella debatter. Motion U347 yrkande 4 (fp) avstyrks följaktl</w:t>
      </w:r>
      <w:r w:rsidRPr="00141A1D">
        <w:t>i</w:t>
      </w:r>
      <w:r w:rsidRPr="00141A1D">
        <w:t>gen.</w:t>
      </w:r>
    </w:p>
    <w:p w:rsidR="0080157C" w:rsidRPr="00141A1D" w:rsidRDefault="0080157C">
      <w:pPr>
        <w:pStyle w:val="Rubrik2"/>
      </w:pPr>
      <w:bookmarkStart w:id="34" w:name="_Toc530475950"/>
      <w:r w:rsidRPr="00141A1D">
        <w:t>Statsrådens deltagande i riksdagsarbetet</w:t>
      </w:r>
      <w:bookmarkEnd w:id="34"/>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två motionsyrkanden som gäller tillkännagiva</w:t>
      </w:r>
      <w:r w:rsidRPr="00141A1D">
        <w:t>n</w:t>
      </w:r>
      <w:r w:rsidRPr="00141A1D">
        <w:t>den till regeringen om statrådens deltagande i riksdagsdebatter och om riksdagen som den viktigaste politiska arenan. Utskottet, som förutsätter att statsråden söker prioritera närvaro i riksdagen under viktigare debatter, anser inte att tillkännagivanden till regeringen är nödvändiga.</w:t>
      </w:r>
    </w:p>
    <w:p w:rsidR="0080157C" w:rsidRPr="00141A1D" w:rsidRDefault="0080157C">
      <w:pPr>
        <w:pStyle w:val="Rubrik4"/>
        <w:rPr>
          <w:noProof w:val="0"/>
        </w:rPr>
      </w:pPr>
      <w:bookmarkStart w:id="35" w:name="_Toc530475951"/>
      <w:r w:rsidRPr="00141A1D">
        <w:rPr>
          <w:noProof w:val="0"/>
        </w:rPr>
        <w:t>Motionen</w:t>
      </w:r>
      <w:bookmarkEnd w:id="35"/>
    </w:p>
    <w:p w:rsidR="0080157C" w:rsidRPr="00141A1D" w:rsidRDefault="0080157C">
      <w:r w:rsidRPr="00141A1D">
        <w:t>Roy Hansson (m) begär i motion K402 ett tillkännagivande till regeringen om statsrådens deltagande i riksdagsarbetet (yrkande 1) och om att riksdagen är den viktigaste politiska arenan (yrkande 2). Motionären vänder sig mot att propositioner presenteras på skilda håll utanför riksdagen, när det i stället borde vara naturligt att det ansvariga statsrådet gör presentationen i riksdagen. Statsrådens frånvaro innebär att viktiga debatter förs utan att ansvarig rege</w:t>
      </w:r>
      <w:r w:rsidRPr="00141A1D">
        <w:t>r</w:t>
      </w:r>
      <w:r w:rsidRPr="00141A1D">
        <w:t>ingsmedlem finns i kammaren för att argumentera och försvara regeringens förslag. Om statsrådet närvarar sker detta i stort sett bara vid debattens inle</w:t>
      </w:r>
      <w:r w:rsidRPr="00141A1D">
        <w:t>d</w:t>
      </w:r>
      <w:r w:rsidRPr="00141A1D">
        <w:t>ning fram till det egna anförandet, vilket innebär att det bara är en ledamot från varje parti som kan föra debatt med statsrådet. Att statsrådsbänkar står tomma när viktiga debatter pågår visar enligt motionären närmast på ett förakt för riksdagen som Sveriges högsta politiska organ. Det är enligt motionen bara att beklaga att det för närvarande är alltfö</w:t>
      </w:r>
      <w:r w:rsidRPr="00141A1D">
        <w:t xml:space="preserve">r många statsråd som inte är folkvalda och denna ordning synes inte motiverad. </w:t>
      </w:r>
    </w:p>
    <w:p w:rsidR="0080157C" w:rsidRPr="00141A1D" w:rsidRDefault="0080157C">
      <w:pPr>
        <w:pStyle w:val="Rubrik4"/>
        <w:rPr>
          <w:noProof w:val="0"/>
        </w:rPr>
      </w:pPr>
      <w:bookmarkStart w:id="36" w:name="_Toc530475952"/>
      <w:r w:rsidRPr="00141A1D">
        <w:rPr>
          <w:noProof w:val="0"/>
        </w:rPr>
        <w:t>Utskottets ställningstagande</w:t>
      </w:r>
      <w:bookmarkEnd w:id="36"/>
    </w:p>
    <w:p w:rsidR="0080157C" w:rsidRPr="00141A1D" w:rsidRDefault="0080157C">
      <w:r w:rsidRPr="00141A1D">
        <w:t>Utskottet delar motionärens mening om riksdagens betydelse i den politiska debatten och det angelägna i att statsråden medverkar i debatter i kammaren. Intresset av statsråds medverkan i debatterna framhålls från riksdagens sida i samband med de återkommande mötena mellan företrädare för kammarkan</w:t>
      </w:r>
      <w:r w:rsidRPr="00141A1D">
        <w:t>s</w:t>
      </w:r>
      <w:r w:rsidRPr="00141A1D">
        <w:t>liet och Statsrådsberedningen. Utskottet, som förutsätter att statsråden söker prioritera närvaro i riksdagen under budgetdebatter och andra viktigare d</w:t>
      </w:r>
      <w:r w:rsidRPr="00141A1D">
        <w:t>e</w:t>
      </w:r>
      <w:r w:rsidRPr="00141A1D">
        <w:t>batter inom sina ansvarsområde, anser att tillkännagivanden till regeringen i denna fråga inte är nödvändiga. Motion K402 yrkandena 1 och 2 avstyrks följaktl</w:t>
      </w:r>
      <w:r w:rsidRPr="00141A1D">
        <w:t>i</w:t>
      </w:r>
      <w:r w:rsidRPr="00141A1D">
        <w:t xml:space="preserve">gen. </w:t>
      </w:r>
    </w:p>
    <w:p w:rsidR="0080157C" w:rsidRPr="00141A1D" w:rsidRDefault="0080157C">
      <w:pPr>
        <w:pStyle w:val="Rubrik2"/>
      </w:pPr>
      <w:bookmarkStart w:id="37" w:name="_Toc530475953"/>
      <w:r w:rsidRPr="00141A1D">
        <w:t>Europaparlamentarikers deltagande i riksdagsdebatter</w:t>
      </w:r>
      <w:bookmarkEnd w:id="37"/>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med hänvisning till tidigare ställningstagande ett motionsyrkande om Europaparlamentarikers medverkan i rik</w:t>
      </w:r>
      <w:r w:rsidRPr="00141A1D">
        <w:t>s</w:t>
      </w:r>
      <w:r w:rsidRPr="00141A1D">
        <w:t>dagsdebatter.</w:t>
      </w:r>
    </w:p>
    <w:p w:rsidR="0080157C" w:rsidRPr="00141A1D" w:rsidRDefault="0080157C">
      <w:pPr>
        <w:pStyle w:val="Utskottsfrslagikorthet-Text"/>
      </w:pPr>
      <w:r w:rsidRPr="00141A1D">
        <w:t>Jämför reservation 2 (fp).</w:t>
      </w:r>
    </w:p>
    <w:p w:rsidR="0080157C" w:rsidRPr="00141A1D" w:rsidRDefault="0080157C">
      <w:pPr>
        <w:pStyle w:val="Rubrik4"/>
        <w:rPr>
          <w:noProof w:val="0"/>
        </w:rPr>
      </w:pPr>
      <w:bookmarkStart w:id="38" w:name="_Toc530475954"/>
      <w:r w:rsidRPr="00141A1D">
        <w:rPr>
          <w:noProof w:val="0"/>
        </w:rPr>
        <w:t>Motionen</w:t>
      </w:r>
      <w:bookmarkEnd w:id="38"/>
    </w:p>
    <w:p w:rsidR="0080157C" w:rsidRPr="00141A1D" w:rsidRDefault="0080157C">
      <w:r w:rsidRPr="00141A1D">
        <w:t>I motion U301 (yrkande 2) av Lars Leijonborg m.fl. (fp) begärs att de svenska Europaparlamentarikerna ges möjlighet att delta i särskilda debatter i Sveriges riksdag. Ett steg i att öka kopplingen mellan den svenska och europeiska politiken vore att ge EU-parlamentarikerna ett eget och öppet forum för åte</w:t>
      </w:r>
      <w:r w:rsidRPr="00141A1D">
        <w:t>r</w:t>
      </w:r>
      <w:r w:rsidRPr="00141A1D">
        <w:t>rapportering. Därigenom skulle EU-parlamentarikernas roll bli mer tydlig och EU föras närmare medbo</w:t>
      </w:r>
      <w:r w:rsidRPr="00141A1D">
        <w:t>r</w:t>
      </w:r>
      <w:r w:rsidRPr="00141A1D">
        <w:t xml:space="preserve">garna. </w:t>
      </w:r>
    </w:p>
    <w:p w:rsidR="0080157C" w:rsidRPr="00141A1D" w:rsidRDefault="0080157C">
      <w:pPr>
        <w:pStyle w:val="Rubrik4"/>
        <w:rPr>
          <w:noProof w:val="0"/>
        </w:rPr>
      </w:pPr>
      <w:bookmarkStart w:id="39" w:name="_Toc530475955"/>
      <w:r w:rsidRPr="00141A1D">
        <w:rPr>
          <w:noProof w:val="0"/>
        </w:rPr>
        <w:t>Tidigare riksdagsbehandling</w:t>
      </w:r>
      <w:bookmarkEnd w:id="39"/>
    </w:p>
    <w:p w:rsidR="0080157C" w:rsidRPr="00141A1D" w:rsidRDefault="0080157C">
      <w:r w:rsidRPr="00141A1D">
        <w:t>Frågan om kontakterna med de svenska Europaparlamentarikerna togs upp i riksdagsstyrelsens förslag 2000/01:RS1. Det framhölls att Europaparlamentet och riksdagen är två skilda parlament. Det är värdefullt med goda kontakter mellan de svenska Europaparlamentarikerna och riksdagens ledamöter men deras olika mandat skall inte sammanblandas. Kontakterna borde enligt fö</w:t>
      </w:r>
      <w:r w:rsidRPr="00141A1D">
        <w:t>r</w:t>
      </w:r>
      <w:r w:rsidRPr="00141A1D">
        <w:t>slaget även fortsättningsvis gå genom partierna, men det finns anledning att utveckla kontakterna mellan Europaparlamentarikerna och andra delar av riksdagen. Till exempel borde utskotten och EU-nämnden överväga att bjuda in Europaparlamentariker till utfrågningar, öppna eller slutna, och möjligh</w:t>
      </w:r>
      <w:r w:rsidRPr="00141A1D">
        <w:t>e</w:t>
      </w:r>
      <w:r w:rsidRPr="00141A1D">
        <w:t>ten att i riksdagen ordna ett öppet seminarium där Europaparlamentarikerna deltar borde utnyttjas. Konstitutionsutskottet gjorde inte någon annan bedö</w:t>
      </w:r>
      <w:r w:rsidRPr="00141A1D">
        <w:t>m</w:t>
      </w:r>
      <w:r w:rsidRPr="00141A1D">
        <w:t>ning (bet. 2000/01:KU23).</w:t>
      </w:r>
    </w:p>
    <w:p w:rsidR="0080157C" w:rsidRPr="00141A1D" w:rsidRDefault="0080157C">
      <w:pPr>
        <w:pStyle w:val="Rubrik4"/>
        <w:rPr>
          <w:noProof w:val="0"/>
        </w:rPr>
      </w:pPr>
      <w:bookmarkStart w:id="40" w:name="_Toc530475956"/>
      <w:r w:rsidRPr="00141A1D">
        <w:rPr>
          <w:noProof w:val="0"/>
        </w:rPr>
        <w:t>Utskottets ställningstagande</w:t>
      </w:r>
      <w:bookmarkEnd w:id="40"/>
    </w:p>
    <w:p w:rsidR="0080157C" w:rsidRPr="00141A1D" w:rsidRDefault="0080157C">
      <w:r w:rsidRPr="00141A1D">
        <w:t>Utskottet vidhåller sitt tidigare ställningstagande. Motion U301 yrkande 2 (fp) avstyrks därmed.</w:t>
      </w:r>
    </w:p>
    <w:p w:rsidR="0080157C" w:rsidRPr="00141A1D" w:rsidRDefault="0080157C">
      <w:pPr>
        <w:pStyle w:val="Rubrik2"/>
      </w:pPr>
      <w:bookmarkStart w:id="41" w:name="_Toc530475957"/>
      <w:r w:rsidRPr="00141A1D">
        <w:t>Den allmänna motionstiden m.m.</w:t>
      </w:r>
      <w:bookmarkEnd w:id="41"/>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med hänvisning till pågående arbete i Rik</w:t>
      </w:r>
      <w:r w:rsidRPr="00141A1D">
        <w:t>s</w:t>
      </w:r>
      <w:r w:rsidRPr="00141A1D">
        <w:t>dagskommittén fem motionsyrkanden om den allmänna motionst</w:t>
      </w:r>
      <w:r w:rsidRPr="00141A1D">
        <w:t>i</w:t>
      </w:r>
      <w:r w:rsidRPr="00141A1D">
        <w:t>den.</w:t>
      </w:r>
    </w:p>
    <w:p w:rsidR="0080157C" w:rsidRPr="00141A1D" w:rsidRDefault="0080157C">
      <w:pPr>
        <w:pStyle w:val="Rubrik4"/>
        <w:rPr>
          <w:noProof w:val="0"/>
        </w:rPr>
      </w:pPr>
      <w:bookmarkStart w:id="42" w:name="_Toc530475958"/>
      <w:r w:rsidRPr="00141A1D">
        <w:rPr>
          <w:noProof w:val="0"/>
        </w:rPr>
        <w:t>Motionerna</w:t>
      </w:r>
      <w:bookmarkEnd w:id="42"/>
    </w:p>
    <w:p w:rsidR="0080157C" w:rsidRPr="00141A1D" w:rsidRDefault="0080157C">
      <w:r w:rsidRPr="00141A1D">
        <w:t xml:space="preserve">I flera motioner begärs att den allmänna motionstiden avskaffas. Margareta Cederfelt (m) begär i motion K225 ett förslag till utökad motionsrätt under riksdagsåret. I syfte att underlätta för riksdagsledamöterna att beakta aktuella frågor i samhället och föra en levande dialog med medborgarna i den egna valkretsen är det enligt motionen värdefullt om möjligheten att motionera utvecklas. </w:t>
      </w:r>
    </w:p>
    <w:p w:rsidR="0080157C" w:rsidRPr="00141A1D" w:rsidRDefault="0080157C">
      <w:pPr>
        <w:pStyle w:val="Normaltindrag"/>
      </w:pPr>
      <w:r w:rsidRPr="00141A1D">
        <w:t>Ett liknande yrkande finns i motion K343 av Magnus Jacobsson (kd). M</w:t>
      </w:r>
      <w:r w:rsidRPr="00141A1D">
        <w:t>o</w:t>
      </w:r>
      <w:r w:rsidRPr="00141A1D">
        <w:t>tionären anser att om motioner får läggas fram under hela året kommer en del ”okynnesmotioner” att försvinna samtidigt som enskilda motioner kan läggas fram vid tillfällen då de är både mer politiskt och medborgarmässigt intre</w:t>
      </w:r>
      <w:r w:rsidRPr="00141A1D">
        <w:t>s</w:t>
      </w:r>
      <w:r w:rsidRPr="00141A1D">
        <w:t>santa. Motionerna kan sedan behandlas antingen enbart i samband med läm</w:t>
      </w:r>
      <w:r w:rsidRPr="00141A1D">
        <w:t>p</w:t>
      </w:r>
      <w:r w:rsidRPr="00141A1D">
        <w:t>liga propositioner eller i separata uppsamlingsbetänka</w:t>
      </w:r>
      <w:r w:rsidRPr="00141A1D">
        <w:t>n</w:t>
      </w:r>
      <w:r w:rsidRPr="00141A1D">
        <w:t>den.</w:t>
      </w:r>
    </w:p>
    <w:p w:rsidR="0080157C" w:rsidRPr="00141A1D" w:rsidRDefault="0080157C">
      <w:pPr>
        <w:pStyle w:val="Normaltindrag"/>
      </w:pPr>
      <w:r w:rsidRPr="00141A1D">
        <w:t>Också i motion K252 av Harald Nordlund (fp) begärs att den allmänna motionstiden avskaffas. Ledamöterna bör medges att avlämna motion vid vilken tidpunk</w:t>
      </w:r>
      <w:r w:rsidRPr="00141A1D">
        <w:t>t som helst under året. Som medborgarnas ombud är det viktigt att kunna agera vid de tillfällen en fråga upplevs som angelägen.</w:t>
      </w:r>
    </w:p>
    <w:p w:rsidR="0080157C" w:rsidRPr="00141A1D" w:rsidRDefault="0080157C">
      <w:pPr>
        <w:pStyle w:val="Normaltindrag"/>
      </w:pPr>
      <w:r w:rsidRPr="00141A1D">
        <w:t>Eva Flyborg (fp) begär i motion K375 att reglerna om motionstiden refo</w:t>
      </w:r>
      <w:r w:rsidRPr="00141A1D">
        <w:t>r</w:t>
      </w:r>
      <w:r w:rsidRPr="00141A1D">
        <w:t>meras. Den allmänna motionstiden återspeglar en helt förlegad syn på rik</w:t>
      </w:r>
      <w:r w:rsidRPr="00141A1D">
        <w:t>s</w:t>
      </w:r>
      <w:r w:rsidRPr="00141A1D">
        <w:t>dagsarbetet. Om riksdagen skall kunna hantera aktuella händelser måste det skapas möjligheter till detta inom riksdagssystemet. En starkare koppling till aktuella händelser skulle bidra till att göra riksdagens arbete mer relevant i medborgarnas ögon. Ett alternativ till ständig initiativrätt kunde vara att den allmänna motionstiden fördelas på tre fyra gånger per år. Därigenom skulle dramatiken till motionerandet försvinna, riksdagen</w:t>
      </w:r>
      <w:r w:rsidRPr="00141A1D">
        <w:t xml:space="preserve"> få en jämnare arbetsfö</w:t>
      </w:r>
      <w:r w:rsidRPr="00141A1D">
        <w:t>r</w:t>
      </w:r>
      <w:r w:rsidRPr="00141A1D">
        <w:t>delning under året och antalet motioner minska i antal men få en bättre kval</w:t>
      </w:r>
      <w:r w:rsidRPr="00141A1D">
        <w:t>i</w:t>
      </w:r>
      <w:r w:rsidRPr="00141A1D">
        <w:t>tet.</w:t>
      </w:r>
    </w:p>
    <w:p w:rsidR="0080157C" w:rsidRPr="00141A1D" w:rsidRDefault="0080157C">
      <w:r w:rsidRPr="00141A1D">
        <w:t>Rigmor Stenmark (c) begär i motion K423 ett tillkännagivande om temaår i riksdagsarbetet. Enligt motionen finns det anledning att se över rutinerna för motionsskrivandet. Ett arbetssätt bör prövas som innebär att riksdagen under mandatperiodens fyra år borde arbeta mer ämnesinriktat under något år för att på så sätt fokusera på ett speciellt angeläget ämneso</w:t>
      </w:r>
      <w:r w:rsidRPr="00141A1D">
        <w:t>m</w:t>
      </w:r>
      <w:r w:rsidRPr="00141A1D">
        <w:t>råde.</w:t>
      </w:r>
    </w:p>
    <w:p w:rsidR="0080157C" w:rsidRPr="00141A1D" w:rsidRDefault="0080157C">
      <w:pPr>
        <w:pStyle w:val="Rubrik4"/>
        <w:rPr>
          <w:noProof w:val="0"/>
        </w:rPr>
      </w:pPr>
      <w:bookmarkStart w:id="43" w:name="_Toc530475959"/>
      <w:r w:rsidRPr="00141A1D">
        <w:rPr>
          <w:noProof w:val="0"/>
        </w:rPr>
        <w:t>Tidigare riksdagsbehandling</w:t>
      </w:r>
      <w:bookmarkEnd w:id="43"/>
    </w:p>
    <w:p w:rsidR="0080157C" w:rsidRPr="00141A1D" w:rsidRDefault="0080157C">
      <w:r w:rsidRPr="00141A1D">
        <w:t>I riksdagsstyrelsens förslag 2000/01:RS1 framhölls bl.a. att den fria motion</w:t>
      </w:r>
      <w:r w:rsidRPr="00141A1D">
        <w:t>s</w:t>
      </w:r>
      <w:r w:rsidRPr="00141A1D">
        <w:t>rätten bör vara kvar. Genom tidigare riksdagsbeslut hade utskotten reko</w:t>
      </w:r>
      <w:r w:rsidRPr="00141A1D">
        <w:t>m</w:t>
      </w:r>
      <w:r w:rsidRPr="00141A1D">
        <w:t>menderats att planera arbetet för hela valperioden med fördjupning på vissa områden under olika år. Genomslaget för detta arbetssätt hade dock inte varit stort. Som ett led i att uppnå det rekommenderade arbetssättet ansåg riksdag</w:t>
      </w:r>
      <w:r w:rsidRPr="00141A1D">
        <w:t>s</w:t>
      </w:r>
      <w:r w:rsidRPr="00141A1D">
        <w:t>styrelsen att utskotten behövde planera mer långsiktigt och mer tematiskt. Varje ämnesområde inom ett utskotts beredningsområde bör behandlas minst två gånger under en valperiod, första gången under det först</w:t>
      </w:r>
      <w:r w:rsidRPr="00141A1D">
        <w:t>a riksmötet och andra gången under något av de följande riksmötena. Efter genomgången av utskottets hela beredningsområde under första året av valperioden bör u</w:t>
      </w:r>
      <w:r w:rsidRPr="00141A1D">
        <w:t>t</w:t>
      </w:r>
      <w:r w:rsidRPr="00141A1D">
        <w:t>skottet göra en planering för resten av valperioden. Minst en behandling under det andra, tredje eller fjärde riksmötet bör vara mer ingående och inn</w:t>
      </w:r>
      <w:r w:rsidRPr="00141A1D">
        <w:t>e</w:t>
      </w:r>
      <w:r w:rsidRPr="00141A1D">
        <w:t xml:space="preserve">hålla inslag av uppföljning/utvärdering och EU-bevakning. Riksdagsstyrelsen ansåg vidare att utskotten vid behov skall kunna ge motionerna en förenklad behandling. Förenklad beredning kan användas vid </w:t>
      </w:r>
      <w:r w:rsidRPr="00141A1D">
        <w:t>det första riksmötet och vid de övriga riksmöten under valperioden då utskottet inte bestämt sig för att ha en fördjupad ärendeberedning. Vid förenklad behandling kan motionsfö</w:t>
      </w:r>
      <w:r w:rsidRPr="00141A1D">
        <w:t>r</w:t>
      </w:r>
      <w:r w:rsidRPr="00141A1D">
        <w:t>slag som behandlar frågor där beslutanderätten enligt utskottets uppfattning bör ligga kvar hos regeringen, en förvaltningsmyndighet eller hos kommune</w:t>
      </w:r>
      <w:r w:rsidRPr="00141A1D">
        <w:t>r</w:t>
      </w:r>
      <w:r w:rsidRPr="00141A1D">
        <w:t>na kunna avstyrkas utan ytterligare beredning. I fråga om motionsförslag som upprepas bör vid förenklad behandling utskottet hänvisa till tidigare stäl</w:t>
      </w:r>
      <w:r w:rsidRPr="00141A1D">
        <w:t>l</w:t>
      </w:r>
      <w:r w:rsidRPr="00141A1D">
        <w:t>ningstagande. Frågan om motioner</w:t>
      </w:r>
      <w:r w:rsidRPr="00141A1D">
        <w:t>nas behandling var emellertid enligt fö</w:t>
      </w:r>
      <w:r w:rsidRPr="00141A1D">
        <w:t>r</w:t>
      </w:r>
      <w:r w:rsidRPr="00141A1D">
        <w:t>slaget en fråga av så stor vikt för riksdagsarbetet att utredningsarbetet borde fortsätta. I detta sammanhang kunde också motionsinstitutets utformning komma att beröras.</w:t>
      </w:r>
    </w:p>
    <w:p w:rsidR="0080157C" w:rsidRPr="00141A1D" w:rsidRDefault="0080157C">
      <w:pPr>
        <w:pStyle w:val="Normaltindrag"/>
      </w:pPr>
      <w:r w:rsidRPr="00141A1D">
        <w:t>Vid behandlingen av riksdagsstyrelsens förslag gjorde utskottet inte någon annan bedömning än riksdagsstyrelsen i fråga om värdet av förenklad m</w:t>
      </w:r>
      <w:r w:rsidRPr="00141A1D">
        <w:t>o</w:t>
      </w:r>
      <w:r w:rsidRPr="00141A1D">
        <w:t>tionsbehandling. Utskottet, som noterade att utredningsarbetet när det gäller motionsbehandlingen fortsätter, delade även i övrigt riksdagsstyrelsens b</w:t>
      </w:r>
      <w:r w:rsidRPr="00141A1D">
        <w:t>e</w:t>
      </w:r>
      <w:r w:rsidRPr="00141A1D">
        <w:t>dömning i fråga om riktlinjer för förändringar i utskottens arbete (bet. 2000/01:KU23). Riksdagen godkände de föreslagna riktlinjerna för förän</w:t>
      </w:r>
      <w:r w:rsidRPr="00141A1D">
        <w:t>d</w:t>
      </w:r>
      <w:r w:rsidRPr="00141A1D">
        <w:t>ringar i utskottens arbete.</w:t>
      </w:r>
    </w:p>
    <w:p w:rsidR="0080157C" w:rsidRPr="00141A1D" w:rsidRDefault="0080157C">
      <w:pPr>
        <w:pStyle w:val="Rubrik4"/>
        <w:rPr>
          <w:noProof w:val="0"/>
        </w:rPr>
      </w:pPr>
      <w:bookmarkStart w:id="44" w:name="_Toc530475960"/>
      <w:r w:rsidRPr="00141A1D">
        <w:rPr>
          <w:noProof w:val="0"/>
        </w:rPr>
        <w:t>Utskottets ställningstagande</w:t>
      </w:r>
      <w:bookmarkEnd w:id="44"/>
    </w:p>
    <w:p w:rsidR="0080157C" w:rsidRPr="00141A1D" w:rsidRDefault="0080157C">
      <w:r w:rsidRPr="00141A1D">
        <w:t>Frågan om motionsinstitutets utformning behandlas för närvarande i Rik</w:t>
      </w:r>
      <w:r w:rsidRPr="00141A1D">
        <w:t>s</w:t>
      </w:r>
      <w:r w:rsidRPr="00141A1D">
        <w:t>dagskommittén. Enligt utskottets mening bör resultatet av detta arbete a</w:t>
      </w:r>
      <w:r w:rsidRPr="00141A1D">
        <w:t>v</w:t>
      </w:r>
      <w:r w:rsidRPr="00141A1D">
        <w:t>vaktas. Utskottet avstyrker därför motionerna K225 (m), K343 (kd), K252 (fp) och K375 (fp) samt K423 (c) i denna del. När det gäller synpunkterna i motion K423 om värdet av att riksdagen under något år under valperioden arbetar mer temainriktat och fokuserar på ett speciellt område ligger detta i linje med riksdagens ovan redovisade riktlinjebeslut för utskottsarbetet. M</w:t>
      </w:r>
      <w:r w:rsidRPr="00141A1D">
        <w:t>o</w:t>
      </w:r>
      <w:r w:rsidRPr="00141A1D">
        <w:t>tion K423 i denna del får därför anses tillgodosett och avstyrks</w:t>
      </w:r>
      <w:r w:rsidRPr="00141A1D">
        <w:t xml:space="preserve"> följaktligen.  </w:t>
      </w:r>
    </w:p>
    <w:p w:rsidR="0080157C" w:rsidRPr="00141A1D" w:rsidRDefault="0080157C">
      <w:pPr>
        <w:pStyle w:val="Rubrik2"/>
      </w:pPr>
      <w:bookmarkStart w:id="45" w:name="_Toc530475961"/>
      <w:r w:rsidRPr="00141A1D">
        <w:t>Budgetprocessen</w:t>
      </w:r>
      <w:bookmarkEnd w:id="45"/>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med hänvisning till en aviserad utvärdering två motionsyrkanden som gäller utvärdering och behovet av ändringar i fråga om budgetproce</w:t>
      </w:r>
      <w:r w:rsidRPr="00141A1D">
        <w:t>s</w:t>
      </w:r>
      <w:r w:rsidRPr="00141A1D">
        <w:t>sen.</w:t>
      </w:r>
    </w:p>
    <w:p w:rsidR="0080157C" w:rsidRPr="00141A1D" w:rsidRDefault="0080157C">
      <w:pPr>
        <w:pStyle w:val="Utskottsfrslagikorthet-Text"/>
      </w:pPr>
      <w:r w:rsidRPr="00141A1D">
        <w:t>Jämför reservation 3 (v) och särskilt yttrande (kd).</w:t>
      </w:r>
    </w:p>
    <w:p w:rsidR="0080157C" w:rsidRPr="00141A1D" w:rsidRDefault="0080157C">
      <w:pPr>
        <w:pStyle w:val="Rubrik4"/>
        <w:rPr>
          <w:noProof w:val="0"/>
        </w:rPr>
      </w:pPr>
      <w:bookmarkStart w:id="46" w:name="_Toc530475962"/>
      <w:r w:rsidRPr="00141A1D">
        <w:rPr>
          <w:noProof w:val="0"/>
        </w:rPr>
        <w:t>Motionerna</w:t>
      </w:r>
      <w:bookmarkEnd w:id="46"/>
    </w:p>
    <w:p w:rsidR="0080157C" w:rsidRPr="00141A1D" w:rsidRDefault="0080157C">
      <w:pPr>
        <w:rPr>
          <w:snapToGrid w:val="0"/>
          <w:lang w:eastAsia="sv-SE"/>
        </w:rPr>
      </w:pPr>
      <w:r w:rsidRPr="00141A1D">
        <w:t>Gudrun Schyman m.fl. (v) begär i motion K332 att riksdagen låter utvärdera budgetprocessen och därefter pröva motionens förslag till förändringar. M</w:t>
      </w:r>
      <w:r w:rsidRPr="00141A1D">
        <w:t>o</w:t>
      </w:r>
      <w:r w:rsidRPr="00141A1D">
        <w:t>tionärerna hänvisar till att den nya budgetlagen nu gällt i drygt fyra år. Under den tiden har de makroekonomiska förhållandena och särskilt de offentliga finanserna genomgått en ganska dramatisk förändring. Det måste enligt m</w:t>
      </w:r>
      <w:r w:rsidRPr="00141A1D">
        <w:t>o</w:t>
      </w:r>
      <w:r w:rsidRPr="00141A1D">
        <w:t>tionen vara möjligt att skapa en budgetprocess som ger ett större handlingsu</w:t>
      </w:r>
      <w:r w:rsidRPr="00141A1D">
        <w:t>t</w:t>
      </w:r>
      <w:r w:rsidRPr="00141A1D">
        <w:t>rymme utan att det sker återfall i det gamla systemets brister. Det är hög tid att riksdagen nu inleder en rejäl debatt om hur den nya budgetprocessen fu</w:t>
      </w:r>
      <w:r w:rsidRPr="00141A1D">
        <w:t>n</w:t>
      </w:r>
      <w:r w:rsidRPr="00141A1D">
        <w:t>gerat och prövar behovet av förändringar. Riksdagen b</w:t>
      </w:r>
      <w:r w:rsidRPr="00141A1D">
        <w:t>ör nu efter de beslut om förändringar i budgetprocessen som nyligen fattats gå vidare med en mer omfattande utvärdering som dels sammanställer det som redan gjorts (SOU 2000:61, Vestaprojektet och Riksdagskommitténs referensgrupp om budge</w:t>
      </w:r>
      <w:r w:rsidRPr="00141A1D">
        <w:t>t</w:t>
      </w:r>
      <w:r w:rsidRPr="00141A1D">
        <w:t xml:space="preserve">processen). Utvärderingen bör pröva </w:t>
      </w:r>
      <w:r w:rsidRPr="00141A1D">
        <w:rPr>
          <w:snapToGrid w:val="0"/>
          <w:lang w:eastAsia="sv-SE"/>
        </w:rPr>
        <w:t>förutsättningarna för att göra långsiktiga och korrekta utgiftsprognoser. Vidare bör prövas om dagens tillämpning av utgiftstaken får till konsekvens att systemet ökar efterfrågan i högkonjunktur och håller tillbaka i lågkonjunktur och o</w:t>
      </w:r>
      <w:r w:rsidRPr="00141A1D">
        <w:rPr>
          <w:snapToGrid w:val="0"/>
          <w:lang w:eastAsia="sv-SE"/>
        </w:rPr>
        <w:t>m det behövs nya aktiva beslut om vilka utgifter som på sikt borde ligga utom respektive inom taket. Utvärd</w:t>
      </w:r>
      <w:r w:rsidRPr="00141A1D">
        <w:rPr>
          <w:snapToGrid w:val="0"/>
          <w:lang w:eastAsia="sv-SE"/>
        </w:rPr>
        <w:t>e</w:t>
      </w:r>
      <w:r w:rsidRPr="00141A1D">
        <w:rPr>
          <w:snapToGrid w:val="0"/>
          <w:lang w:eastAsia="sv-SE"/>
        </w:rPr>
        <w:t>ringen bör också gälla frågan om huruvida utgifter och inkomster borde b</w:t>
      </w:r>
      <w:r w:rsidRPr="00141A1D">
        <w:rPr>
          <w:snapToGrid w:val="0"/>
          <w:lang w:eastAsia="sv-SE"/>
        </w:rPr>
        <w:t>e</w:t>
      </w:r>
      <w:r w:rsidRPr="00141A1D">
        <w:rPr>
          <w:snapToGrid w:val="0"/>
          <w:lang w:eastAsia="sv-SE"/>
        </w:rPr>
        <w:t>handlas mer symmetriskt i budgetprocessen, t.ex. genom att införa ett i</w:t>
      </w:r>
      <w:r w:rsidRPr="00141A1D">
        <w:rPr>
          <w:snapToGrid w:val="0"/>
          <w:lang w:eastAsia="sv-SE"/>
        </w:rPr>
        <w:t>n</w:t>
      </w:r>
      <w:r w:rsidRPr="00141A1D">
        <w:rPr>
          <w:snapToGrid w:val="0"/>
          <w:lang w:eastAsia="sv-SE"/>
        </w:rPr>
        <w:t>komstgolv så att inte tillfälliga inkomster används för att finansiera långsikt</w:t>
      </w:r>
      <w:r w:rsidRPr="00141A1D">
        <w:rPr>
          <w:snapToGrid w:val="0"/>
          <w:lang w:eastAsia="sv-SE"/>
        </w:rPr>
        <w:t>i</w:t>
      </w:r>
      <w:r w:rsidRPr="00141A1D">
        <w:rPr>
          <w:snapToGrid w:val="0"/>
          <w:lang w:eastAsia="sv-SE"/>
        </w:rPr>
        <w:t>ga inkomstminskningar/skattesänkningar. Andra frågor som bör utvärderas är om sparmålet är korrekt utformat samt nivån på budgeteringsmarginalen och princ</w:t>
      </w:r>
      <w:r w:rsidRPr="00141A1D">
        <w:rPr>
          <w:snapToGrid w:val="0"/>
          <w:lang w:eastAsia="sv-SE"/>
        </w:rPr>
        <w:t>i</w:t>
      </w:r>
      <w:r w:rsidRPr="00141A1D">
        <w:rPr>
          <w:snapToGrid w:val="0"/>
          <w:lang w:eastAsia="sv-SE"/>
        </w:rPr>
        <w:t>per för dess användning.</w:t>
      </w:r>
    </w:p>
    <w:p w:rsidR="0080157C" w:rsidRPr="00141A1D" w:rsidRDefault="0080157C">
      <w:pPr>
        <w:pStyle w:val="Normaltindrag"/>
      </w:pPr>
      <w:r w:rsidRPr="00141A1D">
        <w:t>Ingvar Svensson (kd) begär i motion K277 att riksdagsstyrelsen ges i up</w:t>
      </w:r>
      <w:r w:rsidRPr="00141A1D">
        <w:t>p</w:t>
      </w:r>
      <w:r w:rsidRPr="00141A1D">
        <w:t>drag att utreda lösningar för att åstadkomma en mer relevant och flexibel möjlighet att göra justeringar inom ett utgiftsområdes ram. Att både anslag och anslagsvillkor för ett helt utgiftsområde skall tas i ett enda klubbslag är naturligtvis fördelaktigt för en regering och speciellt en minoritetsregering, men minskar riksdagens makt och innebär en nedgradering av det andra st</w:t>
      </w:r>
      <w:r w:rsidRPr="00141A1D">
        <w:t>e</w:t>
      </w:r>
      <w:r w:rsidRPr="00141A1D">
        <w:t xml:space="preserve">get i budgetprocessen, som för många ledamöter framstår som meningslöst. I praktiken är majoritetsbeslut i en enskild fråga borta </w:t>
      </w:r>
      <w:r w:rsidRPr="00141A1D">
        <w:t>ur bilden. Efter det att en viss reformering av budgetprocessen som helhet nu vidtagits är det dags att ta itu med frågan om budgetprocessens andra steg.</w:t>
      </w:r>
    </w:p>
    <w:p w:rsidR="0080157C" w:rsidRPr="00141A1D" w:rsidRDefault="0080157C">
      <w:pPr>
        <w:pStyle w:val="Rubrik4"/>
        <w:rPr>
          <w:noProof w:val="0"/>
        </w:rPr>
      </w:pPr>
      <w:bookmarkStart w:id="47" w:name="_Toc530475963"/>
      <w:r w:rsidRPr="00141A1D">
        <w:rPr>
          <w:noProof w:val="0"/>
        </w:rPr>
        <w:t>Tidigare behandling</w:t>
      </w:r>
      <w:bookmarkEnd w:id="47"/>
    </w:p>
    <w:p w:rsidR="0080157C" w:rsidRPr="00141A1D" w:rsidRDefault="0080157C">
      <w:r w:rsidRPr="00141A1D">
        <w:t>Den nya budgetprocessen utvärderades under åren 1999 och 2000 av Rik</w:t>
      </w:r>
      <w:r w:rsidRPr="00141A1D">
        <w:t>s</w:t>
      </w:r>
      <w:r w:rsidRPr="00141A1D">
        <w:t>dagskommittén. I kommitténs uppdrag ingick att överväga behovet av förän</w:t>
      </w:r>
      <w:r w:rsidRPr="00141A1D">
        <w:t>d</w:t>
      </w:r>
      <w:r w:rsidRPr="00141A1D">
        <w:t>ringar. Därvid skulle bl.a. undersökas om intentionerna bakom omläggningen av budgetprocessen hade uppfyllts och vilka konsekvenser i övrigt omläg</w:t>
      </w:r>
      <w:r w:rsidRPr="00141A1D">
        <w:t>g</w:t>
      </w:r>
      <w:r w:rsidRPr="00141A1D">
        <w:t>ningen medfört som påverkat riksdagens ställning. Kommittén bedömde att intentionerna bakom budgetreformen i huvudsak uppfyllts och framhöll att rambeslutsmodellen innebär att en minoritetsregerings möjlighet att få ig</w:t>
      </w:r>
      <w:r w:rsidRPr="00141A1D">
        <w:t>e</w:t>
      </w:r>
      <w:r w:rsidRPr="00141A1D">
        <w:t>nom budgetpropositionen i riksdagen har ökat, vilket var en avsedd effek</w:t>
      </w:r>
      <w:r w:rsidRPr="00141A1D">
        <w:t>t av reformen. Kommittén ansåg att det var en fördel att budgetprocessen försv</w:t>
      </w:r>
      <w:r w:rsidRPr="00141A1D">
        <w:t>å</w:t>
      </w:r>
      <w:r w:rsidRPr="00141A1D">
        <w:t>rar hoppande majoriteter för ökade anslag utan finansiering. Rambeslutspr</w:t>
      </w:r>
      <w:r w:rsidRPr="00141A1D">
        <w:t>o</w:t>
      </w:r>
      <w:r w:rsidRPr="00141A1D">
        <w:t>cessen stärker enligt kommittén i så måtto regeringsmakten, men det vikt</w:t>
      </w:r>
      <w:r w:rsidRPr="00141A1D">
        <w:t>i</w:t>
      </w:r>
      <w:r w:rsidRPr="00141A1D">
        <w:t>gaste ur riksdagens synvinkel är att budgetreformen ökar möjligheterna för riksdagen att göra en samordnad beredning av regeringens budgetförslag. Kommittén bedömde att även om rambeslutsmodellen ännu inte prövats u</w:t>
      </w:r>
      <w:r w:rsidRPr="00141A1D">
        <w:t>n</w:t>
      </w:r>
      <w:r w:rsidRPr="00141A1D">
        <w:t>der perioder med svåra ekonomiska påfrestningar eller parlamentarisk o</w:t>
      </w:r>
      <w:r w:rsidRPr="00141A1D">
        <w:t>s</w:t>
      </w:r>
      <w:r w:rsidRPr="00141A1D">
        <w:t>ä</w:t>
      </w:r>
      <w:r w:rsidRPr="00141A1D">
        <w:t>kerhet har den nya budgetprocessen bättre förutsättningar att fungera under såd</w:t>
      </w:r>
      <w:r w:rsidRPr="00141A1D">
        <w:t>a</w:t>
      </w:r>
      <w:r w:rsidRPr="00141A1D">
        <w:t xml:space="preserve">na omständigheter än vad den gamla hade. </w:t>
      </w:r>
    </w:p>
    <w:p w:rsidR="0080157C" w:rsidRPr="00141A1D" w:rsidRDefault="0080157C">
      <w:pPr>
        <w:pStyle w:val="Normaltindrag"/>
      </w:pPr>
      <w:r w:rsidRPr="00141A1D">
        <w:t>Kommittén hade under sitt arbete fångat upp ett missnöje bland riksdagens ledamöter som gällde svårigheten för utskotten att göra ändringar i anslagen i förhållande till regeringens förslag. Kommittén bedömde dock att huvudfö</w:t>
      </w:r>
      <w:r w:rsidRPr="00141A1D">
        <w:t>r</w:t>
      </w:r>
      <w:r w:rsidRPr="00141A1D">
        <w:t>klaringen till det minskade antalet ändringar ligger i det förhållandet att r</w:t>
      </w:r>
      <w:r w:rsidRPr="00141A1D">
        <w:t>e</w:t>
      </w:r>
      <w:r w:rsidRPr="00141A1D">
        <w:t>geringen valt att presentera förslag som i förväg förhandlats med ett eller två av oppositionspartierna. Utskotten hade endast i begränsad omfattning u</w:t>
      </w:r>
      <w:r w:rsidRPr="00141A1D">
        <w:t>t</w:t>
      </w:r>
      <w:r w:rsidRPr="00141A1D">
        <w:t>nyttjat den frihet de har att i budgetprocessens andra steg på hösten ändra anslagsbelopp inom de av kammaren fastställda utgiftsramarna. Detta var enligt kommittén naturligt med hänsyn till att regeringen, som inte haft egen majoritet i kammaren, varje år har försäkrat sig på för</w:t>
      </w:r>
      <w:r w:rsidRPr="00141A1D">
        <w:t>hand om stöd för sitt budgetförslag från vissa andra partier. Kommitténs utvärdering ledde till vissa förslag bl.a. rörande dubbelarbetet höst och vår. Förslagen lades av riksdag</w:t>
      </w:r>
      <w:r w:rsidRPr="00141A1D">
        <w:t>s</w:t>
      </w:r>
      <w:r w:rsidRPr="00141A1D">
        <w:t>styrelsen fram för riksdagen (förs. 2000/01:RS1). Utskottet tillstyrkte försl</w:t>
      </w:r>
      <w:r w:rsidRPr="00141A1D">
        <w:t>a</w:t>
      </w:r>
      <w:r w:rsidRPr="00141A1D">
        <w:t>gen (2000/01:KU23). Utskottet ansåg också att det var angeläget att redan då besluta om att en utvärdering bör göras efter några år i fråga om vilka effekter omläggningen inneburit såväl vad gäller budgetprocessens innehåll och bu</w:t>
      </w:r>
      <w:r w:rsidRPr="00141A1D">
        <w:t>d</w:t>
      </w:r>
      <w:r w:rsidRPr="00141A1D">
        <w:t xml:space="preserve">getmässiga resultat som </w:t>
      </w:r>
      <w:r w:rsidRPr="00141A1D">
        <w:t>vad gäller de budgetmässiga konsekvenserna för riksdagen. Riksdagen beslutade i enlighet med utskottets förslag att som sin mening ge regeringen detta till känna (rskr. 273–276).</w:t>
      </w:r>
    </w:p>
    <w:p w:rsidR="0080157C" w:rsidRPr="00141A1D" w:rsidRDefault="0080157C">
      <w:pPr>
        <w:pStyle w:val="Rubrik4"/>
        <w:rPr>
          <w:noProof w:val="0"/>
        </w:rPr>
      </w:pPr>
      <w:bookmarkStart w:id="48" w:name="_Toc530475964"/>
      <w:r w:rsidRPr="00141A1D">
        <w:rPr>
          <w:noProof w:val="0"/>
        </w:rPr>
        <w:t>Utskottets ställningstagande</w:t>
      </w:r>
      <w:bookmarkEnd w:id="48"/>
    </w:p>
    <w:p w:rsidR="0080157C" w:rsidRPr="00141A1D" w:rsidRDefault="0080157C">
      <w:r w:rsidRPr="00141A1D">
        <w:t>Riksdagens beslut våren 2001 om budgetprocessen innebär att en utvärdering skall göras om några år. Enligt utskottets mening bör resultatet av denna utvärdering avvaktas. Utskottet avstyrker därför motionerna K332 (v) och K277 (kd).</w:t>
      </w:r>
    </w:p>
    <w:p w:rsidR="0080157C" w:rsidRPr="00141A1D" w:rsidRDefault="0080157C">
      <w:pPr>
        <w:pStyle w:val="Rubrik2"/>
      </w:pPr>
      <w:bookmarkStart w:id="49" w:name="_Toc530475965"/>
      <w:r w:rsidRPr="00141A1D">
        <w:t>Utformningen av motioner</w:t>
      </w:r>
      <w:bookmarkEnd w:id="49"/>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att rubrikerna på moti</w:t>
      </w:r>
      <w:r w:rsidRPr="00141A1D">
        <w:t>o</w:t>
      </w:r>
      <w:r w:rsidRPr="00141A1D">
        <w:t>nerna inte skall ändras inom kammarkansliet.</w:t>
      </w:r>
    </w:p>
    <w:p w:rsidR="0080157C" w:rsidRPr="00141A1D" w:rsidRDefault="0080157C">
      <w:pPr>
        <w:pStyle w:val="Rubrik4"/>
        <w:rPr>
          <w:noProof w:val="0"/>
        </w:rPr>
      </w:pPr>
      <w:bookmarkStart w:id="50" w:name="_Toc530475966"/>
      <w:r w:rsidRPr="00141A1D">
        <w:rPr>
          <w:noProof w:val="0"/>
        </w:rPr>
        <w:t>Motionen</w:t>
      </w:r>
      <w:bookmarkEnd w:id="50"/>
    </w:p>
    <w:p w:rsidR="0080157C" w:rsidRPr="00141A1D" w:rsidRDefault="0080157C">
      <w:r w:rsidRPr="00141A1D">
        <w:t xml:space="preserve">Bertil Persson (m) begär i motion K275 att kammarkansliet inte skall ändra rubrikerna på motionerna. Den nuvarande ordningen där så sker medför en risk för att motionernas budskap förändras. </w:t>
      </w:r>
    </w:p>
    <w:p w:rsidR="0080157C" w:rsidRPr="00141A1D" w:rsidRDefault="0080157C">
      <w:pPr>
        <w:pStyle w:val="Rubrik4"/>
        <w:rPr>
          <w:noProof w:val="0"/>
        </w:rPr>
      </w:pPr>
      <w:bookmarkStart w:id="51" w:name="_Toc530475967"/>
      <w:r w:rsidRPr="00141A1D">
        <w:rPr>
          <w:noProof w:val="0"/>
        </w:rPr>
        <w:t>Gällande ordning</w:t>
      </w:r>
      <w:bookmarkEnd w:id="51"/>
    </w:p>
    <w:p w:rsidR="0080157C" w:rsidRPr="00141A1D" w:rsidRDefault="0080157C">
      <w:r w:rsidRPr="00141A1D">
        <w:t>Enligt 4 kap. 3 § regeringsformen får regeringen och varje riksdagsledamot i enlighet med vad som närmare anges i riksdagsordningen väcka förslag i fråga om allt som kan komma under riksdagens prövning. I 3 kap. 9 § rik</w:t>
      </w:r>
      <w:r w:rsidRPr="00141A1D">
        <w:t>s</w:t>
      </w:r>
      <w:r w:rsidRPr="00141A1D">
        <w:t>dagsordningen anges att riksdagsledamot avger förslag till riksdagen i form av motion och att i en och samma motion inte får sammanföras förslag i ski</w:t>
      </w:r>
      <w:r w:rsidRPr="00141A1D">
        <w:t>l</w:t>
      </w:r>
      <w:r w:rsidRPr="00141A1D">
        <w:t>da ämnen. Någon ytterligare bestämmelse om utformningen av motioner finns inte i riksdagsor</w:t>
      </w:r>
      <w:r w:rsidRPr="00141A1D">
        <w:t>d</w:t>
      </w:r>
      <w:r w:rsidRPr="00141A1D">
        <w:t>ningen.</w:t>
      </w:r>
    </w:p>
    <w:p w:rsidR="0080157C" w:rsidRPr="00141A1D" w:rsidRDefault="0080157C">
      <w:pPr>
        <w:pStyle w:val="Normaltindrag"/>
      </w:pPr>
      <w:r w:rsidRPr="00141A1D">
        <w:t>Enligt anvisningar från kammarkansliet förses alla motioner med en r</w:t>
      </w:r>
      <w:r w:rsidRPr="00141A1D">
        <w:t>u</w:t>
      </w:r>
      <w:r w:rsidRPr="00141A1D">
        <w:t>brik. I anvisningarna sägs vidare att det är en fördel om motionären själv lämnar förslag till rubrik på sin motion. Rubriken bör vara kort och sakligt sammanfatta innehållet i motionen. Slagordsmässiga och värdeladdade rubr</w:t>
      </w:r>
      <w:r w:rsidRPr="00141A1D">
        <w:t>i</w:t>
      </w:r>
      <w:r w:rsidRPr="00141A1D">
        <w:t>ker bör undvikas. Slutligen anges att de av motionärerna föreslagna rubrike</w:t>
      </w:r>
      <w:r w:rsidRPr="00141A1D">
        <w:t>r</w:t>
      </w:r>
      <w:r w:rsidRPr="00141A1D">
        <w:t>na ibland justeras av olika skäl.</w:t>
      </w:r>
    </w:p>
    <w:p w:rsidR="0080157C" w:rsidRPr="00141A1D" w:rsidRDefault="0080157C">
      <w:pPr>
        <w:pStyle w:val="Rubrik4"/>
        <w:rPr>
          <w:noProof w:val="0"/>
        </w:rPr>
      </w:pPr>
      <w:bookmarkStart w:id="52" w:name="_Toc530475968"/>
      <w:r w:rsidRPr="00141A1D">
        <w:rPr>
          <w:noProof w:val="0"/>
        </w:rPr>
        <w:t>Utskottets ställningstagande</w:t>
      </w:r>
      <w:bookmarkEnd w:id="52"/>
    </w:p>
    <w:p w:rsidR="0080157C" w:rsidRPr="00141A1D" w:rsidRDefault="0080157C">
      <w:r w:rsidRPr="00141A1D">
        <w:t>Frågan om utformningen av motioner är enligt utskottets mening närmast en fråga för talmannen, riksdagsstyrelsen och de särskilda företrädarna för part</w:t>
      </w:r>
      <w:r w:rsidRPr="00141A1D">
        <w:t>i</w:t>
      </w:r>
      <w:r w:rsidRPr="00141A1D">
        <w:t>gruppe</w:t>
      </w:r>
      <w:r w:rsidRPr="00141A1D">
        <w:t>r</w:t>
      </w:r>
      <w:r w:rsidRPr="00141A1D">
        <w:t>na. Utskottet avstyrker därför motion K275 (m).</w:t>
      </w:r>
    </w:p>
    <w:p w:rsidR="0080157C" w:rsidRPr="00141A1D" w:rsidRDefault="0080157C">
      <w:pPr>
        <w:pStyle w:val="Rubrik2"/>
      </w:pPr>
      <w:bookmarkStart w:id="53" w:name="_Toc530475969"/>
      <w:r w:rsidRPr="00141A1D">
        <w:t>Utskottsorganisationen</w:t>
      </w:r>
      <w:bookmarkEnd w:id="53"/>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fyra motionsyrkanden om ändrad utskottsinde</w:t>
      </w:r>
      <w:r w:rsidRPr="00141A1D">
        <w:t>l</w:t>
      </w:r>
      <w:r w:rsidRPr="00141A1D">
        <w:t>ning och ett motionsyrkande om en översyn av Försvarsberednin</w:t>
      </w:r>
      <w:r w:rsidRPr="00141A1D">
        <w:t>g</w:t>
      </w:r>
      <w:r w:rsidRPr="00141A1D">
        <w:t>en.</w:t>
      </w:r>
    </w:p>
    <w:p w:rsidR="0080157C" w:rsidRPr="00141A1D" w:rsidRDefault="0080157C">
      <w:pPr>
        <w:pStyle w:val="Utskottsfrslagikorthet-Text"/>
      </w:pPr>
      <w:r w:rsidRPr="00141A1D">
        <w:t>Jämför reservation 4 (fp) samt 5 (m)-motiveringen.</w:t>
      </w:r>
    </w:p>
    <w:p w:rsidR="0080157C" w:rsidRPr="00141A1D" w:rsidRDefault="0080157C">
      <w:pPr>
        <w:pStyle w:val="Rubrik4"/>
        <w:rPr>
          <w:noProof w:val="0"/>
        </w:rPr>
      </w:pPr>
      <w:bookmarkStart w:id="54" w:name="_Toc530475970"/>
      <w:r w:rsidRPr="00141A1D">
        <w:rPr>
          <w:noProof w:val="0"/>
        </w:rPr>
        <w:t>Motionerna</w:t>
      </w:r>
      <w:bookmarkEnd w:id="54"/>
    </w:p>
    <w:p w:rsidR="0080157C" w:rsidRPr="00141A1D" w:rsidRDefault="0080157C">
      <w:r w:rsidRPr="00141A1D">
        <w:t>I flera motioner begärs en förändring av utskottsorganisationen. Harald Nordlund (fp) begär i motion K254 att miljö- och jordbruksutskottet ändras till natur- och miljöutskottet och att i övrigt utskottsorganisationen anpassas till denna förändring mot bakgrund av att regeringen i budgetpropositionen starkt argumenterat för att bereda natur- och miljöfrågor fristående från såväl t.ex. bostads- och kulturfrågor som jordbruks- och skogsfrågor. Det behövs en konsumentpolitik för maten, en naturvårdspolitik fö</w:t>
      </w:r>
      <w:r w:rsidRPr="00141A1D">
        <w:t>r den biologiska mångfa</w:t>
      </w:r>
      <w:r w:rsidRPr="00141A1D">
        <w:t>l</w:t>
      </w:r>
      <w:r w:rsidRPr="00141A1D">
        <w:t>den och en näringsp</w:t>
      </w:r>
      <w:r w:rsidRPr="00141A1D">
        <w:t>o</w:t>
      </w:r>
      <w:r w:rsidRPr="00141A1D">
        <w:t>litik för företagen.</w:t>
      </w:r>
    </w:p>
    <w:p w:rsidR="0080157C" w:rsidRPr="00141A1D" w:rsidRDefault="0080157C">
      <w:pPr>
        <w:pStyle w:val="Normaltindrag"/>
      </w:pPr>
      <w:r w:rsidRPr="00141A1D">
        <w:t>I motion K298 av Amanda Agestav och Magnus Jacobson (kd) begärs en utvärdering och reformering av utskottsindelningen (yrkande 1) och en sa</w:t>
      </w:r>
      <w:r w:rsidRPr="00141A1D">
        <w:t>m</w:t>
      </w:r>
      <w:r w:rsidRPr="00141A1D">
        <w:t>manslagning av utrikes- och försvarsutskottet (yrkande 2). Den alltmer inte</w:t>
      </w:r>
      <w:r w:rsidRPr="00141A1D">
        <w:t>r</w:t>
      </w:r>
      <w:r w:rsidRPr="00141A1D">
        <w:t>nationaliserade världen präglar riksdagens arbete i stort men särskilt på de försvars- och säkerhetspolitiska områdena. Det är rimligt att organisatoriska frågor handhas av överbefälhavaren och försvarshögkvarteret medan polit</w:t>
      </w:r>
      <w:r w:rsidRPr="00141A1D">
        <w:t>i</w:t>
      </w:r>
      <w:r w:rsidRPr="00141A1D">
        <w:t>kerna sköter inriktningen och medelstilldelningen. Försvarspolitiken styrs utifrån den säkerhetspolitiska situationen för landet medan säkerhetspolitiken hanteras av utrikesutskottet. Tillfälliga lösningar so</w:t>
      </w:r>
      <w:r w:rsidRPr="00141A1D">
        <w:t>m ett sammansatt utskott kan leda till att perspektiven och långsiktigheten går förlorad. Helhetsbilden blir otydlig eftersom frågorna i mångt och mycket går i varandra.</w:t>
      </w:r>
    </w:p>
    <w:p w:rsidR="0080157C" w:rsidRPr="00141A1D" w:rsidRDefault="0080157C">
      <w:pPr>
        <w:pStyle w:val="Normaltindrag"/>
      </w:pPr>
      <w:r w:rsidRPr="00141A1D">
        <w:t xml:space="preserve">Liknande synpunkter framförs i motion K315 av Margareta Viklund (kd). För att försvarsutskottet skall kunna ta ställning till förslag om att exempelvis bygga upp ett internationellt samarbete om krishantering och ett fungerande säkerhetssystem, behöver utskottet ha hela den utrikespolitiska bilden klar för sig. För att undvika dubbelarbete </w:t>
      </w:r>
      <w:r w:rsidRPr="00141A1D">
        <w:t>finns anledning att se över utskottsinde</w:t>
      </w:r>
      <w:r w:rsidRPr="00141A1D">
        <w:t>l</w:t>
      </w:r>
      <w:r w:rsidRPr="00141A1D">
        <w:t>ningen beträffande utrikes- och försvarsutskotten (yrkande 1). Motionären begär också en översyn av Försvarsberedningens tillsättning och uppgifter (yrkande 2). Försvarsberedningen skall vara ett diskussionsforum mellan företrädare för regeringen och riksdagspartierna, och den analyserar den internationella utvecklingen och vilka frågeställningar som kan vara aktuella för Sverige. Försvarsberedningens rapporter ligger vanligtvis till grund för propositioner till riks</w:t>
      </w:r>
      <w:r w:rsidRPr="00141A1D">
        <w:t>dagen. Härigenom blir försvarsutskottet enligt motionen något av ett transportorgan för redan fattade beslut. Att dra undan de folkva</w:t>
      </w:r>
      <w:r w:rsidRPr="00141A1D">
        <w:t>l</w:t>
      </w:r>
      <w:r w:rsidRPr="00141A1D">
        <w:t>das möjligheter att påverka viktiga frågor strider mot de demokratiska värd</w:t>
      </w:r>
      <w:r w:rsidRPr="00141A1D">
        <w:t>e</w:t>
      </w:r>
      <w:r w:rsidRPr="00141A1D">
        <w:t xml:space="preserve">na och rättigheterna och också de krav som väljarna har rätt att ställa på de förtroendevalda. </w:t>
      </w:r>
    </w:p>
    <w:p w:rsidR="0080157C" w:rsidRPr="00141A1D" w:rsidRDefault="0080157C">
      <w:pPr>
        <w:pStyle w:val="Rubrik4"/>
        <w:rPr>
          <w:noProof w:val="0"/>
        </w:rPr>
      </w:pPr>
      <w:bookmarkStart w:id="55" w:name="_Toc530475971"/>
      <w:r w:rsidRPr="00141A1D">
        <w:rPr>
          <w:noProof w:val="0"/>
        </w:rPr>
        <w:t>Försvarsberedningens uppgifter</w:t>
      </w:r>
      <w:bookmarkEnd w:id="55"/>
    </w:p>
    <w:p w:rsidR="0080157C" w:rsidRPr="00141A1D" w:rsidRDefault="0080157C">
      <w:r w:rsidRPr="00141A1D">
        <w:t>Försvarsberedningen är ett forum för konsultationer mellan regeringen och representanter för de politiska partierna i riksdagen. Enligt Försvarsdepart</w:t>
      </w:r>
      <w:r w:rsidRPr="00141A1D">
        <w:t>e</w:t>
      </w:r>
      <w:r w:rsidRPr="00141A1D">
        <w:t>mentets webbsida är strävan att nå en så bred enighet som möjligt om hur Sveriges säkerhets- och försvarspolitik skall utformas. På grundval av detta samråd utformar regeringen sina förslag till riksdagen. I beredningen ingår förutom representanter från regeringen och samtliga riksdagspartier utom Moderata samlingspartiet även sakkunniga och experter från bl.a. Försvarsd</w:t>
      </w:r>
      <w:r w:rsidRPr="00141A1D">
        <w:t>e</w:t>
      </w:r>
      <w:r w:rsidRPr="00141A1D">
        <w:t>partementet, Utrikesdepartementet, Finansdepartementet, Försvarsmakten och ÖCB. Beredningen leds från Försvarsdepartementet och där finns</w:t>
      </w:r>
      <w:r w:rsidRPr="00141A1D">
        <w:t xml:space="preserve"> också ett sekretariat som sammanhåller utredningsarbetet m.m. Försvarsberedningens uppgift är främst att fortlöpande följa den säkerhetspolitiska utvecklingen i omvärlden och därvid såväl bedöma hot och risker som det internationella säkerhets- och försvarssamarbetets utveckling. Vidare skall beredningen analysera viktigare förändringar som sker. Om beredningen bedömer det erforderligt skall den lämna förslag till modifieringar av Sveriges säkerhets- och försvarspolitik. Beredningen har även till uppgift a</w:t>
      </w:r>
      <w:r w:rsidRPr="00141A1D">
        <w:t>tt bidra till den al</w:t>
      </w:r>
      <w:r w:rsidRPr="00141A1D">
        <w:t>l</w:t>
      </w:r>
      <w:r w:rsidRPr="00141A1D">
        <w:t>männa debatten genom att bl.a. publicera rapporter och arrangera seminarier. I mars 2001 presenterade Försvarsberedningen den säkerhetspolitiska rap</w:t>
      </w:r>
      <w:r w:rsidRPr="00141A1D">
        <w:t>p</w:t>
      </w:r>
      <w:r w:rsidRPr="00141A1D">
        <w:t>orten Gränsöverskridande sårbarhet – Gemensam säkerhet (Ds 2001:14). I augusti presenterades den försvarspolitiska rapporten Ny struktur för ökad säkerhet – nätverksförsvar och krishantering (Ds 2001:44). Rapporterna lig</w:t>
      </w:r>
      <w:r w:rsidRPr="00141A1D">
        <w:t>g</w:t>
      </w:r>
      <w:r w:rsidRPr="00141A1D">
        <w:t>er som underlag för proposition 2001/02:10 Fortsatt förnyelse av totalförsv</w:t>
      </w:r>
      <w:r w:rsidRPr="00141A1D">
        <w:t>a</w:t>
      </w:r>
      <w:r w:rsidRPr="00141A1D">
        <w:t>ret.</w:t>
      </w:r>
    </w:p>
    <w:p w:rsidR="0080157C" w:rsidRPr="00141A1D" w:rsidRDefault="0080157C">
      <w:pPr>
        <w:pStyle w:val="Rubrik4"/>
        <w:rPr>
          <w:noProof w:val="0"/>
        </w:rPr>
      </w:pPr>
      <w:bookmarkStart w:id="56" w:name="_Toc530475972"/>
      <w:r w:rsidRPr="00141A1D">
        <w:rPr>
          <w:noProof w:val="0"/>
        </w:rPr>
        <w:t>Tidigare riksdagsbehandling</w:t>
      </w:r>
      <w:bookmarkEnd w:id="56"/>
    </w:p>
    <w:p w:rsidR="0080157C" w:rsidRPr="00141A1D" w:rsidRDefault="0080157C">
      <w:pPr>
        <w:pStyle w:val="Normaltindrag"/>
        <w:ind w:firstLine="0"/>
      </w:pPr>
      <w:r w:rsidRPr="00141A1D">
        <w:t>Hösten 2000 avstyrkte utskottet motioner om ändringar i utskottsindelningen med hänvisning till tidigare riksdagsbehandling. År 1999 hade utskottet b</w:t>
      </w:r>
      <w:r w:rsidRPr="00141A1D">
        <w:t>e</w:t>
      </w:r>
      <w:r w:rsidRPr="00141A1D">
        <w:t>handlat en motion om att miljö- och jordbruksutskottet skulle ändra namn till miljöutskottet (bet. 1998/99:KU20 s. 6). Utskottet ansåg att frågan om en överföring av ansvarsområden borde tas upp i samband med en allmän öve</w:t>
      </w:r>
      <w:r w:rsidRPr="00141A1D">
        <w:t>r</w:t>
      </w:r>
      <w:r w:rsidRPr="00141A1D">
        <w:t>syn av ärendefördelningen mellan utskotten, något som då inte syntes motiv</w:t>
      </w:r>
      <w:r w:rsidRPr="00141A1D">
        <w:t>e</w:t>
      </w:r>
      <w:r w:rsidRPr="00141A1D">
        <w:t>rat. Utskottet var inte heller under behandlingen hösten 2000 berett att förorda en sådan allmän översyn av ärendefördelningen mellan utskotten som m</w:t>
      </w:r>
      <w:r w:rsidRPr="00141A1D">
        <w:t>o</w:t>
      </w:r>
      <w:r w:rsidRPr="00141A1D">
        <w:t>tions</w:t>
      </w:r>
      <w:r w:rsidRPr="00141A1D">
        <w:softHyphen/>
        <w:t>yrkandena kunde anses förutsätta (bet. 2001/02:KU4).</w:t>
      </w:r>
    </w:p>
    <w:p w:rsidR="0080157C" w:rsidRPr="00141A1D" w:rsidRDefault="0080157C">
      <w:pPr>
        <w:pStyle w:val="Rubrik4"/>
        <w:rPr>
          <w:noProof w:val="0"/>
        </w:rPr>
      </w:pPr>
      <w:bookmarkStart w:id="57" w:name="_Toc530475973"/>
      <w:r w:rsidRPr="00141A1D">
        <w:rPr>
          <w:noProof w:val="0"/>
        </w:rPr>
        <w:t>Utsk</w:t>
      </w:r>
      <w:r w:rsidRPr="00141A1D">
        <w:rPr>
          <w:noProof w:val="0"/>
        </w:rPr>
        <w:t>ottets ställningstagande</w:t>
      </w:r>
      <w:bookmarkEnd w:id="57"/>
    </w:p>
    <w:p w:rsidR="0080157C" w:rsidRPr="00141A1D" w:rsidRDefault="0080157C">
      <w:r w:rsidRPr="00141A1D">
        <w:t>En fråga om vissa ändringar i utskottens beredningsområden med anledning av utvecklingen när det gäller statsbudgetens indelning övervägs för närv</w:t>
      </w:r>
      <w:r w:rsidRPr="00141A1D">
        <w:t>a</w:t>
      </w:r>
      <w:r w:rsidRPr="00141A1D">
        <w:t>rande inom Riksdagskommittén. Utskottet är inte berett att nu tillstyrka än</w:t>
      </w:r>
      <w:r w:rsidRPr="00141A1D">
        <w:t>d</w:t>
      </w:r>
      <w:r w:rsidRPr="00141A1D">
        <w:t>ringar i utskottsindelningen. Motionerna K254, K298 yrkandena 1 och 2 samt K315 yrkande 1 avstyrks följak</w:t>
      </w:r>
      <w:r w:rsidRPr="00141A1D">
        <w:t>t</w:t>
      </w:r>
      <w:r w:rsidRPr="00141A1D">
        <w:t>ligen.</w:t>
      </w:r>
    </w:p>
    <w:p w:rsidR="0080157C" w:rsidRPr="00141A1D" w:rsidRDefault="0080157C">
      <w:pPr>
        <w:pStyle w:val="Normaltindrag"/>
      </w:pPr>
      <w:r w:rsidRPr="00141A1D">
        <w:t>När det gäller frågan om Försvarsberedningens betydelse för arbetet i fö</w:t>
      </w:r>
      <w:r w:rsidRPr="00141A1D">
        <w:t>r</w:t>
      </w:r>
      <w:r w:rsidRPr="00141A1D">
        <w:t>svarsutskottet vill utskottet hänvisa till att 7 kap. 2 § regeringsformen för</w:t>
      </w:r>
      <w:r w:rsidRPr="00141A1D">
        <w:t>e</w:t>
      </w:r>
      <w:r w:rsidRPr="00141A1D">
        <w:t>skriver en beredningsskyldighet för regeringen när det gäller regeringsäre</w:t>
      </w:r>
      <w:r w:rsidRPr="00141A1D">
        <w:t>n</w:t>
      </w:r>
      <w:r w:rsidRPr="00141A1D">
        <w:t>den. I grundlagspropositionen (prop. 1973:90) framhölls att det ankommer på regeringen att avgöra hur den utredning bör bedrivas som anses behövlig som grundval för regeringens förslag. Vidare betonades att parlamentariskt sa</w:t>
      </w:r>
      <w:r w:rsidRPr="00141A1D">
        <w:t>m</w:t>
      </w:r>
      <w:r w:rsidRPr="00141A1D">
        <w:t>mansatta kommittéer var ett utomordentligt värdefullt inslag vid beredningen av lagstiftningsärenden och andra likartade viktigare ä</w:t>
      </w:r>
      <w:r w:rsidRPr="00141A1D">
        <w:t>renden. Enligt utsko</w:t>
      </w:r>
      <w:r w:rsidRPr="00141A1D">
        <w:t>t</w:t>
      </w:r>
      <w:r w:rsidRPr="00141A1D">
        <w:t>tets mening saknas anledning att ifrågasätta ett sådant parlamentariskt inslag i regeringens beredningsarbete som Försvarsberedningen utgör. Motion K315 yrkande 2 avstyrks.</w:t>
      </w:r>
    </w:p>
    <w:p w:rsidR="0080157C" w:rsidRPr="00141A1D" w:rsidRDefault="0080157C">
      <w:pPr>
        <w:pStyle w:val="Rubrik2"/>
      </w:pPr>
      <w:bookmarkStart w:id="58" w:name="_Toc530475974"/>
      <w:r w:rsidRPr="00141A1D">
        <w:t>Utskottens arbetsformer</w:t>
      </w:r>
      <w:bookmarkEnd w:id="58"/>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ordningen för suppl</w:t>
      </w:r>
      <w:r w:rsidRPr="00141A1D">
        <w:t>e</w:t>
      </w:r>
      <w:r w:rsidRPr="00141A1D">
        <w:t>ants inträde i ordinarie ledamots ställe under utskottssammanträde med hänvisning till att frågan i första hand bör behandlas i ordf</w:t>
      </w:r>
      <w:r w:rsidRPr="00141A1D">
        <w:t>ö</w:t>
      </w:r>
      <w:r w:rsidRPr="00141A1D">
        <w:t>randekonferensen.</w:t>
      </w:r>
    </w:p>
    <w:p w:rsidR="0080157C" w:rsidRPr="00141A1D" w:rsidRDefault="0080157C">
      <w:pPr>
        <w:pStyle w:val="Rubrik4"/>
        <w:rPr>
          <w:noProof w:val="0"/>
        </w:rPr>
      </w:pPr>
      <w:bookmarkStart w:id="59" w:name="_Toc530475975"/>
      <w:r w:rsidRPr="00141A1D">
        <w:rPr>
          <w:noProof w:val="0"/>
        </w:rPr>
        <w:t>Motionen</w:t>
      </w:r>
      <w:bookmarkEnd w:id="59"/>
    </w:p>
    <w:p w:rsidR="0080157C" w:rsidRPr="00141A1D" w:rsidRDefault="0080157C">
      <w:r w:rsidRPr="00141A1D">
        <w:t>Cristina Husmark Pehrsson och Lars Björkman (m) begär i motion K255 att lika regler skall gälla i riksdagens samtliga utskott vad gäller ersättares tjäns</w:t>
      </w:r>
      <w:r w:rsidRPr="00141A1D">
        <w:t>t</w:t>
      </w:r>
      <w:r w:rsidRPr="00141A1D">
        <w:t xml:space="preserve">göring. Eftersom det inte skett någon förändring sedan frågan behandlades hösten 2000 vidhåller motionerna sitt då framställda yrkande i samma syfte. </w:t>
      </w:r>
    </w:p>
    <w:p w:rsidR="0080157C" w:rsidRPr="00141A1D" w:rsidRDefault="0080157C">
      <w:pPr>
        <w:pStyle w:val="Rubrik4"/>
        <w:rPr>
          <w:noProof w:val="0"/>
        </w:rPr>
      </w:pPr>
      <w:bookmarkStart w:id="60" w:name="_Toc530475976"/>
      <w:r w:rsidRPr="00141A1D">
        <w:rPr>
          <w:noProof w:val="0"/>
        </w:rPr>
        <w:t>Tidigare behandling</w:t>
      </w:r>
      <w:bookmarkEnd w:id="60"/>
    </w:p>
    <w:p w:rsidR="0080157C" w:rsidRPr="00141A1D" w:rsidRDefault="0080157C">
      <w:r w:rsidRPr="00141A1D">
        <w:t>Det motionsyrkande om ersättares tjänstgöring i utskott som motionen hänv</w:t>
      </w:r>
      <w:r w:rsidRPr="00141A1D">
        <w:t>i</w:t>
      </w:r>
      <w:r w:rsidRPr="00141A1D">
        <w:t>sar till avstyrktes hösten 2000 (bet. 2001/02:KU4). Utskottet framhöll att reglerna om suppleants inträde i ordinarie ledamots ställe under utskottssa</w:t>
      </w:r>
      <w:r w:rsidRPr="00141A1D">
        <w:t>m</w:t>
      </w:r>
      <w:r w:rsidRPr="00141A1D">
        <w:t xml:space="preserve">manträde i och för sig ger utrymme för viss flexibilitet. Om det inte finns någon suppleant närvarande som hör till den frånvarandes partigrupp kan den frånvarande ledamotens plats stå tom eller den inträda som står överst i tur på listan för invalet i utskottet. Enligt utskottets mening kunde det självfallet förutsättas att strävan i utskotten är att nå en </w:t>
      </w:r>
      <w:r w:rsidRPr="00141A1D">
        <w:t>sammansättning vid beslutsfa</w:t>
      </w:r>
      <w:r w:rsidRPr="00141A1D">
        <w:t>t</w:t>
      </w:r>
      <w:r w:rsidRPr="00141A1D">
        <w:t>tandet som innebär att arbetet i kammaren med anledning av utskottets förslag inte försvåras onödigtvis. Frågan kunde också komma upp under talmannens samråd med utskottsordförandena i ordförandekonferensen. Enligt utskottets mening var det mot denna bakgrund inte nödvändigt att ändra riksdagsor</w:t>
      </w:r>
      <w:r w:rsidRPr="00141A1D">
        <w:t>d</w:t>
      </w:r>
      <w:r w:rsidRPr="00141A1D">
        <w:t>ningens regler om suppleants inträde i frånvarande ledamots stä</w:t>
      </w:r>
      <w:r w:rsidRPr="00141A1D">
        <w:t>l</w:t>
      </w:r>
      <w:r w:rsidRPr="00141A1D">
        <w:t>le.</w:t>
      </w:r>
    </w:p>
    <w:p w:rsidR="0080157C" w:rsidRPr="00141A1D" w:rsidRDefault="0080157C">
      <w:pPr>
        <w:pStyle w:val="Rubrik4"/>
        <w:rPr>
          <w:noProof w:val="0"/>
        </w:rPr>
      </w:pPr>
      <w:bookmarkStart w:id="61" w:name="_Toc530475977"/>
      <w:r w:rsidRPr="00141A1D">
        <w:rPr>
          <w:noProof w:val="0"/>
        </w:rPr>
        <w:t>Utskottets ställningstagande</w:t>
      </w:r>
      <w:bookmarkEnd w:id="61"/>
    </w:p>
    <w:p w:rsidR="0080157C" w:rsidRPr="00141A1D" w:rsidRDefault="0080157C">
      <w:r w:rsidRPr="00141A1D">
        <w:t>Utskottet är fortfarande inte berett att ändra riksdagsordningens regler om suppleants inträde i frånvarande ledamots ställe. Enligt utskottets mening bör frågan i första hand behandlas i ordförandekonferensen. Motion K255 a</w:t>
      </w:r>
      <w:r w:rsidRPr="00141A1D">
        <w:t>v</w:t>
      </w:r>
      <w:r w:rsidRPr="00141A1D">
        <w:t>styrks.</w:t>
      </w:r>
    </w:p>
    <w:p w:rsidR="0080157C" w:rsidRPr="00141A1D" w:rsidRDefault="0080157C">
      <w:pPr>
        <w:pStyle w:val="Rubrik2"/>
      </w:pPr>
      <w:bookmarkStart w:id="62" w:name="_Toc530475978"/>
      <w:r w:rsidRPr="00141A1D">
        <w:t>Utskottens arbete med EU-frågor</w:t>
      </w:r>
      <w:bookmarkEnd w:id="62"/>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tillkännagivande till r</w:t>
      </w:r>
      <w:r w:rsidRPr="00141A1D">
        <w:t>e</w:t>
      </w:r>
      <w:r w:rsidRPr="00141A1D">
        <w:t>geringen om de nationella parlamentens roll i beslutsprocessen. U</w:t>
      </w:r>
      <w:r w:rsidRPr="00141A1D">
        <w:t>t</w:t>
      </w:r>
      <w:r w:rsidRPr="00141A1D">
        <w:t>skottet hänvisar bl.a. till riksdagens beslut våren 2001 om riksd</w:t>
      </w:r>
      <w:r w:rsidRPr="00141A1D">
        <w:t>a</w:t>
      </w:r>
      <w:r w:rsidRPr="00141A1D">
        <w:t>gens arbete med EU-frågor och anser inte att ett tillkännagivande till r</w:t>
      </w:r>
      <w:r w:rsidRPr="00141A1D">
        <w:t>e</w:t>
      </w:r>
      <w:r w:rsidRPr="00141A1D">
        <w:t>geringen är nödvändigt.</w:t>
      </w:r>
    </w:p>
    <w:p w:rsidR="0080157C" w:rsidRPr="00141A1D" w:rsidRDefault="0080157C">
      <w:pPr>
        <w:pStyle w:val="Rubrik4"/>
        <w:rPr>
          <w:noProof w:val="0"/>
        </w:rPr>
      </w:pPr>
      <w:bookmarkStart w:id="63" w:name="_Toc530475979"/>
      <w:r w:rsidRPr="00141A1D">
        <w:rPr>
          <w:noProof w:val="0"/>
        </w:rPr>
        <w:t>Motionen</w:t>
      </w:r>
      <w:bookmarkEnd w:id="63"/>
    </w:p>
    <w:p w:rsidR="0080157C" w:rsidRPr="00141A1D" w:rsidRDefault="0080157C">
      <w:r w:rsidRPr="00141A1D">
        <w:t>I motion K426 Europas framtidsfrågor av Alf Svensson m.fl. (kd) begärs ett tillkännagivande till regeringen om förstärkning av de nationella parlame</w:t>
      </w:r>
      <w:r w:rsidRPr="00141A1D">
        <w:t>n</w:t>
      </w:r>
      <w:r w:rsidRPr="00141A1D">
        <w:t>tens roll i beslutsprocessen (yrkande 7). Europafrågorna bör integreras bättre i utskottens arbete. Utskotten måste i framtiden följa den politiska processen i EU regelbundet och med god framförhållning. Utskotten bör involveras och informeras redan i den beredningsprocess som föregår presentationen av vitböcker och grönböcker. De bör då också kunna ta egna initiativ när så är påkallat. Allt detta kräver enligt motionen att riksdagen får tillräcklig info</w:t>
      </w:r>
      <w:r w:rsidRPr="00141A1D">
        <w:t>r</w:t>
      </w:r>
      <w:r w:rsidRPr="00141A1D">
        <w:t xml:space="preserve">mation i god tid från regeringen </w:t>
      </w:r>
    </w:p>
    <w:p w:rsidR="0080157C" w:rsidRPr="00141A1D" w:rsidRDefault="0080157C">
      <w:pPr>
        <w:pStyle w:val="Rubrik4"/>
        <w:rPr>
          <w:noProof w:val="0"/>
        </w:rPr>
      </w:pPr>
      <w:bookmarkStart w:id="64" w:name="_Toc530475980"/>
      <w:r w:rsidRPr="00141A1D">
        <w:rPr>
          <w:noProof w:val="0"/>
        </w:rPr>
        <w:t>Tidigare behandlin</w:t>
      </w:r>
      <w:r w:rsidRPr="00141A1D">
        <w:rPr>
          <w:noProof w:val="0"/>
        </w:rPr>
        <w:t>g</w:t>
      </w:r>
      <w:bookmarkEnd w:id="64"/>
    </w:p>
    <w:p w:rsidR="0080157C" w:rsidRPr="00141A1D" w:rsidRDefault="0080157C">
      <w:r w:rsidRPr="00141A1D">
        <w:t>Utskottens roll när det gäller EU-frågorna diskuteras våren 2001 i betänkande 2000/01:KU23 Riksdagen inför 2000-talet med anledning av Riksdagsko</w:t>
      </w:r>
      <w:r w:rsidRPr="00141A1D">
        <w:t>m</w:t>
      </w:r>
      <w:r w:rsidRPr="00141A1D">
        <w:t>mitténs förslag 2000/01:RS1. När det gäller riksdagens arbete med EU-frågor ansåg riksdagsstyrelsen att utskotten skall ha en stark roll. Utskotten skall följa viktiga frågor under kommissionens beredningsprocess och under den fortsatta beslutsprocessen. EU-frågorna bör ingå som en integrerad del av utskottens ärendehantering och tas upp i betänkanden som behandlar närli</w:t>
      </w:r>
      <w:r w:rsidRPr="00141A1D">
        <w:t>g</w:t>
      </w:r>
      <w:r w:rsidRPr="00141A1D">
        <w:t>gande frågor. Utskotten kan också ta ett initiativ och föreslå kammaren att göra ett tillkännagivande. De kan avge yttrande till EU-nämnd</w:t>
      </w:r>
      <w:r w:rsidRPr="00141A1D">
        <w:t>en. Samtliga utskott bör upprätta en EU-promemoria över EU-frågorna på sitt beredning</w:t>
      </w:r>
      <w:r w:rsidRPr="00141A1D">
        <w:t>s</w:t>
      </w:r>
      <w:r w:rsidRPr="00141A1D">
        <w:t>område. Det är för den offentliga debattens skull önskvärt att utskotten i sä</w:t>
      </w:r>
      <w:r w:rsidRPr="00141A1D">
        <w:t>r</w:t>
      </w:r>
      <w:r w:rsidRPr="00141A1D">
        <w:t>skilt viktiga frågor anordnar öppna utfrågningar. Riksdagens hantering av den årliga EU-skrivelsen bör utvecklas så att det i större utsträckning ges en sa</w:t>
      </w:r>
      <w:r w:rsidRPr="00141A1D">
        <w:t>m</w:t>
      </w:r>
      <w:r w:rsidRPr="00141A1D">
        <w:t>lad bild av hanteringen i riksdagen av EU-frågorna.</w:t>
      </w:r>
    </w:p>
    <w:p w:rsidR="0080157C" w:rsidRPr="00141A1D" w:rsidRDefault="0080157C">
      <w:pPr>
        <w:pStyle w:val="Normaltindrag"/>
      </w:pPr>
      <w:r w:rsidRPr="00141A1D">
        <w:t xml:space="preserve">Samtliga grön- och vitböcker bör bli föremål för faktapromemorior där det också anges när fristen för remissvar till kommissionen löper ut. </w:t>
      </w:r>
      <w:r w:rsidRPr="00141A1D">
        <w:t xml:space="preserve">Kopior av regeringens remissvar till kommissionen bör skickas till kammarkansliet för vidarebefordran till berört utskott. Regeringen bör redovisa expertkommittéer inom kommissionen samt de s.k. verkställighetskommittéerna för riksdagen samt vilka frågor som skall behandlas under ett visst lands ordförandeskap. </w:t>
      </w:r>
    </w:p>
    <w:p w:rsidR="0080157C" w:rsidRPr="00141A1D" w:rsidRDefault="0080157C">
      <w:pPr>
        <w:pStyle w:val="Normaltindrag"/>
      </w:pPr>
      <w:r w:rsidRPr="00141A1D">
        <w:t>EU-nämnden borde fortsätta att verka enligt den praxis som utvecklats. Vidare framhölls det angelägna i att utskottens synpunkter beaktas i näm</w:t>
      </w:r>
      <w:r w:rsidRPr="00141A1D">
        <w:t>n</w:t>
      </w:r>
      <w:r w:rsidRPr="00141A1D">
        <w:t>dens samråd med regeringen. Information från regeringen om EU-frågor bör planeras in mer långsiktigt och systematiskt i kammarens arbete.</w:t>
      </w:r>
    </w:p>
    <w:p w:rsidR="0080157C" w:rsidRPr="00141A1D" w:rsidRDefault="0080157C">
      <w:pPr>
        <w:pStyle w:val="Normaltindrag"/>
      </w:pPr>
      <w:r w:rsidRPr="00141A1D">
        <w:t>Statsministern borde alltid lämna information i nära anslutning till möten i Europeiska rådet. När ett nytt ordförandeland presenterar sitt arbetsprogram skall det alltid övervägas om regeringen skall informera kammaren muntligt om sin syn på programmet. Regeringen borde överväga i vilken utsträckning EU-frågor kan tas upp i särskilda skrivelser eller i propositioner i o</w:t>
      </w:r>
      <w:r w:rsidRPr="00141A1D">
        <w:t>lika sa</w:t>
      </w:r>
      <w:r w:rsidRPr="00141A1D">
        <w:t>k</w:t>
      </w:r>
      <w:r w:rsidRPr="00141A1D">
        <w:t>frågor. En särskild årlig EU-debatt där en företrädare för regeringen deltar borde anordnas.</w:t>
      </w:r>
    </w:p>
    <w:p w:rsidR="0080157C" w:rsidRPr="00141A1D" w:rsidRDefault="0080157C">
      <w:pPr>
        <w:pStyle w:val="Normaltindrag"/>
      </w:pPr>
      <w:r w:rsidRPr="00141A1D">
        <w:t>Riksdagen godkände dessa riktlinjer och beslöt om en ändring av 10 kap. 1  § riksdagsordningen med innebörd att regeringen skall redovisa sitt ag</w:t>
      </w:r>
      <w:r w:rsidRPr="00141A1D">
        <w:t>e</w:t>
      </w:r>
      <w:r w:rsidRPr="00141A1D">
        <w:t>rande i Europeiska unionen för riksdagen (rskr. 273-276) .</w:t>
      </w:r>
    </w:p>
    <w:p w:rsidR="0080157C" w:rsidRPr="00141A1D" w:rsidRDefault="0080157C">
      <w:pPr>
        <w:pStyle w:val="Rubrik4"/>
        <w:rPr>
          <w:noProof w:val="0"/>
        </w:rPr>
      </w:pPr>
      <w:bookmarkStart w:id="65" w:name="_Toc530475981"/>
      <w:r w:rsidRPr="00141A1D">
        <w:rPr>
          <w:noProof w:val="0"/>
        </w:rPr>
        <w:t>Utskottets ställningstagande</w:t>
      </w:r>
      <w:bookmarkEnd w:id="65"/>
    </w:p>
    <w:p w:rsidR="0080157C" w:rsidRPr="00141A1D" w:rsidRDefault="0080157C">
      <w:r w:rsidRPr="00141A1D">
        <w:t>Utskottet delar motionärernas synpunkter när det gäller utskottens roll i Eur</w:t>
      </w:r>
      <w:r w:rsidRPr="00141A1D">
        <w:t>o</w:t>
      </w:r>
      <w:r w:rsidRPr="00141A1D">
        <w:t>pafrågorna. Dessa synpunkter ligger väl i linje med riksdagens riklinjer våren 2001 för arbetet med EU-frågor. Riktlinjerna innebär att utskottens roll fö</w:t>
      </w:r>
      <w:r w:rsidRPr="00141A1D">
        <w:t>r</w:t>
      </w:r>
      <w:r w:rsidRPr="00141A1D">
        <w:t>stärks och lägger ett tydligt ansvar på utskotten när det gäller att följa EU- frågorna. När det gäller frågan om regeringens information förutsätter u</w:t>
      </w:r>
      <w:r w:rsidRPr="00141A1D">
        <w:t>t</w:t>
      </w:r>
      <w:r w:rsidRPr="00141A1D">
        <w:t>skottet att regeringen på eget initiativ och på ett tidigt stadium lämnar utsko</w:t>
      </w:r>
      <w:r w:rsidRPr="00141A1D">
        <w:t>t</w:t>
      </w:r>
      <w:r w:rsidRPr="00141A1D">
        <w:t>ten information i viktigare frågor. Utskottet vill också hänvisa till att rege</w:t>
      </w:r>
      <w:r w:rsidRPr="00141A1D">
        <w:t>r</w:t>
      </w:r>
      <w:r w:rsidRPr="00141A1D">
        <w:t>ingen enligt 4 kap. 10 § riksdagsordningen ha</w:t>
      </w:r>
      <w:r w:rsidRPr="00141A1D">
        <w:t>r skyldighet att på begäran av ett utskott lämna upplysningar i fråga om arbetet inom Europeiska unionen på utskottets ämnesområde. Mot denna bakgrund anser utskottet inte att ett til</w:t>
      </w:r>
      <w:r w:rsidRPr="00141A1D">
        <w:t>l</w:t>
      </w:r>
      <w:r w:rsidRPr="00141A1D">
        <w:t>kännagivande till regeringen i frågan är nödvändig. Motion K426 yrkande 7 (kd) avstyrks föl</w:t>
      </w:r>
      <w:r w:rsidRPr="00141A1D">
        <w:t>j</w:t>
      </w:r>
      <w:r w:rsidRPr="00141A1D">
        <w:t>aktligen.</w:t>
      </w:r>
    </w:p>
    <w:p w:rsidR="0080157C" w:rsidRPr="00141A1D" w:rsidRDefault="0080157C">
      <w:pPr>
        <w:pStyle w:val="Rubrik2"/>
      </w:pPr>
      <w:bookmarkStart w:id="66" w:name="_Toc530475982"/>
      <w:r w:rsidRPr="00141A1D">
        <w:t>Edgång vid utfrågningar i konstitutionsutskottet</w:t>
      </w:r>
      <w:bookmarkEnd w:id="66"/>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en motion om edgång i konstitutionsutskottets utfrågningar med hänvisning till tidigare ställningstagande att en sådan ordning skulle ge utfrågningarna en förändrad karaktär.</w:t>
      </w:r>
    </w:p>
    <w:p w:rsidR="0080157C" w:rsidRPr="00141A1D" w:rsidRDefault="0080157C">
      <w:pPr>
        <w:pStyle w:val="Rubrik4"/>
        <w:rPr>
          <w:noProof w:val="0"/>
        </w:rPr>
      </w:pPr>
      <w:bookmarkStart w:id="67" w:name="_Toc530475983"/>
      <w:r w:rsidRPr="00141A1D">
        <w:rPr>
          <w:noProof w:val="0"/>
        </w:rPr>
        <w:t>Motionen</w:t>
      </w:r>
      <w:bookmarkEnd w:id="67"/>
    </w:p>
    <w:p w:rsidR="0080157C" w:rsidRPr="00141A1D" w:rsidRDefault="0080157C">
      <w:r w:rsidRPr="00141A1D">
        <w:t>I motion K316 av Elizabeth Nyström och Maud Ekendahl (m) begärs i syfte att öka förtroendet och legitimiteten i konstitutionsutskottets utfrågningar att utfrågningar i utskottet skall kunna ske under ed. Enligt motionen får man alltför ofta uppleva att ord står mot ord vid konstitutionsutskottets utfrågnin</w:t>
      </w:r>
      <w:r w:rsidRPr="00141A1D">
        <w:t>g</w:t>
      </w:r>
      <w:r w:rsidRPr="00141A1D">
        <w:t>ar.</w:t>
      </w:r>
    </w:p>
    <w:p w:rsidR="0080157C" w:rsidRPr="00141A1D" w:rsidRDefault="0080157C">
      <w:pPr>
        <w:pStyle w:val="Rubrik4"/>
        <w:rPr>
          <w:noProof w:val="0"/>
        </w:rPr>
      </w:pPr>
      <w:bookmarkStart w:id="68" w:name="_Toc530475984"/>
      <w:r w:rsidRPr="00141A1D">
        <w:rPr>
          <w:noProof w:val="0"/>
        </w:rPr>
        <w:t>Tidigare riksdagsbehandling</w:t>
      </w:r>
      <w:bookmarkEnd w:id="68"/>
    </w:p>
    <w:p w:rsidR="0080157C" w:rsidRPr="00141A1D" w:rsidRDefault="0080157C">
      <w:r w:rsidRPr="00141A1D">
        <w:t>Utskottet har tidigare vid flera tillfällen behandlat frågan om edgång eller sanningsförsäkran vid utskottsutfrågningar. I betänkande 1990/91:KU42 Riksdagens arbetsformer hänvisades till att utskottet tidigare vid flera tillfä</w:t>
      </w:r>
      <w:r w:rsidRPr="00141A1D">
        <w:t>l</w:t>
      </w:r>
      <w:r w:rsidRPr="00141A1D">
        <w:t>len behandlat motioner om sanningsförsäkran vid utskottsutfrågningar. Senast hade detta skett våren 1990 (1989/90:KU36), då utskottet framhöll bl.a. att en regel om någon form av edgång eller sanningsförsäkran vid utskottsutfrå</w:t>
      </w:r>
      <w:r w:rsidRPr="00141A1D">
        <w:t>g</w:t>
      </w:r>
      <w:r w:rsidRPr="00141A1D">
        <w:t>ning för att få effekt måste vara kopplad till bestämmelser om plikt att delta i sådan utfrågning och att lämna upplysningar. Utfrågningarna skulle då få en helt annan karaktär än att vara ett led i utskottets inhämtande av sakupply</w:t>
      </w:r>
      <w:r w:rsidRPr="00141A1D">
        <w:t>s</w:t>
      </w:r>
      <w:r w:rsidRPr="00141A1D">
        <w:t>ningar. Utskottet vidhöll 1991 denna uppfattning o</w:t>
      </w:r>
      <w:r w:rsidRPr="00141A1D">
        <w:t>ch avstyrkte den ifrågav</w:t>
      </w:r>
      <w:r w:rsidRPr="00141A1D">
        <w:t>a</w:t>
      </w:r>
      <w:r w:rsidRPr="00141A1D">
        <w:t>rande motionen.</w:t>
      </w:r>
    </w:p>
    <w:p w:rsidR="0080157C" w:rsidRPr="00141A1D" w:rsidRDefault="0080157C">
      <w:pPr>
        <w:pStyle w:val="Rubrik4"/>
        <w:rPr>
          <w:noProof w:val="0"/>
        </w:rPr>
      </w:pPr>
      <w:bookmarkStart w:id="69" w:name="_Toc530475985"/>
      <w:r w:rsidRPr="00141A1D">
        <w:rPr>
          <w:noProof w:val="0"/>
        </w:rPr>
        <w:t>Utskottets ställningstagande</w:t>
      </w:r>
      <w:bookmarkEnd w:id="69"/>
    </w:p>
    <w:p w:rsidR="0080157C" w:rsidRPr="00141A1D" w:rsidRDefault="0080157C">
      <w:r w:rsidRPr="00141A1D">
        <w:t>Utskottet vidhåller med hänsyn till utfrågningarnas karaktär fortfarande sin bedömning att någon form av edgång eller sanningsförsäkran för konstit</w:t>
      </w:r>
      <w:r w:rsidRPr="00141A1D">
        <w:t>u</w:t>
      </w:r>
      <w:r w:rsidRPr="00141A1D">
        <w:t>tionsutskottets utfrågningar inte bör inf</w:t>
      </w:r>
      <w:r w:rsidRPr="00141A1D">
        <w:t>ö</w:t>
      </w:r>
      <w:r w:rsidRPr="00141A1D">
        <w:t>ras. Motion K316 (m) avstyrks.</w:t>
      </w:r>
    </w:p>
    <w:p w:rsidR="0080157C" w:rsidRPr="00141A1D" w:rsidRDefault="0080157C">
      <w:pPr>
        <w:pStyle w:val="Rubrik2"/>
      </w:pPr>
      <w:bookmarkStart w:id="70" w:name="_Toc530475986"/>
      <w:r w:rsidRPr="00141A1D">
        <w:t>Debattordningen vid frågestunder</w:t>
      </w:r>
      <w:bookmarkEnd w:id="70"/>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debattordningen vid fr</w:t>
      </w:r>
      <w:r w:rsidRPr="00141A1D">
        <w:t>å</w:t>
      </w:r>
      <w:r w:rsidRPr="00141A1D">
        <w:t>gestunder.</w:t>
      </w:r>
    </w:p>
    <w:p w:rsidR="0080157C" w:rsidRPr="00141A1D" w:rsidRDefault="0080157C">
      <w:pPr>
        <w:pStyle w:val="Rubrik4"/>
        <w:rPr>
          <w:noProof w:val="0"/>
        </w:rPr>
      </w:pPr>
      <w:bookmarkStart w:id="71" w:name="_Toc530475987"/>
      <w:r w:rsidRPr="00141A1D">
        <w:rPr>
          <w:noProof w:val="0"/>
        </w:rPr>
        <w:t>Motionen</w:t>
      </w:r>
      <w:bookmarkEnd w:id="71"/>
    </w:p>
    <w:p w:rsidR="0080157C" w:rsidRPr="00141A1D" w:rsidRDefault="0080157C">
      <w:r w:rsidRPr="00141A1D">
        <w:t>I motion K212 av Rolf Gunnarsson (m) begärs att debattordningen vid rik</w:t>
      </w:r>
      <w:r w:rsidRPr="00141A1D">
        <w:t>s</w:t>
      </w:r>
      <w:r w:rsidRPr="00141A1D">
        <w:t>dagens frågestunder förändras. Enligt motionären har ordningen med att statsrådet har sista ordet missbrukats vid många tillfällen. Den som frågar bör i stället ha sista ordet eftersom det är regeringens ledamöter som kommer till riksdagen för att utfrågas och inte tvärtom.</w:t>
      </w:r>
    </w:p>
    <w:p w:rsidR="0080157C" w:rsidRPr="00141A1D" w:rsidRDefault="0080157C">
      <w:pPr>
        <w:pStyle w:val="Rubrik4"/>
        <w:rPr>
          <w:noProof w:val="0"/>
        </w:rPr>
      </w:pPr>
      <w:bookmarkStart w:id="72" w:name="_Toc530475988"/>
      <w:r w:rsidRPr="00141A1D">
        <w:rPr>
          <w:noProof w:val="0"/>
        </w:rPr>
        <w:t>Gällande regler</w:t>
      </w:r>
      <w:bookmarkEnd w:id="72"/>
    </w:p>
    <w:p w:rsidR="0080157C" w:rsidRPr="00141A1D" w:rsidRDefault="0080157C">
      <w:pPr>
        <w:rPr>
          <w:snapToGrid w:val="0"/>
          <w:lang w:eastAsia="sv-SE"/>
        </w:rPr>
      </w:pPr>
      <w:r w:rsidRPr="00141A1D">
        <w:t xml:space="preserve">Enligt 6 kap. 3 § riksdagsordningen framställs muntlig fråga vid frågestund som anordnas i kammaren. Talmannen beslutar om vem som skall få ordet vid frågestund. Enligt anvisningar av talmannen </w:t>
      </w:r>
      <w:r w:rsidRPr="00141A1D">
        <w:rPr>
          <w:snapToGrid w:val="0"/>
          <w:lang w:eastAsia="sv-SE"/>
        </w:rPr>
        <w:t xml:space="preserve">skall </w:t>
      </w:r>
      <w:r w:rsidRPr="00141A1D">
        <w:rPr>
          <w:snapToGrid w:val="0"/>
          <w:color w:val="000000"/>
          <w:lang w:eastAsia="sv-SE"/>
        </w:rPr>
        <w:t>frågor och svar vara korta och i princip inte överstiga en minut.</w:t>
      </w:r>
      <w:r w:rsidRPr="00141A1D">
        <w:rPr>
          <w:snapToGrid w:val="0"/>
          <w:lang w:eastAsia="sv-SE"/>
        </w:rPr>
        <w:t xml:space="preserve"> Frågeställaren kan enligt anvi</w:t>
      </w:r>
      <w:r w:rsidRPr="00141A1D">
        <w:rPr>
          <w:snapToGrid w:val="0"/>
          <w:lang w:eastAsia="sv-SE"/>
        </w:rPr>
        <w:t>s</w:t>
      </w:r>
      <w:r w:rsidRPr="00141A1D">
        <w:rPr>
          <w:snapToGrid w:val="0"/>
          <w:lang w:eastAsia="sv-SE"/>
        </w:rPr>
        <w:t>ningarna normalt räkna med att få ordet för minst en följdfråga eller ko</w:t>
      </w:r>
      <w:r w:rsidRPr="00141A1D">
        <w:rPr>
          <w:snapToGrid w:val="0"/>
          <w:lang w:eastAsia="sv-SE"/>
        </w:rPr>
        <w:t>m</w:t>
      </w:r>
      <w:r w:rsidRPr="00141A1D">
        <w:rPr>
          <w:snapToGrid w:val="0"/>
          <w:lang w:eastAsia="sv-SE"/>
        </w:rPr>
        <w:t>mentar. Vanligen får statsrådet det sista inlägget i ett replikskifte men talma</w:t>
      </w:r>
      <w:r w:rsidRPr="00141A1D">
        <w:rPr>
          <w:snapToGrid w:val="0"/>
          <w:lang w:eastAsia="sv-SE"/>
        </w:rPr>
        <w:t>n</w:t>
      </w:r>
      <w:r w:rsidRPr="00141A1D">
        <w:rPr>
          <w:snapToGrid w:val="0"/>
          <w:lang w:eastAsia="sv-SE"/>
        </w:rPr>
        <w:t>nen kan, om det finns skäl, ge frågeställaren ordet för ett avsl</w:t>
      </w:r>
      <w:r w:rsidRPr="00141A1D">
        <w:rPr>
          <w:snapToGrid w:val="0"/>
          <w:lang w:eastAsia="sv-SE"/>
        </w:rPr>
        <w:t>u</w:t>
      </w:r>
      <w:r w:rsidRPr="00141A1D">
        <w:rPr>
          <w:snapToGrid w:val="0"/>
          <w:lang w:eastAsia="sv-SE"/>
        </w:rPr>
        <w:t>tande inlägg.</w:t>
      </w:r>
    </w:p>
    <w:p w:rsidR="0080157C" w:rsidRPr="00141A1D" w:rsidRDefault="0080157C">
      <w:pPr>
        <w:pStyle w:val="Rubrik4"/>
        <w:rPr>
          <w:noProof w:val="0"/>
        </w:rPr>
      </w:pPr>
      <w:bookmarkStart w:id="73" w:name="_Toc530475989"/>
      <w:r w:rsidRPr="00141A1D">
        <w:rPr>
          <w:noProof w:val="0"/>
        </w:rPr>
        <w:t>Utskottets ställningstagande</w:t>
      </w:r>
      <w:bookmarkEnd w:id="73"/>
    </w:p>
    <w:p w:rsidR="0080157C" w:rsidRPr="00141A1D" w:rsidRDefault="0080157C">
      <w:r w:rsidRPr="00141A1D">
        <w:t>Utskottet är inte berett ändra den regel i riksdagsordningen som föreskriver att talmannen beslutar om vem som skall få ordet i frågestund. Talmannens nu gällande anvisningar ger utrymme för att frågeställaren i särskilda fall ges sista ordet. Frågan om en ändring av anvisningarna är en fråga för talmannen och inget hindrar att frågan tas upp t. ex. i talmannens samråd med de särski</w:t>
      </w:r>
      <w:r w:rsidRPr="00141A1D">
        <w:t>l</w:t>
      </w:r>
      <w:r w:rsidRPr="00141A1D">
        <w:t>da företrädarna för partigrupperna. Utskottet avstyrker motion K212 (m).</w:t>
      </w:r>
    </w:p>
    <w:p w:rsidR="0080157C" w:rsidRPr="00141A1D" w:rsidRDefault="0080157C">
      <w:pPr>
        <w:pStyle w:val="Rubrik2"/>
      </w:pPr>
      <w:bookmarkStart w:id="74" w:name="_Toc530475990"/>
      <w:r w:rsidRPr="00141A1D">
        <w:t>Registrering av lobbare</w:t>
      </w:r>
      <w:bookmarkEnd w:id="74"/>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en motion om registrering av lobbare med hä</w:t>
      </w:r>
      <w:r w:rsidRPr="00141A1D">
        <w:t>n</w:t>
      </w:r>
      <w:r w:rsidRPr="00141A1D">
        <w:t>visning till att en proposition om demokratifrågor bör avvaktas.</w:t>
      </w:r>
    </w:p>
    <w:p w:rsidR="0080157C" w:rsidRPr="00141A1D" w:rsidRDefault="0080157C">
      <w:pPr>
        <w:pStyle w:val="Rubrik4"/>
        <w:rPr>
          <w:noProof w:val="0"/>
        </w:rPr>
      </w:pPr>
      <w:bookmarkStart w:id="75" w:name="_Toc530475991"/>
      <w:r w:rsidRPr="00141A1D">
        <w:rPr>
          <w:noProof w:val="0"/>
        </w:rPr>
        <w:t>Motionen</w:t>
      </w:r>
      <w:bookmarkEnd w:id="75"/>
    </w:p>
    <w:p w:rsidR="0080157C" w:rsidRPr="00141A1D" w:rsidRDefault="0080157C">
      <w:r w:rsidRPr="00141A1D">
        <w:t>I motion K380 av Bertil Persson (m) begärs att riksdagen beslutar om reg</w:t>
      </w:r>
      <w:r w:rsidRPr="00141A1D">
        <w:t>i</w:t>
      </w:r>
      <w:r w:rsidRPr="00141A1D">
        <w:t>strering av lobbare. Lobbning i syfte att påverka de politiska besluten är enligt motionären en snabbt växande verksamhet, och behovet av transparens och etik är stort. Även om transparens och etik noga iakttas av de flesta företag i branschen är det för politikerna utomordentligt angeläget att uppdragsgivares identitet och uppdragens innehåll alltid är uppenbara och att lämnade uppgi</w:t>
      </w:r>
      <w:r w:rsidRPr="00141A1D">
        <w:t>f</w:t>
      </w:r>
      <w:r w:rsidRPr="00141A1D">
        <w:t>ter är korrekta. Med detta syfte har såväl kongressen i USA som Europapa</w:t>
      </w:r>
      <w:r w:rsidRPr="00141A1D">
        <w:t>r</w:t>
      </w:r>
      <w:r w:rsidRPr="00141A1D">
        <w:t>lamentet infört en registreringsskyldighet. Efters</w:t>
      </w:r>
      <w:r w:rsidRPr="00141A1D">
        <w:t>om systemet enligt motion</w:t>
      </w:r>
      <w:r w:rsidRPr="00141A1D">
        <w:t>ä</w:t>
      </w:r>
      <w:r w:rsidRPr="00141A1D">
        <w:t>ren visat sig fungera bra för båda parter är det angeläget att pröva ett liknande system i Sverige.</w:t>
      </w:r>
    </w:p>
    <w:p w:rsidR="0080157C" w:rsidRPr="00141A1D" w:rsidRDefault="0080157C">
      <w:pPr>
        <w:pStyle w:val="Rubrik4"/>
        <w:rPr>
          <w:noProof w:val="0"/>
        </w:rPr>
      </w:pPr>
      <w:bookmarkStart w:id="76" w:name="_Toc530475992"/>
      <w:r w:rsidRPr="00141A1D">
        <w:rPr>
          <w:noProof w:val="0"/>
        </w:rPr>
        <w:t>Tidigare behandling</w:t>
      </w:r>
      <w:bookmarkEnd w:id="76"/>
    </w:p>
    <w:p w:rsidR="0080157C" w:rsidRPr="00141A1D" w:rsidRDefault="0080157C">
      <w:r w:rsidRPr="00141A1D">
        <w:t>En liknande motion som den nu aktuella avstyrktes av utskottet hösten 2000 (bet. 2000/01:KU4) under hänvisning till att det pågående arbetet i Rege</w:t>
      </w:r>
      <w:r w:rsidRPr="00141A1D">
        <w:t>r</w:t>
      </w:r>
      <w:r w:rsidRPr="00141A1D">
        <w:t>ingskansliet med anledning av Demokratiutredningens slutbetänkande borde avvaktas. Utskottet redovisade en tidigare utskottsbehandling av frågan (bet. 1997/98:KU27), då det gjordes en allmän genomgång av frågan om lob</w:t>
      </w:r>
      <w:r w:rsidRPr="00141A1D">
        <w:t>b</w:t>
      </w:r>
      <w:r w:rsidRPr="00141A1D">
        <w:t>ningsverksamhet, både i Sverige och andra länder samt i Europaparl</w:t>
      </w:r>
      <w:r w:rsidRPr="00141A1D">
        <w:t>a</w:t>
      </w:r>
      <w:r w:rsidRPr="00141A1D">
        <w:t xml:space="preserve">mentet. </w:t>
      </w:r>
    </w:p>
    <w:p w:rsidR="0080157C" w:rsidRPr="00141A1D" w:rsidRDefault="0080157C">
      <w:pPr>
        <w:pStyle w:val="Rubrik4"/>
        <w:rPr>
          <w:noProof w:val="0"/>
        </w:rPr>
      </w:pPr>
      <w:bookmarkStart w:id="77" w:name="_Toc530475993"/>
      <w:r w:rsidRPr="00141A1D">
        <w:rPr>
          <w:noProof w:val="0"/>
        </w:rPr>
        <w:t>Utskottets ställningstagande</w:t>
      </w:r>
      <w:bookmarkEnd w:id="77"/>
    </w:p>
    <w:p w:rsidR="0080157C" w:rsidRPr="00141A1D" w:rsidRDefault="0080157C">
      <w:r w:rsidRPr="00141A1D">
        <w:t>En proposition om demokratifrågor är aviserad till december 2001. Utskottet vidhåller sin tidigare bedömning att denna proposition bör avvaktas. Motion K380 avstyrks.</w:t>
      </w:r>
    </w:p>
    <w:p w:rsidR="0080157C" w:rsidRPr="00141A1D" w:rsidRDefault="0080157C">
      <w:pPr>
        <w:pStyle w:val="Rubrik2"/>
      </w:pPr>
      <w:bookmarkStart w:id="78" w:name="_Toc530475994"/>
      <w:r w:rsidRPr="00141A1D">
        <w:t>Teknisk utrustning</w:t>
      </w:r>
      <w:bookmarkEnd w:id="78"/>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motionsyrkanden om användningen av bärbara datorer i kammare och utskott med hänvisning till tidigare stäl</w:t>
      </w:r>
      <w:r w:rsidRPr="00141A1D">
        <w:t>l</w:t>
      </w:r>
      <w:r w:rsidRPr="00141A1D">
        <w:t>ningstaganden att detta är en fråga för talmannen och de särskilda företrädarna för partigrupperna respektive för ordförandekonfere</w:t>
      </w:r>
      <w:r w:rsidRPr="00141A1D">
        <w:t>n</w:t>
      </w:r>
      <w:r w:rsidRPr="00141A1D">
        <w:t>sen. Ett motionsyrkande om ledamöternas tillgång till teknisk u</w:t>
      </w:r>
      <w:r w:rsidRPr="00141A1D">
        <w:t>t</w:t>
      </w:r>
      <w:r w:rsidRPr="00141A1D">
        <w:t xml:space="preserve">rustning avstyrks med hänvisning till en dialog som pågår i Rådet för ledamotsnära frågor. </w:t>
      </w:r>
    </w:p>
    <w:p w:rsidR="0080157C" w:rsidRPr="00141A1D" w:rsidRDefault="0080157C">
      <w:pPr>
        <w:pStyle w:val="Rubrik4"/>
        <w:rPr>
          <w:noProof w:val="0"/>
        </w:rPr>
      </w:pPr>
      <w:bookmarkStart w:id="79" w:name="_Toc530475995"/>
      <w:r w:rsidRPr="00141A1D">
        <w:rPr>
          <w:noProof w:val="0"/>
        </w:rPr>
        <w:t>Motionerna</w:t>
      </w:r>
      <w:bookmarkEnd w:id="79"/>
    </w:p>
    <w:p w:rsidR="0080157C" w:rsidRPr="00141A1D" w:rsidRDefault="0080157C">
      <w:r w:rsidRPr="00141A1D">
        <w:t>Per Bill (m) begär i motion K214 att det blir tillåtet för ledamöterna att a</w:t>
      </w:r>
      <w:r w:rsidRPr="00141A1D">
        <w:t>n</w:t>
      </w:r>
      <w:r w:rsidRPr="00141A1D">
        <w:t>vända bärbara datorer under utskottssammanträden (yrkande 1) och i kamm</w:t>
      </w:r>
      <w:r w:rsidRPr="00141A1D">
        <w:t>a</w:t>
      </w:r>
      <w:r w:rsidRPr="00141A1D">
        <w:t>ren (yrkande 2). Det är enligt motionären dags för riksdagen att omfatta den nya tekniken på riktigt och inte bara tala om dess förträfflighet. Datorn borde vara ett lika självklart hjälpmedel i riksdagsarbetet som papper och penna.</w:t>
      </w:r>
    </w:p>
    <w:p w:rsidR="0080157C" w:rsidRPr="00141A1D" w:rsidRDefault="0080157C">
      <w:pPr>
        <w:pStyle w:val="Normaltindrag"/>
      </w:pPr>
      <w:r w:rsidRPr="00141A1D">
        <w:t>Sven-Erik Österberg (s) begär i motion K379 ett tillkännagivande om b</w:t>
      </w:r>
      <w:r w:rsidRPr="00141A1D">
        <w:t>e</w:t>
      </w:r>
      <w:r w:rsidRPr="00141A1D">
        <w:t>hovet av ökad tillgång på teknisk utrustning för riksdagens ledamöter. Det bör enligt motionen göras en särskild översyn beträffande den tekniska utrustning riksdagen erbjuder ledamöterna. Översynen bör gälla möjligheterna att up</w:t>
      </w:r>
      <w:r w:rsidRPr="00141A1D">
        <w:t>p</w:t>
      </w:r>
      <w:r w:rsidRPr="00141A1D">
        <w:t>datera utrustningen samt behovet av och tillgången till ny utrustning och hur den sammanfaller med ledamöternas behov.</w:t>
      </w:r>
    </w:p>
    <w:p w:rsidR="0080157C" w:rsidRPr="00141A1D" w:rsidRDefault="0080157C">
      <w:pPr>
        <w:pStyle w:val="Rubrik4"/>
        <w:rPr>
          <w:noProof w:val="0"/>
        </w:rPr>
      </w:pPr>
      <w:bookmarkStart w:id="80" w:name="_Toc530475996"/>
      <w:r w:rsidRPr="00141A1D">
        <w:rPr>
          <w:noProof w:val="0"/>
        </w:rPr>
        <w:t>Tidigare riksdagsbehandling m.m.</w:t>
      </w:r>
      <w:bookmarkEnd w:id="80"/>
    </w:p>
    <w:p w:rsidR="0080157C" w:rsidRPr="00141A1D" w:rsidRDefault="0080157C">
      <w:r w:rsidRPr="00141A1D">
        <w:t>Konstitutionsutskottet avstyrkte våren 1998 ett motionsyrkande om att bärb</w:t>
      </w:r>
      <w:r w:rsidRPr="00141A1D">
        <w:t>a</w:t>
      </w:r>
      <w:r w:rsidRPr="00141A1D">
        <w:t>ra datorer i plenisalen borde tillåtas (bet. 1997/98:KU27 s. 50). Enligt utsko</w:t>
      </w:r>
      <w:r w:rsidRPr="00141A1D">
        <w:t>t</w:t>
      </w:r>
      <w:r w:rsidRPr="00141A1D">
        <w:t>tets mening borde riksdagen inte alltför detaljerat reglera vad som är tillåtet och inte tillåtet att göra under överläggningarna i kammaren. Den fråga som aktualiserades i motionen och liknande andra frågor borde avgöras av talma</w:t>
      </w:r>
      <w:r w:rsidRPr="00141A1D">
        <w:t>n</w:t>
      </w:r>
      <w:r w:rsidRPr="00141A1D">
        <w:t>nen, eventuellt efter diskussion i talmanskonferensen, som kunde ta initiativ i fråga om reglering av ordningsfrågor, om så var påkallat.</w:t>
      </w:r>
    </w:p>
    <w:p w:rsidR="0080157C" w:rsidRPr="00141A1D" w:rsidRDefault="0080157C">
      <w:pPr>
        <w:pStyle w:val="Normaltindrag"/>
      </w:pPr>
      <w:r w:rsidRPr="00141A1D">
        <w:t>Hösten 2000 avstyrkte utskottet motionsyrkanden om användningen</w:t>
      </w:r>
      <w:r w:rsidRPr="00141A1D">
        <w:t xml:space="preserve"> av bärbara datorer i utskott och kammare (bet. 2000/01:KU4). Utskottet ansåg fortfarande att frågan om bärbara datorer i kammaren liksom liknande andra borde avgöras av talmannen om det behövdes efter diskussion i riksdagsst</w:t>
      </w:r>
      <w:r w:rsidRPr="00141A1D">
        <w:t>y</w:t>
      </w:r>
      <w:r w:rsidRPr="00141A1D">
        <w:t>relsen och med de särskilda företrädarna för partigrupperna som kunde ta initiativ i fråga om reglering av ordningsfrågor. Frågan om användningen av bärbara datorer under utskottssammanträden kunde tas upp i ordförandeko</w:t>
      </w:r>
      <w:r w:rsidRPr="00141A1D">
        <w:t>n</w:t>
      </w:r>
      <w:r w:rsidRPr="00141A1D">
        <w:t xml:space="preserve">ferensen med utskottens ordförande. Något särskilt initiativ med </w:t>
      </w:r>
      <w:r w:rsidRPr="00141A1D">
        <w:t>anledning av motionerna var enligt utskottets mening inte nödvändigt.</w:t>
      </w:r>
    </w:p>
    <w:p w:rsidR="0080157C" w:rsidRPr="00141A1D" w:rsidRDefault="0080157C">
      <w:pPr>
        <w:rPr>
          <w:snapToGrid w:val="0"/>
          <w:lang w:eastAsia="sv-SE"/>
        </w:rPr>
      </w:pPr>
      <w:r w:rsidRPr="00141A1D">
        <w:t>Enligt 6 kap. 2 § lagen (1994:1065) om ekonomiska villkor för riksdagens ledamöter tillhandahålls riksdagens ledamöter sådan teknisk utrustning som är av väsentlig betydelse för utförande av uppdraget som ledamot i riksdagen.</w:t>
      </w:r>
      <w:r w:rsidRPr="00141A1D">
        <w:rPr>
          <w:snapToGrid w:val="0"/>
          <w:lang w:eastAsia="sv-SE"/>
        </w:rPr>
        <w:t xml:space="preserve"> Enligt riksdagsstyrelsens tillämpningsföreskrifter (RFS 1995:4) skall ledamot på riksdagsförvaltningens bekostnad erbjudas pc-enhet i hemmet eller i alte</w:t>
      </w:r>
      <w:r w:rsidRPr="00141A1D">
        <w:rPr>
          <w:snapToGrid w:val="0"/>
          <w:lang w:eastAsia="sv-SE"/>
        </w:rPr>
        <w:t>r</w:t>
      </w:r>
      <w:r w:rsidRPr="00141A1D">
        <w:rPr>
          <w:snapToGrid w:val="0"/>
          <w:lang w:eastAsia="sv-SE"/>
        </w:rPr>
        <w:t>nativbostad, uppkopplingsbar mot riksdagens datasystem, telefax, telefo</w:t>
      </w:r>
      <w:r w:rsidRPr="00141A1D">
        <w:rPr>
          <w:snapToGrid w:val="0"/>
          <w:lang w:eastAsia="sv-SE"/>
        </w:rPr>
        <w:t>n</w:t>
      </w:r>
      <w:r w:rsidRPr="00141A1D">
        <w:rPr>
          <w:snapToGrid w:val="0"/>
          <w:lang w:eastAsia="sv-SE"/>
        </w:rPr>
        <w:t>abonnemang för kommunikation och tjänstesamtal och pe</w:t>
      </w:r>
      <w:r w:rsidRPr="00141A1D">
        <w:rPr>
          <w:snapToGrid w:val="0"/>
          <w:lang w:eastAsia="sv-SE"/>
        </w:rPr>
        <w:t>r</w:t>
      </w:r>
      <w:r w:rsidRPr="00141A1D">
        <w:rPr>
          <w:snapToGrid w:val="0"/>
          <w:lang w:eastAsia="sv-SE"/>
        </w:rPr>
        <w:t>sonsökare.</w:t>
      </w:r>
    </w:p>
    <w:p w:rsidR="0080157C" w:rsidRPr="00141A1D" w:rsidRDefault="0080157C">
      <w:pPr>
        <w:pStyle w:val="Normaltindrag"/>
        <w:rPr>
          <w:snapToGrid w:val="0"/>
          <w:lang w:eastAsia="sv-SE"/>
        </w:rPr>
      </w:pPr>
      <w:r w:rsidRPr="00141A1D">
        <w:rPr>
          <w:snapToGrid w:val="0"/>
          <w:lang w:eastAsia="sv-SE"/>
        </w:rPr>
        <w:t>Närmare precisering av vad som är att hänföra till sådan utrustning och tillbehör m.m. som skall tillhandahållas beslutas av riksdagsdirektören efter samråd med Rådet för ledamotsnära frågor.</w:t>
      </w:r>
    </w:p>
    <w:p w:rsidR="0080157C" w:rsidRPr="00141A1D" w:rsidRDefault="0080157C">
      <w:pPr>
        <w:pStyle w:val="Rubrik4"/>
        <w:rPr>
          <w:noProof w:val="0"/>
        </w:rPr>
      </w:pPr>
      <w:bookmarkStart w:id="81" w:name="_Toc530475997"/>
      <w:r w:rsidRPr="00141A1D">
        <w:rPr>
          <w:noProof w:val="0"/>
        </w:rPr>
        <w:t>Utskottets ställningstagande</w:t>
      </w:r>
      <w:bookmarkEnd w:id="81"/>
    </w:p>
    <w:p w:rsidR="0080157C" w:rsidRPr="00141A1D" w:rsidRDefault="0080157C">
      <w:r w:rsidRPr="00141A1D">
        <w:t>Utskottet vidhåller sitt tidigare ställningstagande om användning av datorer i kammare och utskott. Motion K214 yrkandena 1 och 2 (m) avstyrks.</w:t>
      </w:r>
    </w:p>
    <w:p w:rsidR="0080157C" w:rsidRPr="00141A1D" w:rsidRDefault="0080157C">
      <w:pPr>
        <w:pStyle w:val="Normaltindrag"/>
      </w:pPr>
      <w:r w:rsidRPr="00141A1D">
        <w:rPr>
          <w:snapToGrid w:val="0"/>
          <w:lang w:eastAsia="sv-SE"/>
        </w:rPr>
        <w:t>Planering för vilken teknisk utrustning med tillbehör som skall tillhand</w:t>
      </w:r>
      <w:r w:rsidRPr="00141A1D">
        <w:rPr>
          <w:snapToGrid w:val="0"/>
          <w:lang w:eastAsia="sv-SE"/>
        </w:rPr>
        <w:t>a</w:t>
      </w:r>
      <w:r w:rsidRPr="00141A1D">
        <w:rPr>
          <w:snapToGrid w:val="0"/>
          <w:lang w:eastAsia="sv-SE"/>
        </w:rPr>
        <w:t>hållas riksdagsledamöterna efter valet 2002 pågår inom riksdagsförvaltnin</w:t>
      </w:r>
      <w:r w:rsidRPr="00141A1D">
        <w:rPr>
          <w:snapToGrid w:val="0"/>
          <w:lang w:eastAsia="sv-SE"/>
        </w:rPr>
        <w:t>g</w:t>
      </w:r>
      <w:r w:rsidRPr="00141A1D">
        <w:rPr>
          <w:snapToGrid w:val="0"/>
          <w:lang w:eastAsia="sv-SE"/>
        </w:rPr>
        <w:t>en.</w:t>
      </w:r>
      <w:r w:rsidRPr="00141A1D">
        <w:t xml:space="preserve"> Arbetet med kravspecifikation inför upphandling sker i dialog med Rådet för ledamotsnära frågor som förmedlar information till och inhämtar sy</w:t>
      </w:r>
      <w:r w:rsidRPr="00141A1D">
        <w:t>n</w:t>
      </w:r>
      <w:r w:rsidRPr="00141A1D">
        <w:t xml:space="preserve">punkter från partigrupperna. Det ordnas också seminarier för intresserade ledamöter. </w:t>
      </w:r>
      <w:r w:rsidRPr="00141A1D">
        <w:rPr>
          <w:snapToGrid w:val="0"/>
          <w:lang w:eastAsia="sv-SE"/>
        </w:rPr>
        <w:t>Det kan enligt utskottet förutsättas att frågan fortlöpande tas upp i Rådet för ledamotsnära frågor. Motion K379 avstyrks.</w:t>
      </w:r>
      <w:r w:rsidRPr="00141A1D">
        <w:t xml:space="preserve"> </w:t>
      </w:r>
    </w:p>
    <w:p w:rsidR="0080157C" w:rsidRPr="00141A1D" w:rsidRDefault="0080157C">
      <w:pPr>
        <w:pStyle w:val="Rubrik2"/>
      </w:pPr>
      <w:bookmarkStart w:id="82" w:name="_Toc530475998"/>
      <w:r w:rsidRPr="00141A1D">
        <w:t>Riksdagens IT-policy</w:t>
      </w:r>
      <w:bookmarkEnd w:id="82"/>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motionsyrkanden om riksdagens IT-policy med hänvisning till tidigare ställningstagande att detta är en fråga för riksdagsstyrelsen.</w:t>
      </w:r>
    </w:p>
    <w:p w:rsidR="0080157C" w:rsidRPr="00141A1D" w:rsidRDefault="0080157C">
      <w:pPr>
        <w:pStyle w:val="Rubrik4"/>
        <w:rPr>
          <w:noProof w:val="0"/>
        </w:rPr>
      </w:pPr>
      <w:bookmarkStart w:id="83" w:name="_Toc530475999"/>
      <w:r w:rsidRPr="00141A1D">
        <w:rPr>
          <w:noProof w:val="0"/>
        </w:rPr>
        <w:t>Motionen</w:t>
      </w:r>
      <w:bookmarkEnd w:id="83"/>
    </w:p>
    <w:p w:rsidR="0080157C" w:rsidRPr="00141A1D" w:rsidRDefault="0080157C">
      <w:r w:rsidRPr="00141A1D">
        <w:t>I motion Ub533 yrkande 6 av Per-Richard Molén m.fl. (m) begärs ett tillkä</w:t>
      </w:r>
      <w:r w:rsidRPr="00141A1D">
        <w:t>n</w:t>
      </w:r>
      <w:r w:rsidRPr="00141A1D">
        <w:t>nagivande om riksdagens IT-policy. Motionärerna framhåller att riksdagen som arbetsgivare har ett särskilt ansvar. De riktlinjer som nu finns saknar verklighetsförankring och är omoderna. Riksdagen måste visa att den finns i framkanten av utvecklingen och ta fram nya moderna och offensiva IT-riktlinjer där människor utveckling bejakas.</w:t>
      </w:r>
    </w:p>
    <w:p w:rsidR="0080157C" w:rsidRPr="00141A1D" w:rsidRDefault="0080157C">
      <w:pPr>
        <w:pStyle w:val="Normaltindrag"/>
      </w:pPr>
      <w:r w:rsidRPr="00141A1D">
        <w:t>Samma synpunkter förs fram i motion K231 av Per Bill (m), där det begärs nya riktlinjer för användning av Internet och elektronisk post (e-post) vid datorer anslutna till ri</w:t>
      </w:r>
      <w:r w:rsidRPr="00141A1D">
        <w:t>ksdagsförvaltningens nätverk (yrkande 1). De nya rik</w:t>
      </w:r>
      <w:r w:rsidRPr="00141A1D">
        <w:t>t</w:t>
      </w:r>
      <w:r w:rsidRPr="00141A1D">
        <w:t>linjerna skall utgå från en modern och offensiv IT-policy som speglar ett förtroende för riksdagens ledamöter och medarbetare och stimulerar arbete och engagemang (yrkande 2). Enligt motionären är det lika naturligt att på sin lediga tid sälja fondandelar som att skicka e-post. Riksdagens riktlinjer gäller alla men det är bara de anställda som kontrolleras. Reglerna antyder att rik</w:t>
      </w:r>
      <w:r w:rsidRPr="00141A1D">
        <w:t>s</w:t>
      </w:r>
      <w:r w:rsidRPr="00141A1D">
        <w:t>dagen inte litar på sina medarbetare och tillämpar en snarstucken personal</w:t>
      </w:r>
      <w:r w:rsidRPr="00141A1D">
        <w:t>p</w:t>
      </w:r>
      <w:r w:rsidRPr="00141A1D">
        <w:t>o</w:t>
      </w:r>
      <w:r w:rsidRPr="00141A1D">
        <w:t>litik. Motionären anser att storebrorsmentaliteten måste försvinna till förmån för tillit och stimulans. Riksdagen måste ta fram nya, moderna och offensiva IT-riktlinjer där människor och utveckling bej</w:t>
      </w:r>
      <w:r w:rsidRPr="00141A1D">
        <w:t>a</w:t>
      </w:r>
      <w:r w:rsidRPr="00141A1D">
        <w:t>kas.</w:t>
      </w:r>
    </w:p>
    <w:p w:rsidR="0080157C" w:rsidRPr="00141A1D" w:rsidRDefault="0080157C">
      <w:pPr>
        <w:pStyle w:val="Rubrik4"/>
        <w:rPr>
          <w:noProof w:val="0"/>
        </w:rPr>
      </w:pPr>
      <w:bookmarkStart w:id="84" w:name="_Toc530476000"/>
      <w:r w:rsidRPr="00141A1D">
        <w:rPr>
          <w:noProof w:val="0"/>
        </w:rPr>
        <w:t>Tidigare riksdagsbehandling</w:t>
      </w:r>
      <w:bookmarkEnd w:id="84"/>
    </w:p>
    <w:p w:rsidR="0080157C" w:rsidRPr="00141A1D" w:rsidRDefault="0080157C">
      <w:r w:rsidRPr="00141A1D">
        <w:t>Utskottet behandlade hösten 2000 ett motionsyrkande liknande de nu aktuella (bet. 2000/01:KU4). Utskottet hänvisade till att riksdagens Internetpolicy nyligen antagits (juni 2000) och framhöll att det är riksdagsstyrelsen som har att fatta beslut i denna typ av frågor.</w:t>
      </w:r>
    </w:p>
    <w:p w:rsidR="0080157C" w:rsidRPr="00141A1D" w:rsidRDefault="0080157C">
      <w:pPr>
        <w:pStyle w:val="Rubrik4"/>
        <w:rPr>
          <w:noProof w:val="0"/>
        </w:rPr>
      </w:pPr>
      <w:bookmarkStart w:id="85" w:name="_Toc530476001"/>
      <w:r w:rsidRPr="00141A1D">
        <w:rPr>
          <w:noProof w:val="0"/>
        </w:rPr>
        <w:t>Utskottets ställningstagande</w:t>
      </w:r>
      <w:bookmarkEnd w:id="85"/>
    </w:p>
    <w:p w:rsidR="0080157C" w:rsidRPr="00141A1D" w:rsidRDefault="0080157C">
      <w:r w:rsidRPr="00141A1D">
        <w:t>Utskottet vidhåller sitt tidigare ställningstagande. Motionerna Ub533 yrkande 6 (m) och K231 yrkandena 1 och 2 (m) avstyrks.</w:t>
      </w:r>
    </w:p>
    <w:p w:rsidR="0080157C" w:rsidRPr="00141A1D" w:rsidRDefault="0080157C">
      <w:pPr>
        <w:pStyle w:val="Rubrik2"/>
      </w:pPr>
      <w:bookmarkStart w:id="86" w:name="_Toc530476002"/>
      <w:r w:rsidRPr="00141A1D">
        <w:t>Registrering av ledamöters ekonomiska intressen</w:t>
      </w:r>
      <w:bookmarkEnd w:id="86"/>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att registret över rik</w:t>
      </w:r>
      <w:r w:rsidRPr="00141A1D">
        <w:t>s</w:t>
      </w:r>
      <w:r w:rsidRPr="00141A1D">
        <w:t>dagsledamöternas åtaganden och ekonomiska intressen skall göras obl</w:t>
      </w:r>
      <w:r w:rsidRPr="00141A1D">
        <w:t>i</w:t>
      </w:r>
      <w:r w:rsidRPr="00141A1D">
        <w:t>gatoriskt. Utskottet hänvisar till att en utvärdering bör avvaktas.</w:t>
      </w:r>
    </w:p>
    <w:p w:rsidR="0080157C" w:rsidRPr="00141A1D" w:rsidRDefault="0080157C">
      <w:pPr>
        <w:pStyle w:val="Utskottsfrslagikorthet-Text"/>
      </w:pPr>
      <w:r w:rsidRPr="00141A1D">
        <w:t>Jämför reservation 6 (v och mp).</w:t>
      </w:r>
    </w:p>
    <w:p w:rsidR="0080157C" w:rsidRPr="00141A1D" w:rsidRDefault="0080157C">
      <w:pPr>
        <w:pStyle w:val="Rubrik4"/>
        <w:rPr>
          <w:noProof w:val="0"/>
        </w:rPr>
      </w:pPr>
      <w:bookmarkStart w:id="87" w:name="_Toc530476003"/>
      <w:r w:rsidRPr="00141A1D">
        <w:rPr>
          <w:noProof w:val="0"/>
        </w:rPr>
        <w:t>Motionen</w:t>
      </w:r>
      <w:bookmarkEnd w:id="87"/>
    </w:p>
    <w:p w:rsidR="0080157C" w:rsidRPr="00141A1D" w:rsidRDefault="0080157C">
      <w:r w:rsidRPr="00141A1D">
        <w:t>I motion K329 av Bengt Silfverstrand (s) begärs att registret över riksdagsl</w:t>
      </w:r>
      <w:r w:rsidRPr="00141A1D">
        <w:t>e</w:t>
      </w:r>
      <w:r w:rsidRPr="00141A1D">
        <w:t>damöternas åtaganden och ekonomiska intressen görs obligatoriskt. Enligt motionen är det mot bakgrund av att utvärdering av registret ännu inte redov</w:t>
      </w:r>
      <w:r w:rsidRPr="00141A1D">
        <w:t>i</w:t>
      </w:r>
      <w:r w:rsidRPr="00141A1D">
        <w:t>sats hög tid att riksdagen fattar beslut i frågan om obligatorisk registrering. Av det förhållandet att ett stort antal ledamöter avstår från att redovisa sina privata ekonomiska intressen och sidouppdrag kan man enligt motionären bara dra en slutsats, nämligen att en frivillig registrering inte är tillfyllest för att uppnå syftet med registret.</w:t>
      </w:r>
    </w:p>
    <w:p w:rsidR="0080157C" w:rsidRPr="00141A1D" w:rsidRDefault="0080157C">
      <w:pPr>
        <w:pStyle w:val="Rubrik4"/>
        <w:rPr>
          <w:noProof w:val="0"/>
        </w:rPr>
      </w:pPr>
      <w:bookmarkStart w:id="88" w:name="_Toc530476004"/>
      <w:r w:rsidRPr="00141A1D">
        <w:rPr>
          <w:noProof w:val="0"/>
        </w:rPr>
        <w:t>Tidigare beha</w:t>
      </w:r>
      <w:r w:rsidRPr="00141A1D">
        <w:rPr>
          <w:noProof w:val="0"/>
        </w:rPr>
        <w:t>ndling m.m.</w:t>
      </w:r>
      <w:bookmarkEnd w:id="88"/>
    </w:p>
    <w:p w:rsidR="0080157C" w:rsidRPr="00141A1D" w:rsidRDefault="0080157C">
      <w:r w:rsidRPr="00141A1D">
        <w:t>Hösten 2000 avstyrkte utskottet (bet. 2000/01:KU4) ett par motioner i samma syfte som den nu aktuella. Utskottet hänvisade till ett tidigare uttalande i samband med att utskottet våren 1996 behandlade förslaget till lag om reg</w:t>
      </w:r>
      <w:r w:rsidRPr="00141A1D">
        <w:t>i</w:t>
      </w:r>
      <w:r w:rsidRPr="00141A1D">
        <w:t>strering av riksdagsledamöters åtaganden och ekonomiska intressen (bet. 1995/96:KU13). Utskottet framhöll då att det var angeläget att de första årens erfarenheter tas till vara och att nödvändiga justeringar och förbättringar görs så snart det är möjligt. Utskottet förutsatte att den utvärdering som föreslagits av den arbetsgrupp som utarbetat lagförslaget skulle komma till stånd i läm</w:t>
      </w:r>
      <w:r w:rsidRPr="00141A1D">
        <w:t>p</w:t>
      </w:r>
      <w:r w:rsidRPr="00141A1D">
        <w:t>ligt sammanhang.</w:t>
      </w:r>
    </w:p>
    <w:p w:rsidR="0080157C" w:rsidRPr="00141A1D" w:rsidRDefault="0080157C">
      <w:pPr>
        <w:pStyle w:val="Normaltindrag"/>
      </w:pPr>
      <w:r w:rsidRPr="00141A1D">
        <w:t>Vid behandlingen hösten 2000 av frågan framhöll utskottet att det var a</w:t>
      </w:r>
      <w:r w:rsidRPr="00141A1D">
        <w:t>n</w:t>
      </w:r>
      <w:r w:rsidRPr="00141A1D">
        <w:t>geläget att denna utvärdering nu kom till stånd för att ligga till grund för bedömningar om huruvida ändringar i lagen kan behöva göras. En sådan utvärdering borde enligt utskottet föreligga innan utskottet tog ställning till frågan om en obligatorisk registrering. Utskottet, som förutsatte att utvärd</w:t>
      </w:r>
      <w:r w:rsidRPr="00141A1D">
        <w:t>e</w:t>
      </w:r>
      <w:r w:rsidRPr="00141A1D">
        <w:t>ringen skulle komma till stånd, ansåg inte att ett initiativ med anledning av motionerna var nödvändigt.</w:t>
      </w:r>
    </w:p>
    <w:p w:rsidR="0080157C" w:rsidRPr="00141A1D" w:rsidRDefault="0080157C">
      <w:r w:rsidRPr="00141A1D">
        <w:t>Frågan om formerna för en utvärdering av lagen (1996:810) om registrering av ledamöternas åtaganden och</w:t>
      </w:r>
      <w:r w:rsidRPr="00141A1D">
        <w:t xml:space="preserve"> ekonomiska intressen är för närvarande för</w:t>
      </w:r>
      <w:r w:rsidRPr="00141A1D">
        <w:t>e</w:t>
      </w:r>
      <w:r w:rsidRPr="00141A1D">
        <w:t>mål för öve</w:t>
      </w:r>
      <w:r w:rsidRPr="00141A1D">
        <w:t>r</w:t>
      </w:r>
      <w:r w:rsidRPr="00141A1D">
        <w:t>väganden i riksdagsstyrelsen.</w:t>
      </w:r>
    </w:p>
    <w:p w:rsidR="0080157C" w:rsidRPr="00141A1D" w:rsidRDefault="0080157C">
      <w:pPr>
        <w:pStyle w:val="Rubrik4"/>
        <w:rPr>
          <w:noProof w:val="0"/>
        </w:rPr>
      </w:pPr>
      <w:bookmarkStart w:id="89" w:name="_Toc530476005"/>
      <w:r w:rsidRPr="00141A1D">
        <w:rPr>
          <w:noProof w:val="0"/>
        </w:rPr>
        <w:t>Utskottets ställningstagande</w:t>
      </w:r>
      <w:bookmarkEnd w:id="89"/>
    </w:p>
    <w:p w:rsidR="0080157C" w:rsidRPr="00141A1D" w:rsidRDefault="0080157C">
      <w:r w:rsidRPr="00141A1D">
        <w:t>Inom riksdagsstyrelsen förbereds en utvärdering av lagen om registrering av riksdagsledamöters åtaganden och ekonomiska intressen. En kartläggning har genomförts av kammarkansliet. Utskottet vidhåller sin bedömning att utvä</w:t>
      </w:r>
      <w:r w:rsidRPr="00141A1D">
        <w:t>r</w:t>
      </w:r>
      <w:r w:rsidRPr="00141A1D">
        <w:t>deringen bör avvaktas innan ställning tas till frågan om obligatorisk registr</w:t>
      </w:r>
      <w:r w:rsidRPr="00141A1D">
        <w:t>e</w:t>
      </w:r>
      <w:r w:rsidRPr="00141A1D">
        <w:t>ring. Motion K329 (s) avstyrks.</w:t>
      </w:r>
    </w:p>
    <w:p w:rsidR="0080157C" w:rsidRPr="00141A1D" w:rsidRDefault="0080157C">
      <w:pPr>
        <w:pStyle w:val="Rubrik2"/>
      </w:pPr>
      <w:bookmarkStart w:id="90" w:name="_Toc530476006"/>
      <w:r w:rsidRPr="00141A1D">
        <w:t>Regionalt riksdagskontor i Göteborg</w:t>
      </w:r>
      <w:bookmarkEnd w:id="90"/>
    </w:p>
    <w:p w:rsidR="0080157C" w:rsidRPr="00141A1D" w:rsidRDefault="0080157C">
      <w:pPr>
        <w:pStyle w:val="Utskottsfrslagikorthet-Rubrik"/>
        <w:rPr>
          <w:noProof w:val="0"/>
        </w:rPr>
      </w:pPr>
      <w:r w:rsidRPr="00141A1D">
        <w:rPr>
          <w:noProof w:val="0"/>
        </w:rPr>
        <w:t>Utskottets förslaget i korthet</w:t>
      </w:r>
    </w:p>
    <w:p w:rsidR="0080157C" w:rsidRPr="00141A1D" w:rsidRDefault="0080157C">
      <w:pPr>
        <w:pStyle w:val="Utskottsfrslagikorthet-Text"/>
      </w:pPr>
      <w:r w:rsidRPr="00141A1D">
        <w:t>Utskottet avstyrker en motion om ett riksdagskontor i Göteborg med hänvisning till tidigare ställningstagande att det ligger närmare till hands att bygga på verksamhet som redan finns, som medbo</w:t>
      </w:r>
      <w:r w:rsidRPr="00141A1D">
        <w:t>r</w:t>
      </w:r>
      <w:r w:rsidRPr="00141A1D">
        <w:t>garkontor och bibliotek och att detta är en fråga för riksdagsförval</w:t>
      </w:r>
      <w:r w:rsidRPr="00141A1D">
        <w:t>t</w:t>
      </w:r>
      <w:r w:rsidRPr="00141A1D">
        <w:t>nin</w:t>
      </w:r>
      <w:r w:rsidRPr="00141A1D">
        <w:t>g</w:t>
      </w:r>
      <w:r w:rsidRPr="00141A1D">
        <w:t>en.</w:t>
      </w:r>
    </w:p>
    <w:p w:rsidR="0080157C" w:rsidRPr="00141A1D" w:rsidRDefault="0080157C">
      <w:pPr>
        <w:pStyle w:val="Utskottsfrslagikorthet-Text"/>
      </w:pPr>
      <w:r w:rsidRPr="00141A1D">
        <w:t>Jämför reservation 7 (fp).</w:t>
      </w:r>
    </w:p>
    <w:p w:rsidR="0080157C" w:rsidRPr="00141A1D" w:rsidRDefault="0080157C">
      <w:pPr>
        <w:pStyle w:val="Rubrik4"/>
        <w:rPr>
          <w:noProof w:val="0"/>
        </w:rPr>
      </w:pPr>
      <w:bookmarkStart w:id="91" w:name="_Toc530476007"/>
      <w:r w:rsidRPr="00141A1D">
        <w:rPr>
          <w:noProof w:val="0"/>
        </w:rPr>
        <w:t>Motionen</w:t>
      </w:r>
      <w:bookmarkEnd w:id="91"/>
    </w:p>
    <w:p w:rsidR="0080157C" w:rsidRPr="00141A1D" w:rsidRDefault="0080157C">
      <w:r w:rsidRPr="00141A1D">
        <w:t>I motion K256 av Eva Flyborg m.fl. (fp, s, kd, mp, v) begärs att det inrättas ett regionalt riksdagskontor i Göteborg. Motionärerna framhåller att avståndet mellan väljare och valda måste bli kortare, särskilt för den överväldigande majoritet som bor utanför Stockholm. Om det finns möjlighet att inhämta information om riksdagsarbetet känner människor det lättare att även själva delta i debatten och den politiska beslutsprocessen, utan att vara partipolitiskt anknutna. Därför behöver riksdagen inrätta ett a</w:t>
      </w:r>
      <w:r w:rsidRPr="00141A1D">
        <w:t>ntal regionala riksdagskontor i landet med början i Göteborg. Vid ett sådant kontor kan kammardebatter, frågestunder, interpellationer m.m. hela tiden vara uppkopplade på storbilds-TV. Förslagsvis kan även de lokala riksdagsledamöterna bemanna kontoret enligt ett rullande schema. Kostnaderna för kontoret bör kunna finansieras inom givna budgetramar.</w:t>
      </w:r>
    </w:p>
    <w:p w:rsidR="0080157C" w:rsidRPr="00141A1D" w:rsidRDefault="0080157C">
      <w:pPr>
        <w:pStyle w:val="Rubrik4"/>
        <w:rPr>
          <w:noProof w:val="0"/>
        </w:rPr>
      </w:pPr>
      <w:bookmarkStart w:id="92" w:name="_Toc530476008"/>
      <w:r w:rsidRPr="00141A1D">
        <w:rPr>
          <w:noProof w:val="0"/>
        </w:rPr>
        <w:t>Tidigare behandling</w:t>
      </w:r>
      <w:bookmarkEnd w:id="92"/>
    </w:p>
    <w:p w:rsidR="0080157C" w:rsidRPr="00141A1D" w:rsidRDefault="0080157C">
      <w:r w:rsidRPr="00141A1D">
        <w:t>Hösten 2000 behandlade utskottet en likalydande motion (bet. 2000/01:KU4). Utskottet delade motionärernas uppfattning om det angelägna i att göra i</w:t>
      </w:r>
      <w:r w:rsidRPr="00141A1D">
        <w:t>n</w:t>
      </w:r>
      <w:r w:rsidRPr="00141A1D">
        <w:t>formationen om riksdagsarbetet lättillgänglig framför allt för dem som bor utanför Stockholm. Utskottet var dock inte berett att förorda en sådan lösning som föreslogs i motionen. Närmare till hands låg enligt utskottets mening att bygga på verksamhet som redan finns, som medborgarkontor och bibliotek. I sådana lokaler kan bl.a. informationsmaterial ställas ut genom riksdagens försorg och ges möjligheter att nå riksdagsinformationen genom Internet. Detta är emellertid en fråga för riksdagsförvaltningen. En</w:t>
      </w:r>
      <w:r w:rsidRPr="00141A1D">
        <w:t>ligt utskottets m</w:t>
      </w:r>
      <w:r w:rsidRPr="00141A1D">
        <w:t>e</w:t>
      </w:r>
      <w:r w:rsidRPr="00141A1D">
        <w:t>ning var något särskilt initiativ med anledning av motionen inte nö</w:t>
      </w:r>
      <w:r w:rsidRPr="00141A1D">
        <w:t>d</w:t>
      </w:r>
      <w:r w:rsidRPr="00141A1D">
        <w:t xml:space="preserve">vändigt. </w:t>
      </w:r>
    </w:p>
    <w:p w:rsidR="0080157C" w:rsidRPr="00141A1D" w:rsidRDefault="0080157C">
      <w:pPr>
        <w:pStyle w:val="Rubrik4"/>
        <w:rPr>
          <w:noProof w:val="0"/>
        </w:rPr>
      </w:pPr>
      <w:bookmarkStart w:id="93" w:name="_Toc530476009"/>
      <w:r w:rsidRPr="00141A1D">
        <w:rPr>
          <w:noProof w:val="0"/>
        </w:rPr>
        <w:t>Utskottets ställningstagande</w:t>
      </w:r>
      <w:bookmarkEnd w:id="93"/>
    </w:p>
    <w:p w:rsidR="0080157C" w:rsidRPr="00141A1D" w:rsidRDefault="0080157C">
      <w:r w:rsidRPr="00141A1D">
        <w:t>Utskottet vidhåller sin tidigare bedömning och avstyrker motion K256 (fp, s, kd, mp, v).</w:t>
      </w:r>
    </w:p>
    <w:p w:rsidR="0080157C" w:rsidRPr="00141A1D" w:rsidRDefault="0080157C">
      <w:pPr>
        <w:pStyle w:val="Rubrik2"/>
      </w:pPr>
      <w:bookmarkStart w:id="94" w:name="_Toc530476010"/>
      <w:r w:rsidRPr="00141A1D">
        <w:t>Högvakt vid riksdagen och Sagerska huset</w:t>
      </w:r>
      <w:bookmarkEnd w:id="94"/>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högvakten och ett y</w:t>
      </w:r>
      <w:r w:rsidRPr="00141A1D">
        <w:t>r</w:t>
      </w:r>
      <w:r w:rsidRPr="00141A1D">
        <w:t>kande om säkerheten i riksdagen. När det gäller säkerhetsfrågorna hänvisar utskottet till pågående översyn och till att informationsr</w:t>
      </w:r>
      <w:r w:rsidRPr="00141A1D">
        <w:t>u</w:t>
      </w:r>
      <w:r w:rsidRPr="00141A1D">
        <w:t>tinerna närmast är en fråga för riksdagsdirektören eller riksdagsst</w:t>
      </w:r>
      <w:r w:rsidRPr="00141A1D">
        <w:t>y</w:t>
      </w:r>
      <w:r w:rsidRPr="00141A1D">
        <w:t>relsen. Utskottet anser vidare att den nuvarande lagstiftningen om säkerhetskontroll i riksdagen är väl avvägd.</w:t>
      </w:r>
    </w:p>
    <w:p w:rsidR="0080157C" w:rsidRPr="00141A1D" w:rsidRDefault="0080157C">
      <w:pPr>
        <w:pStyle w:val="Rubrik4"/>
        <w:rPr>
          <w:noProof w:val="0"/>
        </w:rPr>
      </w:pPr>
      <w:bookmarkStart w:id="95" w:name="_Toc530476011"/>
      <w:r w:rsidRPr="00141A1D">
        <w:rPr>
          <w:noProof w:val="0"/>
        </w:rPr>
        <w:t>Motionen</w:t>
      </w:r>
      <w:bookmarkEnd w:id="95"/>
    </w:p>
    <w:p w:rsidR="0080157C" w:rsidRPr="00141A1D" w:rsidRDefault="0080157C">
      <w:r w:rsidRPr="00141A1D">
        <w:t>Magnus Jacobsson (kd) begär i motion K296 att högvaktens bevakningso</w:t>
      </w:r>
      <w:r w:rsidRPr="00141A1D">
        <w:t>m</w:t>
      </w:r>
      <w:r w:rsidRPr="00141A1D">
        <w:t>råde utökas till riksdagshuset och Sagerska palatset (yrkande 1). Härigenom kan säkerheten samtidigt höjas. En ytterligare åtgärd i syfte att höja säkerh</w:t>
      </w:r>
      <w:r w:rsidRPr="00141A1D">
        <w:t>e</w:t>
      </w:r>
      <w:r w:rsidRPr="00141A1D">
        <w:t>ten för riksdagen är att ledamöter och personal med jämna mellanrum får utbildning om riksdagens säkerhetsrutiner. En tredje förbättring som snarast bör göras är enligt motionären att göra det obligatoriskt för besökare på b</w:t>
      </w:r>
      <w:r w:rsidRPr="00141A1D">
        <w:t>e</w:t>
      </w:r>
      <w:r w:rsidRPr="00141A1D">
        <w:t>söksläktaren att gå igenom en metalldetektor, vilket skulle minska hotbilden samtidigt som besökarna i riksdagen inte utsätts för en</w:t>
      </w:r>
      <w:r w:rsidRPr="00141A1D">
        <w:t xml:space="preserve"> onödigt hård kontroll (yrkande 2). </w:t>
      </w:r>
    </w:p>
    <w:p w:rsidR="0080157C" w:rsidRPr="00141A1D" w:rsidRDefault="0080157C">
      <w:pPr>
        <w:pStyle w:val="Rubrik4"/>
        <w:rPr>
          <w:noProof w:val="0"/>
        </w:rPr>
      </w:pPr>
      <w:bookmarkStart w:id="96" w:name="_Toc530476012"/>
      <w:r w:rsidRPr="00141A1D">
        <w:rPr>
          <w:noProof w:val="0"/>
        </w:rPr>
        <w:t>Gällande regler</w:t>
      </w:r>
      <w:bookmarkEnd w:id="96"/>
    </w:p>
    <w:p w:rsidR="0080157C" w:rsidRPr="00141A1D" w:rsidRDefault="0080157C">
      <w:pPr>
        <w:rPr>
          <w:snapToGrid w:val="0"/>
          <w:lang w:eastAsia="sv-SE"/>
        </w:rPr>
      </w:pPr>
      <w:r w:rsidRPr="00141A1D">
        <w:rPr>
          <w:snapToGrid w:val="0"/>
          <w:lang w:eastAsia="sv-SE"/>
        </w:rPr>
        <w:t>Enligt 9 kap. 1 § förordningen (1996:927) med bestämmelser för Försva</w:t>
      </w:r>
      <w:r w:rsidRPr="00141A1D">
        <w:rPr>
          <w:snapToGrid w:val="0"/>
          <w:lang w:eastAsia="sv-SE"/>
        </w:rPr>
        <w:t>r</w:t>
      </w:r>
      <w:r w:rsidRPr="00141A1D">
        <w:rPr>
          <w:snapToGrid w:val="0"/>
          <w:lang w:eastAsia="sv-SE"/>
        </w:rPr>
        <w:t>s</w:t>
      </w:r>
      <w:r w:rsidRPr="00141A1D">
        <w:rPr>
          <w:snapToGrid w:val="0"/>
          <w:lang w:eastAsia="sv-SE"/>
        </w:rPr>
        <w:softHyphen/>
        <w:t>maktens personal skall militär personal svara för vakttjänsten vid statschefens residens. Närmare bestämmelser för högvakten meddelas enligt paragrafen av Försvarsmakten. Försvarsmakten har avtal med Polisen om hur vakttjänsten organiseras i förhå</w:t>
      </w:r>
      <w:r w:rsidRPr="00141A1D">
        <w:rPr>
          <w:snapToGrid w:val="0"/>
          <w:lang w:eastAsia="sv-SE"/>
        </w:rPr>
        <w:t>l</w:t>
      </w:r>
      <w:r w:rsidRPr="00141A1D">
        <w:rPr>
          <w:snapToGrid w:val="0"/>
          <w:lang w:eastAsia="sv-SE"/>
        </w:rPr>
        <w:t>lande till ordningsmakten.</w:t>
      </w:r>
    </w:p>
    <w:p w:rsidR="0080157C" w:rsidRPr="00141A1D" w:rsidRDefault="0080157C">
      <w:r w:rsidRPr="00141A1D">
        <w:t>Enligt 2 kap. 4 § riksdagsordningen är sammanträde med kammaren offen</w:t>
      </w:r>
      <w:r w:rsidRPr="00141A1D">
        <w:t>t</w:t>
      </w:r>
      <w:r w:rsidRPr="00141A1D">
        <w:t>ligt. Enligt 1 § lagen (1988:144) om säkerhetskontroll vid sammanträde med riksdagens kammare och utskott får säkerhetskontroll äga rum i syfte att förebygga att det i riksdagens lokaler förövas brott som innebär en allvarlig fara för någons liv, hälsa eller frihet eller för omfattande förstörelse av ege</w:t>
      </w:r>
      <w:r w:rsidRPr="00141A1D">
        <w:t>n</w:t>
      </w:r>
      <w:r w:rsidRPr="00141A1D">
        <w:t>dom.</w:t>
      </w:r>
    </w:p>
    <w:p w:rsidR="0080157C" w:rsidRPr="00141A1D" w:rsidRDefault="0080157C">
      <w:pPr>
        <w:pStyle w:val="Normaltindrag"/>
      </w:pPr>
      <w:r w:rsidRPr="00141A1D">
        <w:t>Beslut om säkerhetskontroll fattas enligt 2 § av talmannen och skall avse visst tillfälle eller, då det gäller sammanträde med riksdagens kammare eller offentlig del av sammanträde med ett utskott, vi</w:t>
      </w:r>
      <w:r w:rsidRPr="00141A1D">
        <w:t xml:space="preserve">sst sammanträde eller viss tid. </w:t>
      </w:r>
    </w:p>
    <w:p w:rsidR="0080157C" w:rsidRPr="00141A1D" w:rsidRDefault="0080157C">
      <w:pPr>
        <w:pStyle w:val="Normaltindrag"/>
      </w:pPr>
      <w:r w:rsidRPr="00141A1D">
        <w:t>Vid säkerhetskontroll skall enligt 4 § vapen och andra föremål som är ä</w:t>
      </w:r>
      <w:r w:rsidRPr="00141A1D">
        <w:t>g</w:t>
      </w:r>
      <w:r w:rsidRPr="00141A1D">
        <w:t>nade att komma till användning vid brott som avses i 1 § eftersökas. För detta ändamål får kroppsvisitation äga rum. Kroppsvisitation som sker på annat sätt än genom användande av metalldetektor eller liknande anordning får enligt 5 § utföras endast av polisman</w:t>
      </w:r>
    </w:p>
    <w:p w:rsidR="0080157C" w:rsidRPr="00141A1D" w:rsidRDefault="0080157C">
      <w:pPr>
        <w:pStyle w:val="Normaltindrag"/>
      </w:pPr>
      <w:r w:rsidRPr="00141A1D">
        <w:t>I förarbetena till lagen (bet. KU 1987/88:34) framhölls att riksdagen vid upprepade tillfällen uttalat att öppenheten i vårt statsskick utgör en grun</w:t>
      </w:r>
      <w:r w:rsidRPr="00141A1D">
        <w:t>d</w:t>
      </w:r>
      <w:r w:rsidRPr="00141A1D">
        <w:t>läggande förutsättning för vårt demokratiska samhällsystem och att detta förhållande självfallet skall prägla arbetet i riksdagen i dess egenskap av ledande statsorgan. Kontrollåtgärder som syftar till att förebygga brott eller förhindra störningar av allmän ordning och säkerhet kunde innebära mer eller mindre kännbara inskränkningar i lagskyddade fri- och rättigheter. Vid b</w:t>
      </w:r>
      <w:r w:rsidRPr="00141A1D">
        <w:t>e</w:t>
      </w:r>
      <w:r w:rsidRPr="00141A1D">
        <w:t>dömningen av vilka begränsningar som får göras skall särskilt beaktas vikten av vidast möjliga yttrande- och informationsfrihet. Dett</w:t>
      </w:r>
      <w:r w:rsidRPr="00141A1D">
        <w:t>a gäller i hög grad i politiska angelägenheter och därmed också allmänhetens tillträde till sa</w:t>
      </w:r>
      <w:r w:rsidRPr="00141A1D">
        <w:t>m</w:t>
      </w:r>
      <w:r w:rsidRPr="00141A1D">
        <w:t>manträden med politiska församlingar. Det borde dock enligt utskottet införas en möjlighet för riksdagen att i vissa extraordinära situationer kunna besluta säkerhet</w:t>
      </w:r>
      <w:r w:rsidRPr="00141A1D">
        <w:t>s</w:t>
      </w:r>
      <w:r w:rsidRPr="00141A1D">
        <w:t xml:space="preserve">kontroll vid bl.a. sammanträde med riksdagens kammare. </w:t>
      </w:r>
    </w:p>
    <w:p w:rsidR="0080157C" w:rsidRPr="00141A1D" w:rsidRDefault="0080157C">
      <w:r w:rsidRPr="00141A1D">
        <w:t>För närvarande gäller enligt talmannens beslut säkerhetskontroll för tiden den 1 oktober – den 15 december 2001, vilket innebär att besökare till åhörarlä</w:t>
      </w:r>
      <w:r w:rsidRPr="00141A1D">
        <w:t>k</w:t>
      </w:r>
      <w:r w:rsidRPr="00141A1D">
        <w:t>taren under denna tid måste passera genom metalldetektor.</w:t>
      </w:r>
    </w:p>
    <w:p w:rsidR="0080157C" w:rsidRPr="00141A1D" w:rsidRDefault="0080157C">
      <w:pPr>
        <w:pStyle w:val="Rubrik4"/>
        <w:rPr>
          <w:noProof w:val="0"/>
        </w:rPr>
      </w:pPr>
      <w:bookmarkStart w:id="97" w:name="_Toc530476013"/>
      <w:r w:rsidRPr="00141A1D">
        <w:rPr>
          <w:noProof w:val="0"/>
        </w:rPr>
        <w:t>Utskottets ställningstagande</w:t>
      </w:r>
      <w:bookmarkEnd w:id="97"/>
    </w:p>
    <w:p w:rsidR="0080157C" w:rsidRPr="00141A1D" w:rsidRDefault="0080157C">
      <w:r w:rsidRPr="00141A1D">
        <w:t>Utskottet anser inte att det finns tillräckliga skäl för att högvaktens beva</w:t>
      </w:r>
      <w:r w:rsidRPr="00141A1D">
        <w:t>k</w:t>
      </w:r>
      <w:r w:rsidRPr="00141A1D">
        <w:t>ningsområde skall utvidgas till att omfatta Riksdagshuset och Sagerska huset. Motion K296 (kd) yrkande 1 avstyrks följaktligen.</w:t>
      </w:r>
    </w:p>
    <w:p w:rsidR="0080157C" w:rsidRPr="00141A1D" w:rsidRDefault="0080157C">
      <w:pPr>
        <w:pStyle w:val="Normaltindrag"/>
      </w:pPr>
      <w:r w:rsidRPr="00141A1D">
        <w:t>När det gäller frågan om utbildning om riksdagens säkerhetsrutiner vill u</w:t>
      </w:r>
      <w:r w:rsidRPr="00141A1D">
        <w:t>t</w:t>
      </w:r>
      <w:r w:rsidRPr="00141A1D">
        <w:t>skottet hänvisa till att ett inslag om dessa rutiner ingår i den introduktion</w:t>
      </w:r>
      <w:r w:rsidRPr="00141A1D">
        <w:t>s</w:t>
      </w:r>
      <w:r w:rsidRPr="00141A1D">
        <w:t>verksamhet som riktar sig till både tjänstemän och nyvalda ledamöter. Info</w:t>
      </w:r>
      <w:r w:rsidRPr="00141A1D">
        <w:t>r</w:t>
      </w:r>
      <w:r w:rsidRPr="00141A1D">
        <w:t>mation om säkerhetsrutinerna ges vidare till partikanslierna, och utrymning</w:t>
      </w:r>
      <w:r w:rsidRPr="00141A1D">
        <w:t>s</w:t>
      </w:r>
      <w:r w:rsidRPr="00141A1D">
        <w:t>övningar genomförs regelbundet. För närvarande pågår en övergripande öve</w:t>
      </w:r>
      <w:r w:rsidRPr="00141A1D">
        <w:t>r</w:t>
      </w:r>
      <w:r w:rsidRPr="00141A1D">
        <w:t>syn av riksdagens säkerhetsrutiner, och det kan förutsättas att information ges om nya rutiner. Frågan om omfattningen av säkerhetsinformationen är nä</w:t>
      </w:r>
      <w:r w:rsidRPr="00141A1D">
        <w:t>r</w:t>
      </w:r>
      <w:r w:rsidRPr="00141A1D">
        <w:t>mast en fråga för riksdagsdirektören eller riksdagsstyrels</w:t>
      </w:r>
      <w:r w:rsidRPr="00141A1D">
        <w:t>en. Motion K296 (kd) yrkande 2 i denna del avstyrks.</w:t>
      </w:r>
    </w:p>
    <w:p w:rsidR="0080157C" w:rsidRPr="00141A1D" w:rsidRDefault="0080157C">
      <w:pPr>
        <w:pStyle w:val="Normaltindrag"/>
      </w:pPr>
      <w:r w:rsidRPr="00141A1D">
        <w:t>När det gäller frågan om obligatorisk passering genom metalldetektor för besökare på åhörarläktaren anser utskottet att den nuvarande regleringen är väl avvägd mot bakgrund av å ena sidan säkerhetsriskerna i skilda situationer och å andra sidan hänsynen till besökarnas personliga integritet och behovet av öppenhet. Utskottet är inte berett att förorda en längre gående reglering. M</w:t>
      </w:r>
      <w:r w:rsidRPr="00141A1D">
        <w:t>o</w:t>
      </w:r>
      <w:r w:rsidRPr="00141A1D">
        <w:t xml:space="preserve">tion K296 (kd) yrkande 2 avstyrks också i denna del. </w:t>
      </w:r>
    </w:p>
    <w:p w:rsidR="0080157C" w:rsidRPr="00141A1D" w:rsidRDefault="0080157C">
      <w:pPr>
        <w:pStyle w:val="Rubrik2"/>
      </w:pPr>
      <w:bookmarkStart w:id="98" w:name="_Toc530476014"/>
      <w:r w:rsidRPr="00141A1D">
        <w:t>Samordning av riksdagens informations- och dokumentationsverksamhet</w:t>
      </w:r>
      <w:bookmarkEnd w:id="98"/>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att utredningstjänsten, informationsenheten och IT-avdelningen organisatoriskt bör föras till Riksdagsbiblioteket.</w:t>
      </w:r>
    </w:p>
    <w:p w:rsidR="0080157C" w:rsidRPr="00141A1D" w:rsidRDefault="0080157C">
      <w:pPr>
        <w:pStyle w:val="Rubrik4"/>
        <w:rPr>
          <w:noProof w:val="0"/>
        </w:rPr>
      </w:pPr>
      <w:bookmarkStart w:id="99" w:name="_Toc530476015"/>
      <w:r w:rsidRPr="00141A1D">
        <w:rPr>
          <w:noProof w:val="0"/>
        </w:rPr>
        <w:t>Motionen</w:t>
      </w:r>
      <w:bookmarkEnd w:id="99"/>
    </w:p>
    <w:p w:rsidR="0080157C" w:rsidRPr="00141A1D" w:rsidRDefault="0080157C">
      <w:r w:rsidRPr="00141A1D">
        <w:t>I motion K274 av Bertil Persson (m) begärs att riksdagen kraftsamlar sin kunskaps- och dokumentationsverksamhet. För en effektiv service åt rik</w:t>
      </w:r>
      <w:r w:rsidRPr="00141A1D">
        <w:t>s</w:t>
      </w:r>
      <w:r w:rsidRPr="00141A1D">
        <w:t>dagsledamöterna är det enligt motionen angeläget att informationsservice och omvärldsbevakning samordnas och förses med erforderlig serviceverksamhet. Avdelningen för kunskapsförsörjning (Riksdagsbiblioteket) bör därför tillf</w:t>
      </w:r>
      <w:r w:rsidRPr="00141A1D">
        <w:t>ö</w:t>
      </w:r>
      <w:r w:rsidRPr="00141A1D">
        <w:t>ras inte bara utredningstjänsten utan även informationsenheten och IT-avdelningen. Bibliotekets vana vid att arbeta användarorienterat och servic</w:t>
      </w:r>
      <w:r w:rsidRPr="00141A1D">
        <w:t>e</w:t>
      </w:r>
      <w:r w:rsidRPr="00141A1D">
        <w:t>inriktat kan då kombineras med ett effektivt utnyttjande av tillgängliga och nödvändiga resurser.</w:t>
      </w:r>
    </w:p>
    <w:p w:rsidR="0080157C" w:rsidRPr="00141A1D" w:rsidRDefault="0080157C">
      <w:pPr>
        <w:pStyle w:val="Rubrik4"/>
        <w:rPr>
          <w:noProof w:val="0"/>
        </w:rPr>
      </w:pPr>
      <w:bookmarkStart w:id="100" w:name="_Toc530476016"/>
      <w:r w:rsidRPr="00141A1D">
        <w:rPr>
          <w:noProof w:val="0"/>
        </w:rPr>
        <w:t>Tidigare behandling</w:t>
      </w:r>
      <w:bookmarkEnd w:id="100"/>
    </w:p>
    <w:p w:rsidR="0080157C" w:rsidRPr="00141A1D" w:rsidRDefault="0080157C">
      <w:r w:rsidRPr="00141A1D">
        <w:t>Hösten 2000 behandlade utskottet ett motionsyrkande om att dataenheten skulle infogas i Riksdagsbiblioteket med en liknande motivering som i den nu aktuella motionen (bet. 2000/01:KU4). Utskottet framhöll att det ankommer på riksdagsförvaltningens ledning att besluta om förvaltningens organisation. Riksdagsstyrelsen skall pröva om förvaltningens verksamhet bedrivs effektivt och i överensstämmelse med syftet för verksamheten. Något särskilt initiativ med anledning av motionen om dataenhetens organisatoriska</w:t>
      </w:r>
      <w:r w:rsidRPr="00141A1D">
        <w:t xml:space="preserve"> tillhörighet ansågs inte påka</w:t>
      </w:r>
      <w:r w:rsidRPr="00141A1D">
        <w:t>l</w:t>
      </w:r>
      <w:r w:rsidRPr="00141A1D">
        <w:t xml:space="preserve">lat. </w:t>
      </w:r>
    </w:p>
    <w:p w:rsidR="0080157C" w:rsidRPr="00141A1D" w:rsidRDefault="0080157C">
      <w:pPr>
        <w:pStyle w:val="Rubrik4"/>
        <w:rPr>
          <w:noProof w:val="0"/>
        </w:rPr>
      </w:pPr>
      <w:bookmarkStart w:id="101" w:name="_Toc530476017"/>
      <w:r w:rsidRPr="00141A1D">
        <w:rPr>
          <w:noProof w:val="0"/>
        </w:rPr>
        <w:t>Utskottets ställningstagande</w:t>
      </w:r>
      <w:bookmarkEnd w:id="101"/>
    </w:p>
    <w:p w:rsidR="0080157C" w:rsidRPr="00141A1D" w:rsidRDefault="0080157C">
      <w:r w:rsidRPr="00141A1D">
        <w:t>Utskottet vidhåller sitt tidigare ställningstagande att det är en uppgift för riksdagsstyrelsen att pröva om förvaltningen bedrivs effektivt och i överen</w:t>
      </w:r>
      <w:r w:rsidRPr="00141A1D">
        <w:t>s</w:t>
      </w:r>
      <w:r w:rsidRPr="00141A1D">
        <w:t>stämmelse med sitt syfte. Motion K274 (m) avstyrks.</w:t>
      </w:r>
    </w:p>
    <w:p w:rsidR="0080157C" w:rsidRPr="00141A1D" w:rsidRDefault="0080157C">
      <w:pPr>
        <w:pStyle w:val="Rubrik2"/>
      </w:pPr>
      <w:bookmarkStart w:id="102" w:name="_Toc530476018"/>
      <w:r w:rsidRPr="00141A1D">
        <w:t>Skolelevers besök i riksdagen</w:t>
      </w:r>
      <w:bookmarkEnd w:id="102"/>
    </w:p>
    <w:p w:rsidR="0080157C" w:rsidRPr="00141A1D" w:rsidRDefault="0080157C">
      <w:pPr>
        <w:pStyle w:val="Utskottsfrslagikorthet-Rubrik"/>
        <w:rPr>
          <w:noProof w:val="0"/>
        </w:rPr>
      </w:pPr>
      <w:r w:rsidRPr="00141A1D">
        <w:rPr>
          <w:noProof w:val="0"/>
        </w:rPr>
        <w:t>Utskottets förslag i korthet</w:t>
      </w:r>
    </w:p>
    <w:p w:rsidR="0080157C" w:rsidRPr="00141A1D" w:rsidRDefault="0080157C">
      <w:pPr>
        <w:pStyle w:val="Utskottsfrslagikorthet-Text"/>
      </w:pPr>
      <w:r w:rsidRPr="00141A1D">
        <w:t>Utskottet avstyrker ett motionsyrkande om bidrag till skolelevers besök i riksdagen. Utskottet hänvisar till pågående informationsi</w:t>
      </w:r>
      <w:r w:rsidRPr="00141A1D">
        <w:t>n</w:t>
      </w:r>
      <w:r w:rsidRPr="00141A1D">
        <w:t>satser för skolelever och vidhåller ett tidigare ställningstagande att detta närmast är en fråga för riksdagsförvaltningen.</w:t>
      </w:r>
    </w:p>
    <w:p w:rsidR="0080157C" w:rsidRPr="00141A1D" w:rsidRDefault="0080157C">
      <w:pPr>
        <w:pStyle w:val="Rubrik4"/>
        <w:rPr>
          <w:noProof w:val="0"/>
        </w:rPr>
      </w:pPr>
      <w:bookmarkStart w:id="103" w:name="_Toc530476019"/>
      <w:r w:rsidRPr="00141A1D">
        <w:rPr>
          <w:noProof w:val="0"/>
        </w:rPr>
        <w:t>Motionen</w:t>
      </w:r>
      <w:bookmarkEnd w:id="103"/>
    </w:p>
    <w:p w:rsidR="0080157C" w:rsidRPr="00141A1D" w:rsidRDefault="0080157C">
      <w:r w:rsidRPr="00141A1D">
        <w:t>Rolf Gunnarsson (m) begär i motion K202 ett tillkännagivande till riksdag</w:t>
      </w:r>
      <w:r w:rsidRPr="00141A1D">
        <w:t>s</w:t>
      </w:r>
      <w:r w:rsidRPr="00141A1D">
        <w:t>styrelsen om bidrag till skolelevers besök i riksdagen. Alla skolklasser har enligt motionen inte råd med resan till Stockholm. Sveriges riksdag borde kunna betala en viss del av verksamheten.</w:t>
      </w:r>
    </w:p>
    <w:p w:rsidR="0080157C" w:rsidRPr="00141A1D" w:rsidRDefault="0080157C">
      <w:pPr>
        <w:pStyle w:val="Rubrik4"/>
        <w:rPr>
          <w:noProof w:val="0"/>
        </w:rPr>
      </w:pPr>
      <w:bookmarkStart w:id="104" w:name="_Toc530476020"/>
      <w:r w:rsidRPr="00141A1D">
        <w:rPr>
          <w:noProof w:val="0"/>
        </w:rPr>
        <w:t>Tidigare behandling</w:t>
      </w:r>
      <w:bookmarkEnd w:id="104"/>
    </w:p>
    <w:p w:rsidR="0080157C" w:rsidRPr="00141A1D" w:rsidRDefault="0080157C">
      <w:r w:rsidRPr="00141A1D">
        <w:t>Hösten 2000 behandlade utskottet ett snarlikt motionsyrkande (bet. 2000/01:KU4). Utskottet redovisade inslag i riksdagens omfattande inform</w:t>
      </w:r>
      <w:r w:rsidRPr="00141A1D">
        <w:t>a</w:t>
      </w:r>
      <w:r w:rsidRPr="00141A1D">
        <w:t>tionsverksamhet, bl.a. en tävling för gymnasieklasser på avstånd från Stoc</w:t>
      </w:r>
      <w:r w:rsidRPr="00141A1D">
        <w:t>k</w:t>
      </w:r>
      <w:r w:rsidRPr="00141A1D">
        <w:t>holm, vars tre vinster var resa till riksdagen för bl.a. samtal med talmannen och riksdagsledamöter. Enligt utskottets mening var den informationsinsats som tagits upp i bl.a. den ifrågavarande motionen närmast en fråga för rik</w:t>
      </w:r>
      <w:r w:rsidRPr="00141A1D">
        <w:t>s</w:t>
      </w:r>
      <w:r w:rsidRPr="00141A1D">
        <w:t>dagsförvaltningen. Utskottet var inte berett att förorda något initiativ med anle</w:t>
      </w:r>
      <w:r w:rsidRPr="00141A1D">
        <w:t>d</w:t>
      </w:r>
      <w:r w:rsidRPr="00141A1D">
        <w:t>ning av motionen.</w:t>
      </w:r>
    </w:p>
    <w:p w:rsidR="0080157C" w:rsidRPr="00141A1D" w:rsidRDefault="0080157C">
      <w:pPr>
        <w:pStyle w:val="Rubrik4"/>
        <w:rPr>
          <w:noProof w:val="0"/>
        </w:rPr>
      </w:pPr>
      <w:bookmarkStart w:id="105" w:name="_Toc530476021"/>
      <w:r w:rsidRPr="00141A1D">
        <w:rPr>
          <w:noProof w:val="0"/>
        </w:rPr>
        <w:t>Utskottets ställningstagande</w:t>
      </w:r>
      <w:bookmarkEnd w:id="105"/>
    </w:p>
    <w:p w:rsidR="0080157C" w:rsidRPr="00141A1D" w:rsidRDefault="0080157C">
      <w:pPr>
        <w:rPr>
          <w:snapToGrid w:val="0"/>
          <w:lang w:eastAsia="sv-SE"/>
        </w:rPr>
      </w:pPr>
      <w:r w:rsidRPr="00141A1D">
        <w:rPr>
          <w:snapToGrid w:val="0"/>
          <w:lang w:eastAsia="sv-SE"/>
        </w:rPr>
        <w:t>Under det senaste året har riksdagen fortsatt med att i viss utsträckning b</w:t>
      </w:r>
      <w:r w:rsidRPr="00141A1D">
        <w:rPr>
          <w:snapToGrid w:val="0"/>
          <w:lang w:eastAsia="sv-SE"/>
        </w:rPr>
        <w:t>e</w:t>
      </w:r>
      <w:r w:rsidRPr="00141A1D">
        <w:rPr>
          <w:snapToGrid w:val="0"/>
          <w:lang w:eastAsia="sv-SE"/>
        </w:rPr>
        <w:t>kosta resor för skolelevers besök i riksdagen. Inom ramen för projektet Va</w:t>
      </w:r>
      <w:r w:rsidRPr="00141A1D">
        <w:rPr>
          <w:snapToGrid w:val="0"/>
          <w:lang w:eastAsia="sv-SE"/>
        </w:rPr>
        <w:t>r</w:t>
      </w:r>
      <w:r w:rsidRPr="00141A1D">
        <w:rPr>
          <w:snapToGrid w:val="0"/>
          <w:lang w:eastAsia="sv-SE"/>
        </w:rPr>
        <w:t>dagsdemokrati inbjöds skolklasser i Gotlands, Kalmar, Värmlands och Hallands län att tävla om en resa till riksdagen. De tre vinnande klasserna, totalt ca 90 personer inklusive medföljande lärare, besökte riksdagen en hel dag med olika programaktiviteter. Riksdagen bekostade resan till Stockholm och uppehället under dagen. Elevprojektet Ungdomens riksdag innebär att 349 ungdomsdelegater från hela landet kommer att bjudas till riksda</w:t>
      </w:r>
      <w:r w:rsidRPr="00141A1D">
        <w:rPr>
          <w:snapToGrid w:val="0"/>
          <w:lang w:eastAsia="sv-SE"/>
        </w:rPr>
        <w:t>gen, som bekostar resan till Stockholm och uppehället under en dag för dessa elever. Totalt har 139 klasser över hela landet anmält sig till projektet.</w:t>
      </w:r>
    </w:p>
    <w:p w:rsidR="0080157C" w:rsidRPr="00141A1D" w:rsidRDefault="0080157C">
      <w:pPr>
        <w:pStyle w:val="Normaltindrag"/>
      </w:pPr>
      <w:r w:rsidRPr="00141A1D">
        <w:rPr>
          <w:snapToGrid w:val="0"/>
          <w:lang w:eastAsia="sv-SE"/>
        </w:rPr>
        <w:t>Utskottet anser liksom vid frågans behandling förra året att den begärda i</w:t>
      </w:r>
      <w:r w:rsidRPr="00141A1D">
        <w:rPr>
          <w:snapToGrid w:val="0"/>
          <w:lang w:eastAsia="sv-SE"/>
        </w:rPr>
        <w:t>n</w:t>
      </w:r>
      <w:r w:rsidRPr="00141A1D">
        <w:rPr>
          <w:snapToGrid w:val="0"/>
          <w:lang w:eastAsia="sv-SE"/>
        </w:rPr>
        <w:t>formationsinsatsen närmast är en fråga för riksdagsförvaltningen. Motion K202 (m) avstyrks därför.</w:t>
      </w:r>
    </w:p>
    <w:p w:rsidR="0080157C" w:rsidRPr="00141A1D" w:rsidRDefault="0080157C"/>
    <w:p w:rsidR="0080157C" w:rsidRPr="00141A1D" w:rsidRDefault="0080157C">
      <w:pPr>
        <w:sectPr w:rsidR="00000000" w:rsidRPr="00141A1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0157C" w:rsidRPr="00141A1D" w:rsidRDefault="0080157C">
      <w:pPr>
        <w:pStyle w:val="Rubrik1"/>
        <w:rPr>
          <w:noProof w:val="0"/>
        </w:rPr>
      </w:pPr>
      <w:bookmarkStart w:id="106" w:name="_Toc530476022"/>
      <w:r w:rsidRPr="00141A1D">
        <w:rPr>
          <w:noProof w:val="0"/>
        </w:rPr>
        <w:t>Reservationer</w:t>
      </w:r>
      <w:bookmarkEnd w:id="106"/>
    </w:p>
    <w:p w:rsidR="0080157C" w:rsidRPr="00141A1D" w:rsidRDefault="0080157C">
      <w:r w:rsidRPr="00141A1D">
        <w:t>Utskottets förslag till riksdagsbeslut och ställningstaganden har föranlett följande reservationer. I rubriken anges inom parentes vilken punkt i utsko</w:t>
      </w:r>
      <w:r w:rsidRPr="00141A1D">
        <w:t>t</w:t>
      </w:r>
      <w:r w:rsidRPr="00141A1D">
        <w:t>tets förslag till riksdagsbeslut som behandlas i avsnittet.</w:t>
      </w:r>
    </w:p>
    <w:p w:rsidR="0080157C" w:rsidRPr="00141A1D" w:rsidRDefault="0080157C">
      <w:pPr>
        <w:pStyle w:val="Reservationspunkt"/>
        <w:rPr>
          <w:noProof w:val="0"/>
        </w:rPr>
      </w:pPr>
      <w:bookmarkStart w:id="107" w:name="_Toc530476023"/>
      <w:r w:rsidRPr="00141A1D">
        <w:rPr>
          <w:noProof w:val="0"/>
        </w:rPr>
        <w:t>1. Ledamöternas placering i plenisalen (punkt 5)</w:t>
      </w:r>
      <w:bookmarkEnd w:id="107"/>
    </w:p>
    <w:p w:rsidR="0080157C" w:rsidRPr="00141A1D" w:rsidRDefault="0080157C">
      <w:r w:rsidRPr="00141A1D">
        <w:t>av Per Unckel (m), Ingvar Svensson (kd), Inger René (m), Lars Hjertén (m), Björn von der Esch (kd) och Nils Fredrik Aurelius (m).</w:t>
      </w:r>
    </w:p>
    <w:p w:rsidR="0080157C" w:rsidRPr="00141A1D" w:rsidRDefault="0080157C">
      <w:pPr>
        <w:pStyle w:val="R4"/>
      </w:pPr>
      <w:r w:rsidRPr="00141A1D">
        <w:t>Förslag till riksdagsbeslut</w:t>
      </w:r>
    </w:p>
    <w:p w:rsidR="0080157C" w:rsidRPr="00141A1D" w:rsidRDefault="0080157C">
      <w:r w:rsidRPr="00141A1D">
        <w:t>Vi anser att utskottets förslag under punkt 5 borde ha följande lydelse:</w:t>
      </w:r>
    </w:p>
    <w:p w:rsidR="0080157C" w:rsidRPr="00141A1D" w:rsidRDefault="0080157C">
      <w:r w:rsidRPr="00141A1D">
        <w:t>5. Riksdagen beslutar att platsfördelningen i riksdagens plenisal skall ske efter partitillhörighet och inte efter valkrets. Därmed bifaller riksdagen m</w:t>
      </w:r>
      <w:r w:rsidRPr="00141A1D">
        <w:t>o</w:t>
      </w:r>
      <w:r w:rsidRPr="00141A1D">
        <w:t>tion 2001/02:K227.</w:t>
      </w:r>
    </w:p>
    <w:p w:rsidR="0080157C" w:rsidRPr="00141A1D" w:rsidRDefault="0080157C">
      <w:pPr>
        <w:pStyle w:val="R4"/>
      </w:pPr>
      <w:r w:rsidRPr="00141A1D">
        <w:t>Ställningstagande</w:t>
      </w:r>
    </w:p>
    <w:p w:rsidR="0080157C" w:rsidRPr="00141A1D" w:rsidRDefault="0080157C">
      <w:r w:rsidRPr="00141A1D">
        <w:t>I nästan alla demokratier är ledamöterna placerade partivis. Det svenska sättet att ordna placeringen får närmast ses som en historisk kvarleva från den tid riksdagsledamöterna främst uppfattades som företrädare från sina valkretsar. I andra politiskt valda församlingar brukar inte en geografisk indelningsgrund följas. Kommunfullmäktigeledamöter och landstingsledamöter sitter ofta partivis, och samma förhållande råder i Europaparlamentet. Utskottet delar motionärernas bedömning att en platsfördelning i rik</w:t>
      </w:r>
      <w:r w:rsidRPr="00141A1D">
        <w:t>sdagens plenisal efter partitillhörighet skulle skänka debatten större livfullhet och åskådlighet. Pa</w:t>
      </w:r>
      <w:r w:rsidRPr="00141A1D">
        <w:t>r</w:t>
      </w:r>
      <w:r w:rsidRPr="00141A1D">
        <w:t>tiernas uppträdande i voteringar och skillnader i närvaro skulle kunna avläsas snabbt. Enligt utskottet bör således en förändring av ledamöternas placering i plenisalen genomföras inför nästa riksmöte. Motion K227 tillstyrks.</w:t>
      </w:r>
    </w:p>
    <w:p w:rsidR="0080157C" w:rsidRPr="00141A1D" w:rsidRDefault="0080157C">
      <w:pPr>
        <w:pStyle w:val="Reservationspunkt"/>
        <w:rPr>
          <w:noProof w:val="0"/>
        </w:rPr>
      </w:pPr>
      <w:bookmarkStart w:id="108" w:name="_Toc530476024"/>
      <w:r w:rsidRPr="00141A1D">
        <w:rPr>
          <w:noProof w:val="0"/>
        </w:rPr>
        <w:t>2. Europaparlamentarikers deltagande i riksdagsdebatter (punkt 8)</w:t>
      </w:r>
      <w:bookmarkEnd w:id="108"/>
    </w:p>
    <w:p w:rsidR="0080157C" w:rsidRPr="00141A1D" w:rsidRDefault="0080157C">
      <w:r w:rsidRPr="00141A1D">
        <w:t>av Helena Bargholtz (fp).</w:t>
      </w:r>
    </w:p>
    <w:p w:rsidR="0080157C" w:rsidRPr="00141A1D" w:rsidRDefault="0080157C">
      <w:pPr>
        <w:pStyle w:val="R4"/>
      </w:pPr>
      <w:bookmarkStart w:id="109" w:name="Nästa_Reservation"/>
      <w:bookmarkEnd w:id="109"/>
      <w:r w:rsidRPr="00141A1D">
        <w:t>Förslag till riksdagsbeslut</w:t>
      </w:r>
    </w:p>
    <w:p w:rsidR="0080157C" w:rsidRPr="00141A1D" w:rsidRDefault="0080157C">
      <w:r w:rsidRPr="00141A1D">
        <w:t>Jag anser att utskottets förslag under punkt 8 borde ha följande lydelse:</w:t>
      </w:r>
    </w:p>
    <w:p w:rsidR="0080157C" w:rsidRPr="00141A1D" w:rsidRDefault="0080157C">
      <w:r w:rsidRPr="00141A1D">
        <w:t>8. Riksdagen beslutar att de svenska Europaparlamentarikerna skall ges mö</w:t>
      </w:r>
      <w:r w:rsidRPr="00141A1D">
        <w:t>j</w:t>
      </w:r>
      <w:r w:rsidRPr="00141A1D">
        <w:t>lighet att delta i riksdagsdebatter. Därmed bifaller riksdagen motion 2001/02:U301 yrkande 2.</w:t>
      </w:r>
    </w:p>
    <w:p w:rsidR="0080157C" w:rsidRPr="00141A1D" w:rsidRDefault="0080157C">
      <w:pPr>
        <w:pStyle w:val="R4"/>
      </w:pPr>
      <w:r w:rsidRPr="00141A1D">
        <w:t>Ställningstagande</w:t>
      </w:r>
    </w:p>
    <w:p w:rsidR="0080157C" w:rsidRPr="00141A1D" w:rsidRDefault="0080157C">
      <w:r w:rsidRPr="00141A1D">
        <w:t>Enligt utskottets mening är det angeläget att EU-frågorna förs närmare me</w:t>
      </w:r>
      <w:r w:rsidRPr="00141A1D">
        <w:t>d</w:t>
      </w:r>
      <w:r w:rsidRPr="00141A1D">
        <w:t>borgarna och att Europaparlamentarikernas roll blir mer tydlig. Europa-parlamentarikerna bör därför ges möjlighet att delta i särskilda debatter i riksdagen. Erfarenheterna från Nederländerna visar att det finns ett stort i</w:t>
      </w:r>
      <w:r w:rsidRPr="00141A1D">
        <w:t>n</w:t>
      </w:r>
      <w:r w:rsidRPr="00141A1D">
        <w:t>tresse av dessa debatter. Utskottet tillstyrker således motion U301 yrkande 2.</w:t>
      </w:r>
    </w:p>
    <w:p w:rsidR="0080157C" w:rsidRPr="00141A1D" w:rsidRDefault="0080157C">
      <w:pPr>
        <w:pStyle w:val="Reservationspunkt"/>
        <w:rPr>
          <w:noProof w:val="0"/>
        </w:rPr>
      </w:pPr>
      <w:bookmarkStart w:id="110" w:name="_Toc530476025"/>
      <w:r w:rsidRPr="00141A1D">
        <w:rPr>
          <w:noProof w:val="0"/>
        </w:rPr>
        <w:t>3. Budgetprocessen (punkt 10)</w:t>
      </w:r>
      <w:bookmarkEnd w:id="110"/>
    </w:p>
    <w:p w:rsidR="0080157C" w:rsidRPr="00141A1D" w:rsidRDefault="0080157C">
      <w:r w:rsidRPr="00141A1D">
        <w:t>av Kenneth Kvist och Mats Einarsson (båda v).</w:t>
      </w:r>
    </w:p>
    <w:p w:rsidR="0080157C" w:rsidRPr="00141A1D" w:rsidRDefault="0080157C">
      <w:pPr>
        <w:pStyle w:val="R4"/>
      </w:pPr>
      <w:r w:rsidRPr="00141A1D">
        <w:t>Förslag till riksdagsbeslut</w:t>
      </w:r>
    </w:p>
    <w:p w:rsidR="0080157C" w:rsidRPr="00141A1D" w:rsidRDefault="0080157C">
      <w:r w:rsidRPr="00141A1D">
        <w:t>Vi anser att utskottets förslag under punkt 10 borde ha följande lydelse:</w:t>
      </w:r>
    </w:p>
    <w:p w:rsidR="0080157C" w:rsidRPr="00141A1D" w:rsidRDefault="0080157C">
      <w:r w:rsidRPr="00141A1D">
        <w:t>10. Riksdagen beslutar att låta utvärdera budgetprocessen och därefter pröva förslag till förändringar i enlighet med vad som anförs i reservation 3. Dä</w:t>
      </w:r>
      <w:r w:rsidRPr="00141A1D">
        <w:t>r</w:t>
      </w:r>
      <w:r w:rsidRPr="00141A1D">
        <w:t>med bifaller riksdagen motion 2001/02:K332 och delvis motion 2001/02:K277.</w:t>
      </w:r>
    </w:p>
    <w:p w:rsidR="0080157C" w:rsidRPr="00141A1D" w:rsidRDefault="0080157C">
      <w:pPr>
        <w:pStyle w:val="R4"/>
      </w:pPr>
      <w:r w:rsidRPr="00141A1D">
        <w:t>Ställningstagande</w:t>
      </w:r>
    </w:p>
    <w:p w:rsidR="0080157C" w:rsidRPr="00141A1D" w:rsidRDefault="0080157C">
      <w:r w:rsidRPr="00141A1D">
        <w:t>Utskottet delar bedömningen i motion K332 att det nu efter de förändringar i budgetprocessen som beslutades våren 2001 är angeläget att gå vidare med en mer omfattande utvärdering som bl.a. sammanställer resultatet från redan genomförda utredningar. I utvärderingen bör ingå en bedömning av förutsät</w:t>
      </w:r>
      <w:r w:rsidRPr="00141A1D">
        <w:t>t</w:t>
      </w:r>
      <w:r w:rsidRPr="00141A1D">
        <w:t>ningarna för att kunna göra långsiktiga och korrekta utgiftsprognoser liksom utgiftstakens konsekvenser för konjunkturerna och införandet av ett inkoms</w:t>
      </w:r>
      <w:r w:rsidRPr="00141A1D">
        <w:t>t</w:t>
      </w:r>
      <w:r w:rsidRPr="00141A1D">
        <w:t>golv. Andra frågor som bör ingå i utvärderingen är utformningen av sparmålet samt nivån och användningen av budgeteringsmarginalen. Motion K332 tillstyrks följaktligen.</w:t>
      </w:r>
    </w:p>
    <w:p w:rsidR="0080157C" w:rsidRPr="00141A1D" w:rsidRDefault="0080157C">
      <w:pPr>
        <w:pStyle w:val="Reservationspunkt"/>
        <w:rPr>
          <w:noProof w:val="0"/>
        </w:rPr>
      </w:pPr>
      <w:bookmarkStart w:id="111" w:name="_Toc530476026"/>
      <w:r w:rsidRPr="00141A1D">
        <w:rPr>
          <w:noProof w:val="0"/>
        </w:rPr>
        <w:t>4. Utskottsorganisationen (punkt 12)</w:t>
      </w:r>
      <w:bookmarkEnd w:id="111"/>
    </w:p>
    <w:p w:rsidR="0080157C" w:rsidRPr="00141A1D" w:rsidRDefault="0080157C">
      <w:r w:rsidRPr="00141A1D">
        <w:t>av Helena Bargholtz (fp).</w:t>
      </w:r>
    </w:p>
    <w:p w:rsidR="0080157C" w:rsidRPr="00141A1D" w:rsidRDefault="0080157C">
      <w:pPr>
        <w:pStyle w:val="R4"/>
      </w:pPr>
      <w:r w:rsidRPr="00141A1D">
        <w:t>Förslag till riksdagsbeslut</w:t>
      </w:r>
    </w:p>
    <w:p w:rsidR="0080157C" w:rsidRPr="00141A1D" w:rsidRDefault="0080157C">
      <w:r w:rsidRPr="00141A1D">
        <w:t>Jag anser att förslaget under punkt 12 borde ha följande lydelse:</w:t>
      </w:r>
    </w:p>
    <w:p w:rsidR="0080157C" w:rsidRPr="00141A1D" w:rsidRDefault="0080157C">
      <w:r w:rsidRPr="00141A1D">
        <w:t>12. Riksdagen tillkännager för riksdagsstyrelsen som sin mening vad som i reservation 4 anförs om förslag till ändringar i riksdagsordningen i syfte att miljö- och jordbruksutskottet skall ändras till natur- och miljöutskottet. Dä</w:t>
      </w:r>
      <w:r w:rsidRPr="00141A1D">
        <w:t>r</w:t>
      </w:r>
      <w:r w:rsidRPr="00141A1D">
        <w:t>med bifaller riksdagen motion 2001/02:K254 samt avslår motion 2001/02:K298 yrka</w:t>
      </w:r>
      <w:r w:rsidRPr="00141A1D">
        <w:t>n</w:t>
      </w:r>
      <w:r w:rsidRPr="00141A1D">
        <w:t>dena 1 och 2 och 2001/02:K315 yrkande 1.</w:t>
      </w:r>
    </w:p>
    <w:p w:rsidR="0080157C" w:rsidRPr="00141A1D" w:rsidRDefault="0080157C">
      <w:pPr>
        <w:pStyle w:val="R4"/>
      </w:pPr>
      <w:r w:rsidRPr="00141A1D">
        <w:t>Ställningstagande</w:t>
      </w:r>
    </w:p>
    <w:p w:rsidR="0080157C" w:rsidRPr="00141A1D" w:rsidRDefault="0080157C">
      <w:r w:rsidRPr="00141A1D">
        <w:t>Regeringen har med sin skrivning i budgetpropositionen när det gäller sa</w:t>
      </w:r>
      <w:r w:rsidRPr="00141A1D">
        <w:t>m</w:t>
      </w:r>
      <w:r w:rsidRPr="00141A1D">
        <w:t>ordning av miljöpolitiken och ekologisk hållbar utveckling starkt argument</w:t>
      </w:r>
      <w:r w:rsidRPr="00141A1D">
        <w:t>e</w:t>
      </w:r>
      <w:r w:rsidRPr="00141A1D">
        <w:t>rat för att bereda natur- och miljöfrågor fristående från såväl t.ex. bostads- och kulturfrågor som jordbruks- och skolfrågor. Det behövs således en ko</w:t>
      </w:r>
      <w:r w:rsidRPr="00141A1D">
        <w:t>n</w:t>
      </w:r>
      <w:r w:rsidRPr="00141A1D">
        <w:t xml:space="preserve">sumentpolitik för maten, en naturvårdspolitik för den biologiska mångfalden, en kulturpolitik för kulturarvet och en näringspolitik för maten. Mot denna bakgrund är det angeläget att miljö- och jordbruksutskottet ändras till natur- och miljöutskottet och att utskottsorganisationen i </w:t>
      </w:r>
      <w:r w:rsidRPr="00141A1D">
        <w:t>övrigt anpassas till denna förändring. Riksdagen bör uppdra åt riksdagsstyrelsen att lägga fram ett fö</w:t>
      </w:r>
      <w:r w:rsidRPr="00141A1D">
        <w:t>r</w:t>
      </w:r>
      <w:r w:rsidRPr="00141A1D">
        <w:t>slag i detta syfte. Motion K254 tillstyrks följak</w:t>
      </w:r>
      <w:r w:rsidRPr="00141A1D">
        <w:t>t</w:t>
      </w:r>
      <w:r w:rsidRPr="00141A1D">
        <w:t>ligen.</w:t>
      </w:r>
    </w:p>
    <w:p w:rsidR="0080157C" w:rsidRPr="00141A1D" w:rsidRDefault="0080157C">
      <w:pPr>
        <w:pStyle w:val="Reservationspunkt"/>
        <w:rPr>
          <w:noProof w:val="0"/>
        </w:rPr>
      </w:pPr>
      <w:bookmarkStart w:id="112" w:name="_Toc530476027"/>
      <w:r w:rsidRPr="00141A1D">
        <w:rPr>
          <w:noProof w:val="0"/>
        </w:rPr>
        <w:t>5. Försvarsberedningens roll (punkt 13 – motiveringen)</w:t>
      </w:r>
      <w:bookmarkEnd w:id="112"/>
    </w:p>
    <w:p w:rsidR="0080157C" w:rsidRPr="00141A1D" w:rsidRDefault="0080157C">
      <w:r w:rsidRPr="00141A1D">
        <w:t>av Per Unckel, Inger René, Lars Hjertén och Nils Fredrik Aurelius (alla m).</w:t>
      </w:r>
    </w:p>
    <w:p w:rsidR="0080157C" w:rsidRPr="00141A1D" w:rsidRDefault="0080157C">
      <w:pPr>
        <w:pStyle w:val="R4"/>
      </w:pPr>
      <w:r w:rsidRPr="00141A1D">
        <w:t>Ställningstagande</w:t>
      </w:r>
    </w:p>
    <w:p w:rsidR="0080157C" w:rsidRPr="00141A1D" w:rsidRDefault="0080157C">
      <w:r w:rsidRPr="00141A1D">
        <w:t>Vi anser att andra stycket av utskottets ställningstagande under rubriken U</w:t>
      </w:r>
      <w:r w:rsidRPr="00141A1D">
        <w:t>t</w:t>
      </w:r>
      <w:r w:rsidRPr="00141A1D">
        <w:t>skottsorganisationen borde ha följande lydelse:</w:t>
      </w:r>
    </w:p>
    <w:p w:rsidR="0080157C" w:rsidRPr="00141A1D" w:rsidRDefault="0080157C">
      <w:r w:rsidRPr="00141A1D">
        <w:t>När det gäller frågan om Försvarsberedningens betydelse för arbetet i fö</w:t>
      </w:r>
      <w:r w:rsidRPr="00141A1D">
        <w:t>r</w:t>
      </w:r>
      <w:r w:rsidRPr="00141A1D">
        <w:t>svarsutskottet vill utskottet hänvisa till att 7 kap. 2 § regeringsformen för</w:t>
      </w:r>
      <w:r w:rsidRPr="00141A1D">
        <w:t>e</w:t>
      </w:r>
      <w:r w:rsidRPr="00141A1D">
        <w:t>skriver en beredningsskyldighet för regeringen när det gäller regeringsäre</w:t>
      </w:r>
      <w:r w:rsidRPr="00141A1D">
        <w:t>n</w:t>
      </w:r>
      <w:r w:rsidRPr="00141A1D">
        <w:t>den. I grundlagspropositionen (prop. 1973:90) framhölls att det ankommer på regeringen att avgöra hur den utredning bör bedrivas som anses behövlig som grundval för förslagen. Vidare betonades att parlamentariskt sammansatta kommittéer var ett utomordentligt värdefullt inslag vid beredningen av la</w:t>
      </w:r>
      <w:r w:rsidRPr="00141A1D">
        <w:t>g</w:t>
      </w:r>
      <w:r w:rsidRPr="00141A1D">
        <w:t>stiftningsärenden och andra likartade viktigare ärenden.</w:t>
      </w:r>
    </w:p>
    <w:p w:rsidR="0080157C" w:rsidRPr="00141A1D" w:rsidRDefault="0080157C">
      <w:pPr>
        <w:pStyle w:val="Normaltindrag"/>
      </w:pPr>
      <w:r w:rsidRPr="00141A1D">
        <w:t>En</w:t>
      </w:r>
      <w:r w:rsidRPr="00141A1D">
        <w:t>ligt utskottets mening är det angeläget att regeringens förslag bereds på ett sätt som tillgodoser såväl de kvalitativa aspekterna som behovet av en öppen debatt. Från båda dessa utgångspunkter kan beredningar av Försvarsb</w:t>
      </w:r>
      <w:r w:rsidRPr="00141A1D">
        <w:t>e</w:t>
      </w:r>
      <w:r w:rsidRPr="00141A1D">
        <w:t>redningens typ utgöra ett problem eftersom de representerar ett mellanting mellan utredning och regeringsberedning. Utskottet är dock inte berett att nu tillstyrka motion K315 yrkande 2.</w:t>
      </w:r>
    </w:p>
    <w:p w:rsidR="0080157C" w:rsidRPr="00141A1D" w:rsidRDefault="0080157C">
      <w:pPr>
        <w:pStyle w:val="Reservationspunkt"/>
        <w:rPr>
          <w:noProof w:val="0"/>
        </w:rPr>
      </w:pPr>
      <w:bookmarkStart w:id="113" w:name="_Toc530476028"/>
      <w:r w:rsidRPr="00141A1D">
        <w:rPr>
          <w:noProof w:val="0"/>
        </w:rPr>
        <w:t>6. Registrering av ledamöters ekonomiska intressen (punkt 21)</w:t>
      </w:r>
      <w:bookmarkEnd w:id="113"/>
    </w:p>
    <w:p w:rsidR="0080157C" w:rsidRPr="00141A1D" w:rsidRDefault="0080157C">
      <w:r w:rsidRPr="00141A1D">
        <w:t>av Kenneth Kvist (v), Mats Einarsson (v) och Per Lager (mp).</w:t>
      </w:r>
    </w:p>
    <w:p w:rsidR="0080157C" w:rsidRPr="00141A1D" w:rsidRDefault="0080157C">
      <w:pPr>
        <w:pStyle w:val="R4"/>
      </w:pPr>
      <w:r w:rsidRPr="00141A1D">
        <w:t>Förslag till riksdagsbeslut</w:t>
      </w:r>
    </w:p>
    <w:p w:rsidR="0080157C" w:rsidRPr="00141A1D" w:rsidRDefault="0080157C">
      <w:r w:rsidRPr="00141A1D">
        <w:t>Vi anser att utskottets förslag under punkt 21 borde ha följande lydelse:</w:t>
      </w:r>
    </w:p>
    <w:p w:rsidR="0080157C" w:rsidRPr="00141A1D" w:rsidRDefault="0080157C">
      <w:r w:rsidRPr="00141A1D">
        <w:t>21. Riksdagen antar reservanternas i bilaga 3 intagna förslag till lag om än</w:t>
      </w:r>
      <w:r w:rsidRPr="00141A1D">
        <w:t>d</w:t>
      </w:r>
      <w:r w:rsidRPr="00141A1D">
        <w:t>ring i lagen (1996:810) om registrering av riksdagsledamöters åtaganden och ek</w:t>
      </w:r>
      <w:r w:rsidRPr="00141A1D">
        <w:t>o</w:t>
      </w:r>
      <w:r w:rsidRPr="00141A1D">
        <w:t xml:space="preserve">nomiska intressen. Därmed bifaller riksdagen motion 2001/02:K329.  </w:t>
      </w:r>
    </w:p>
    <w:p w:rsidR="0080157C" w:rsidRPr="00141A1D" w:rsidRDefault="0080157C">
      <w:pPr>
        <w:pStyle w:val="R4"/>
      </w:pPr>
      <w:r w:rsidRPr="00141A1D">
        <w:t>Ställningstagande</w:t>
      </w:r>
    </w:p>
    <w:p w:rsidR="0080157C" w:rsidRPr="00141A1D" w:rsidRDefault="0080157C">
      <w:r w:rsidRPr="00141A1D">
        <w:t>Motivet för införandet av lagen om registrering av riksdagsledamöternas åtaganden och ekonomiska intressen var behovet av en större öppenhet kring uppdraget som riksdagsledamot. I förarbetena till lagen framhölls det befog</w:t>
      </w:r>
      <w:r w:rsidRPr="00141A1D">
        <w:t>a</w:t>
      </w:r>
      <w:r w:rsidRPr="00141A1D">
        <w:t>de allmänna intresset av sådan information. Ett sextiotal riksdagsledamöter har valt att inte anmäla sig till registret. Andelen som inte anmält sina förhå</w:t>
      </w:r>
      <w:r w:rsidRPr="00141A1D">
        <w:t>l</w:t>
      </w:r>
      <w:r w:rsidRPr="00141A1D">
        <w:t>landen till registret är därigenom så stort att det kan ifrågasättas om syftet med lagen uppnåtts. Utskottet vill understryka att registret fyller en viktig funktion för förtroendet för riksdagens ledamöter och delar motionärens b</w:t>
      </w:r>
      <w:r w:rsidRPr="00141A1D">
        <w:t>e</w:t>
      </w:r>
      <w:r w:rsidRPr="00141A1D">
        <w:t>dömning att det är angeläget att registret görs heltäckande. Det saknas enligt utskottets mening anledning att avvakta den u</w:t>
      </w:r>
      <w:r w:rsidRPr="00141A1D">
        <w:t>tvärdering som aviserats för sex år sedan och ännu inte kommit till stånd. Utskottet föreslår därför att de b</w:t>
      </w:r>
      <w:r w:rsidRPr="00141A1D">
        <w:t>e</w:t>
      </w:r>
      <w:r w:rsidRPr="00141A1D">
        <w:t>stämmelser i lagen som reglerar inslaget av frivillighet up</w:t>
      </w:r>
      <w:r w:rsidRPr="00141A1D">
        <w:t>p</w:t>
      </w:r>
      <w:r w:rsidRPr="00141A1D">
        <w:t>hävs.</w:t>
      </w:r>
    </w:p>
    <w:p w:rsidR="0080157C" w:rsidRPr="00141A1D" w:rsidRDefault="0080157C">
      <w:pPr>
        <w:pStyle w:val="Reservationspunkt"/>
        <w:ind w:left="0" w:firstLine="0"/>
        <w:rPr>
          <w:noProof w:val="0"/>
        </w:rPr>
      </w:pPr>
      <w:bookmarkStart w:id="114" w:name="_Toc530476029"/>
      <w:r w:rsidRPr="00141A1D">
        <w:rPr>
          <w:noProof w:val="0"/>
        </w:rPr>
        <w:t>7. Regionalt riksdagskontor i Göteborg (punkt 22)</w:t>
      </w:r>
      <w:bookmarkEnd w:id="114"/>
      <w:r w:rsidRPr="00141A1D">
        <w:rPr>
          <w:noProof w:val="0"/>
        </w:rPr>
        <w:t xml:space="preserve"> </w:t>
      </w:r>
    </w:p>
    <w:p w:rsidR="0080157C" w:rsidRPr="00141A1D" w:rsidRDefault="0080157C">
      <w:r w:rsidRPr="00141A1D">
        <w:t>av Helena Bargholtz (fp).</w:t>
      </w:r>
    </w:p>
    <w:p w:rsidR="0080157C" w:rsidRPr="00141A1D" w:rsidRDefault="0080157C">
      <w:pPr>
        <w:pStyle w:val="R4"/>
      </w:pPr>
      <w:r w:rsidRPr="00141A1D">
        <w:t>Förslag till riksdagsbeslut</w:t>
      </w:r>
    </w:p>
    <w:p w:rsidR="0080157C" w:rsidRPr="00141A1D" w:rsidRDefault="0080157C">
      <w:r w:rsidRPr="00141A1D">
        <w:t>Jag anser att utskottets förslag under punkt 22 borde ha följande lydelse:</w:t>
      </w:r>
    </w:p>
    <w:p w:rsidR="0080157C" w:rsidRPr="00141A1D" w:rsidRDefault="0080157C">
      <w:r w:rsidRPr="00141A1D">
        <w:t>22. Riksdagen beslutar att inrätta ett riksdagskontor i Göteborg. Därmed bifaller riksdagen motion 2001/02:K256.</w:t>
      </w:r>
    </w:p>
    <w:p w:rsidR="0080157C" w:rsidRPr="00141A1D" w:rsidRDefault="0080157C">
      <w:pPr>
        <w:pStyle w:val="R4"/>
      </w:pPr>
      <w:r w:rsidRPr="00141A1D">
        <w:t>Ställningstagande</w:t>
      </w:r>
    </w:p>
    <w:p w:rsidR="0080157C" w:rsidRPr="00141A1D" w:rsidRDefault="0080157C">
      <w:r w:rsidRPr="00141A1D">
        <w:t>Som framhålls i motion K256 är det angeläget att information om riksdagsa</w:t>
      </w:r>
      <w:r w:rsidRPr="00141A1D">
        <w:t>r</w:t>
      </w:r>
      <w:r w:rsidRPr="00141A1D">
        <w:t>betet är lättillgänglig. Därigenom blir det lättare för människor att själva delta i debatter och i den politiska beslutsprocessen även utan att ha partipolitiska knytningar. Riksdagshuset, Riksdagens informationscentrum och Riksdag</w:t>
      </w:r>
      <w:r w:rsidRPr="00141A1D">
        <w:t>s</w:t>
      </w:r>
      <w:r w:rsidRPr="00141A1D">
        <w:t>biblioteket ligger alla i Stockholm. Det behövs enligt utskottets mening reg</w:t>
      </w:r>
      <w:r w:rsidRPr="00141A1D">
        <w:t>i</w:t>
      </w:r>
      <w:r w:rsidRPr="00141A1D">
        <w:t>onala riksdagskontor i landet. Det första bör inrättas i Göteborg. Vid ett s</w:t>
      </w:r>
      <w:r w:rsidRPr="00141A1D">
        <w:t>å</w:t>
      </w:r>
      <w:r w:rsidRPr="00141A1D">
        <w:t>dant kontor bör kammardebatter, frågestunder, interpellationer m.m. visas på storbilds-TV. Där bör finnas personal som kan b</w:t>
      </w:r>
      <w:r w:rsidRPr="00141A1D">
        <w:t>esvara frågor och assistera vid sökningar i Rixlex o.d. Vidare bör riksdagsledamöter  kunna bemanna kontoret enligt ett rullande schema.</w:t>
      </w:r>
    </w:p>
    <w:p w:rsidR="0080157C" w:rsidRPr="00141A1D" w:rsidRDefault="0080157C">
      <w:pPr>
        <w:pStyle w:val="Normaltindrag"/>
      </w:pPr>
      <w:r w:rsidRPr="00141A1D">
        <w:t>Regionala riksdagskontor kommer att förstärka riksdagens möjligheter att nå ut med väsentlig samhällsinformation och dessutom inte minst ge männ</w:t>
      </w:r>
      <w:r w:rsidRPr="00141A1D">
        <w:t>i</w:t>
      </w:r>
      <w:r w:rsidRPr="00141A1D">
        <w:t>skor ökat tillträde till politikens och beslutsfattandets värld. Utskottet anser således att riksdagen nu bör besluta att inrätta ett regionalt riksdagskontor i Göteborg. Motion K256 tillstyrks följaktligen.</w:t>
      </w:r>
    </w:p>
    <w:p w:rsidR="0080157C" w:rsidRPr="00141A1D" w:rsidRDefault="0080157C"/>
    <w:p w:rsidR="0080157C" w:rsidRPr="00141A1D" w:rsidRDefault="0080157C">
      <w:pPr>
        <w:pStyle w:val="Rubrik1"/>
        <w:rPr>
          <w:noProof w:val="0"/>
        </w:rPr>
        <w:sectPr w:rsidR="00000000" w:rsidRPr="00141A1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0157C" w:rsidRPr="00141A1D" w:rsidRDefault="0080157C">
      <w:pPr>
        <w:pStyle w:val="Rubrik1"/>
        <w:rPr>
          <w:noProof w:val="0"/>
        </w:rPr>
      </w:pPr>
      <w:bookmarkStart w:id="115" w:name="_Toc530476030"/>
      <w:r w:rsidRPr="00141A1D">
        <w:rPr>
          <w:noProof w:val="0"/>
        </w:rPr>
        <w:t>Särskilt yttrande</w:t>
      </w:r>
      <w:bookmarkEnd w:id="115"/>
    </w:p>
    <w:p w:rsidR="0080157C" w:rsidRPr="00141A1D" w:rsidRDefault="0080157C">
      <w:r w:rsidRPr="00141A1D">
        <w:t>Utskottets beredning av ärendet har föranlett följande särskilda yttrande. I rubriken anges inom parentes vilken punkt i utskottets förslag till riksdagsb</w:t>
      </w:r>
      <w:r w:rsidRPr="00141A1D">
        <w:t>e</w:t>
      </w:r>
      <w:r w:rsidRPr="00141A1D">
        <w:t>slut som behandlas i avsnittet.</w:t>
      </w:r>
    </w:p>
    <w:p w:rsidR="0080157C" w:rsidRPr="00141A1D" w:rsidRDefault="0080157C">
      <w:pPr>
        <w:pStyle w:val="Rubrik3"/>
        <w:rPr>
          <w:noProof w:val="0"/>
        </w:rPr>
      </w:pPr>
      <w:bookmarkStart w:id="116" w:name="_Toc530476031"/>
      <w:r w:rsidRPr="00141A1D">
        <w:rPr>
          <w:noProof w:val="0"/>
        </w:rPr>
        <w:t>Budgetprocessen (punkt 10)</w:t>
      </w:r>
      <w:bookmarkEnd w:id="116"/>
    </w:p>
    <w:p w:rsidR="0080157C" w:rsidRPr="00141A1D" w:rsidRDefault="0080157C">
      <w:r w:rsidRPr="00141A1D">
        <w:t>Ingvar Svensson och Björn von der Esch (båda kd) anser:</w:t>
      </w:r>
    </w:p>
    <w:p w:rsidR="0080157C" w:rsidRPr="00141A1D" w:rsidRDefault="0080157C">
      <w:r w:rsidRPr="00141A1D">
        <w:t>Tanken med rambudgetmodellen var att det andra steget i riksdagens budge</w:t>
      </w:r>
      <w:r w:rsidRPr="00141A1D">
        <w:t>t</w:t>
      </w:r>
      <w:r w:rsidRPr="00141A1D">
        <w:t>process skulle vara fyllt av flexibilitet och vitalitet. I stället innebär systemet låsning och rigiditet. De goda föresatserna räckte inte.</w:t>
      </w:r>
    </w:p>
    <w:p w:rsidR="0080157C" w:rsidRPr="00141A1D" w:rsidRDefault="0080157C">
      <w:pPr>
        <w:pStyle w:val="Normaltindrag"/>
      </w:pPr>
      <w:r w:rsidRPr="00141A1D">
        <w:t>Det förhållandet att både anslag och anslagsvillkor för ett helt utgiftsomr</w:t>
      </w:r>
      <w:r w:rsidRPr="00141A1D">
        <w:t>å</w:t>
      </w:r>
      <w:r w:rsidRPr="00141A1D">
        <w:t>de skall beslutas i ett klubbslag innebär en fördel för en regering och särskilt en minoritetsregering. Systemet minskar dock riksdagens makt och innebär en nedgradering av det andra steget i budgetprocessen.</w:t>
      </w:r>
    </w:p>
    <w:p w:rsidR="0080157C" w:rsidRPr="00141A1D" w:rsidRDefault="0080157C">
      <w:pPr>
        <w:pStyle w:val="Normaltindrag"/>
      </w:pPr>
      <w:r w:rsidRPr="00141A1D">
        <w:t>Varje oppositionsparti vill i budgetbesluten visa upp sina helhetsbilder. Men skulle man i någon fråga faktiskt kunna hitta en majoritet för en viss justering så är enda möjligheten att i alla andra frågor ställa upp bakom r</w:t>
      </w:r>
      <w:r w:rsidRPr="00141A1D">
        <w:t>e</w:t>
      </w:r>
      <w:r w:rsidRPr="00141A1D">
        <w:t>geringsförslaget. Systemet innebär att andra steget i budgetprocessen framstår som relativt meningslöst.</w:t>
      </w:r>
    </w:p>
    <w:p w:rsidR="0080157C" w:rsidRPr="00141A1D" w:rsidRDefault="0080157C">
      <w:pPr>
        <w:pStyle w:val="Normaltindrag"/>
      </w:pPr>
      <w:r w:rsidRPr="00141A1D">
        <w:t>Det bör finnas möjligheter att hitta en lösning för att åstadkomma en mer relevant och flexibel möjlighet att göra justeringar inom ett utgiftsområdes ram. Vi utgår från att frågan kommer upp under det kommande utvärdering</w:t>
      </w:r>
      <w:r w:rsidRPr="00141A1D">
        <w:t>s</w:t>
      </w:r>
      <w:r w:rsidRPr="00141A1D">
        <w:t>arbetet.</w:t>
      </w:r>
    </w:p>
    <w:p w:rsidR="0080157C" w:rsidRPr="00141A1D" w:rsidRDefault="0080157C"/>
    <w:p w:rsidR="0080157C" w:rsidRPr="00141A1D" w:rsidRDefault="0080157C">
      <w:pPr>
        <w:sectPr w:rsidR="00000000" w:rsidRPr="00141A1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0157C" w:rsidRPr="00141A1D" w:rsidRDefault="0080157C">
      <w:pPr>
        <w:pStyle w:val="Bilaga"/>
      </w:pPr>
      <w:bookmarkStart w:id="117" w:name="_Toc530476032"/>
      <w:r w:rsidRPr="00141A1D">
        <w:t>Bilaga 1</w:t>
      </w:r>
    </w:p>
    <w:p w:rsidR="0080157C" w:rsidRPr="00141A1D" w:rsidRDefault="0080157C">
      <w:pPr>
        <w:pStyle w:val="Rubrik1"/>
        <w:rPr>
          <w:noProof w:val="0"/>
        </w:rPr>
      </w:pPr>
      <w:r w:rsidRPr="00141A1D">
        <w:rPr>
          <w:noProof w:val="0"/>
        </w:rPr>
        <w:t>Förteckning över behandlade förslag</w:t>
      </w:r>
      <w:bookmarkEnd w:id="117"/>
    </w:p>
    <w:p w:rsidR="0080157C" w:rsidRPr="00141A1D" w:rsidRDefault="0080157C">
      <w:pPr>
        <w:pStyle w:val="Rubrik2"/>
        <w:spacing w:before="0"/>
      </w:pPr>
      <w:bookmarkStart w:id="118" w:name="_Toc530476033"/>
      <w:r w:rsidRPr="00141A1D">
        <w:t>Riksdagsstyrelsens förslag</w:t>
      </w:r>
      <w:bookmarkEnd w:id="118"/>
    </w:p>
    <w:p w:rsidR="0080157C" w:rsidRPr="00141A1D" w:rsidRDefault="0080157C">
      <w:r w:rsidRPr="00141A1D">
        <w:t>I riksdagsstyrelsens förslag 2001/02:RS1 föreslås att riksdagen antar förslag till</w:t>
      </w:r>
    </w:p>
    <w:p w:rsidR="0080157C" w:rsidRPr="00141A1D" w:rsidRDefault="0080157C">
      <w:pPr>
        <w:pStyle w:val="Normaltindrag"/>
      </w:pPr>
      <w:r w:rsidRPr="00141A1D">
        <w:t>1. lag om ändring i lagen (1994:1065) om ekonomiska villkor för riksd</w:t>
      </w:r>
      <w:r w:rsidRPr="00141A1D">
        <w:t>a</w:t>
      </w:r>
      <w:r w:rsidRPr="00141A1D">
        <w:t>gens ledamöter,</w:t>
      </w:r>
    </w:p>
    <w:p w:rsidR="0080157C" w:rsidRPr="00141A1D" w:rsidRDefault="0080157C">
      <w:pPr>
        <w:pStyle w:val="Normaltindrag"/>
      </w:pPr>
      <w:r w:rsidRPr="00141A1D">
        <w:t>2. lag om ändring i lagen (1996:304) om arvode m.m. till Sveriges företr</w:t>
      </w:r>
      <w:r w:rsidRPr="00141A1D">
        <w:t>ä</w:t>
      </w:r>
      <w:r w:rsidRPr="00141A1D">
        <w:t>dare i Europaparlamentet.</w:t>
      </w:r>
    </w:p>
    <w:p w:rsidR="0080157C" w:rsidRPr="00141A1D" w:rsidRDefault="0080157C">
      <w:pPr>
        <w:pStyle w:val="Rubrik2"/>
      </w:pPr>
      <w:bookmarkStart w:id="119" w:name="_Toc530476034"/>
      <w:r w:rsidRPr="00141A1D">
        <w:t>Motioner från allmänna motionstiden</w:t>
      </w:r>
      <w:bookmarkEnd w:id="119"/>
    </w:p>
    <w:p w:rsidR="0080157C" w:rsidRPr="00141A1D" w:rsidRDefault="0080157C">
      <w:r w:rsidRPr="00141A1D">
        <w:t>2001/02:K202 av Rolf Gunnarsson (m) vari föreslås att riksdagen fattar fö</w:t>
      </w:r>
      <w:r w:rsidRPr="00141A1D">
        <w:t>l</w:t>
      </w:r>
      <w:r w:rsidRPr="00141A1D">
        <w:t>jande beslut.</w:t>
      </w:r>
    </w:p>
    <w:p w:rsidR="0080157C" w:rsidRPr="00141A1D" w:rsidRDefault="0080157C">
      <w:pPr>
        <w:pStyle w:val="Normaltindrag"/>
      </w:pPr>
      <w:r w:rsidRPr="00141A1D">
        <w:t>Riksdagen tillkännager för riksdagsstyrelsen som sin mening vad i moti</w:t>
      </w:r>
      <w:r w:rsidRPr="00141A1D">
        <w:t>o</w:t>
      </w:r>
      <w:r w:rsidRPr="00141A1D">
        <w:t>nen anförs om bidrag till skolelevers besök i riksdagen.</w:t>
      </w:r>
    </w:p>
    <w:p w:rsidR="0080157C" w:rsidRPr="00141A1D" w:rsidRDefault="0080157C">
      <w:r w:rsidRPr="00141A1D">
        <w:t>2001/02:K209 av Rolf Gunnarsson (m) vari föreslås att riksdagen fattar fö</w:t>
      </w:r>
      <w:r w:rsidRPr="00141A1D">
        <w:t>l</w:t>
      </w:r>
      <w:r w:rsidRPr="00141A1D">
        <w:t>jande b</w:t>
      </w:r>
      <w:r w:rsidRPr="00141A1D">
        <w:t>e</w:t>
      </w:r>
      <w:r w:rsidRPr="00141A1D">
        <w:t>slut:</w:t>
      </w:r>
    </w:p>
    <w:p w:rsidR="0080157C" w:rsidRPr="00141A1D" w:rsidRDefault="0080157C">
      <w:pPr>
        <w:pStyle w:val="Normaltindrag"/>
      </w:pPr>
      <w:r w:rsidRPr="00141A1D">
        <w:t>Riksdagen beslutar att förtroendeuppdraget att sitta i riksdagsstyrelsen inte skall ge extra arvode.</w:t>
      </w:r>
    </w:p>
    <w:p w:rsidR="0080157C" w:rsidRPr="00141A1D" w:rsidRDefault="0080157C">
      <w:r w:rsidRPr="00141A1D">
        <w:t>2001/02:K211 av Rolf Gunnarsson (m) vari föreslås att riksdagen fattar fö</w:t>
      </w:r>
      <w:r w:rsidRPr="00141A1D">
        <w:t>l</w:t>
      </w:r>
      <w:r w:rsidRPr="00141A1D">
        <w:t>jande b</w:t>
      </w:r>
      <w:r w:rsidRPr="00141A1D">
        <w:t>e</w:t>
      </w:r>
      <w:r w:rsidRPr="00141A1D">
        <w:t>slut:</w:t>
      </w:r>
    </w:p>
    <w:p w:rsidR="0080157C" w:rsidRPr="00141A1D" w:rsidRDefault="0080157C">
      <w:pPr>
        <w:pStyle w:val="Normaltindrag"/>
      </w:pPr>
      <w:r w:rsidRPr="00141A1D">
        <w:t>Riksdagen uppdrar åt riksdagsstyrelsen att lägga fram förslag till ändringar i riksdagens arbetsår.</w:t>
      </w:r>
    </w:p>
    <w:p w:rsidR="0080157C" w:rsidRPr="00141A1D" w:rsidRDefault="0080157C">
      <w:r w:rsidRPr="00141A1D">
        <w:t>2001/02:K212 av Rolf Gunnarsson (m) vari föreslås att riksdagen fattar fö</w:t>
      </w:r>
      <w:r w:rsidRPr="00141A1D">
        <w:t>l</w:t>
      </w:r>
      <w:r w:rsidRPr="00141A1D">
        <w:t>jande b</w:t>
      </w:r>
      <w:r w:rsidRPr="00141A1D">
        <w:t>e</w:t>
      </w:r>
      <w:r w:rsidRPr="00141A1D">
        <w:t>slut:</w:t>
      </w:r>
    </w:p>
    <w:p w:rsidR="0080157C" w:rsidRPr="00141A1D" w:rsidRDefault="0080157C">
      <w:pPr>
        <w:pStyle w:val="Normaltindrag"/>
      </w:pPr>
      <w:r w:rsidRPr="00141A1D">
        <w:t>Riksdagen tillkännager för riksdagsstyrelsen som sin mening vad i moti</w:t>
      </w:r>
      <w:r w:rsidRPr="00141A1D">
        <w:t>o</w:t>
      </w:r>
      <w:r w:rsidRPr="00141A1D">
        <w:t>nen anförs om förändring av debattordning vid riksdagens frågestunder.</w:t>
      </w:r>
    </w:p>
    <w:p w:rsidR="0080157C" w:rsidRPr="00141A1D" w:rsidRDefault="0080157C">
      <w:r w:rsidRPr="00141A1D">
        <w:t>2001/02:K214 av Per Bill (m) vari föreslås att riksdagen fattar följande b</w:t>
      </w:r>
      <w:r w:rsidRPr="00141A1D">
        <w:t>e</w:t>
      </w:r>
      <w:r w:rsidRPr="00141A1D">
        <w:t>slut:</w:t>
      </w:r>
    </w:p>
    <w:p w:rsidR="0080157C" w:rsidRPr="00141A1D" w:rsidRDefault="0080157C">
      <w:pPr>
        <w:pStyle w:val="Normaltindrag"/>
      </w:pPr>
      <w:r w:rsidRPr="00141A1D">
        <w:t>1. Riksdagen beslutar att det i samtliga utskott blir tillåtet att använda sig av bärbara datorer under pågående sammanträde.</w:t>
      </w:r>
    </w:p>
    <w:p w:rsidR="0080157C" w:rsidRPr="00141A1D" w:rsidRDefault="0080157C">
      <w:pPr>
        <w:pStyle w:val="Normaltindrag"/>
      </w:pPr>
      <w:r w:rsidRPr="00141A1D">
        <w:t>2. Riksdagen beslutar att det blir tillåtet att använda sig av bärbara datorer i kammaren under pågående förhandlingar.</w:t>
      </w:r>
    </w:p>
    <w:p w:rsidR="0080157C" w:rsidRPr="00141A1D" w:rsidRDefault="0080157C">
      <w:r w:rsidRPr="00141A1D">
        <w:t>2001/02:K225 av Margareta Cederfelt (m) vari föreslås att riksdagen fattar följande b</w:t>
      </w:r>
      <w:r w:rsidRPr="00141A1D">
        <w:t>e</w:t>
      </w:r>
      <w:r w:rsidRPr="00141A1D">
        <w:t>slut:</w:t>
      </w:r>
    </w:p>
    <w:p w:rsidR="0080157C" w:rsidRPr="00141A1D" w:rsidRDefault="0080157C">
      <w:pPr>
        <w:pStyle w:val="Normaltindrag"/>
      </w:pPr>
      <w:r w:rsidRPr="00141A1D">
        <w:t>Riksdagen beslutar att riksdagsstyrelsen utarbetar ett förslag till utökad motionsrätt under riksdagsåret.</w:t>
      </w:r>
    </w:p>
    <w:p w:rsidR="0080157C" w:rsidRPr="00141A1D" w:rsidRDefault="0080157C">
      <w:r w:rsidRPr="00141A1D">
        <w:t>2001/02:K227 av Margareta Cederfelt (m) vari föreslås att riksdagen fattar följande b</w:t>
      </w:r>
      <w:r w:rsidRPr="00141A1D">
        <w:t>e</w:t>
      </w:r>
      <w:r w:rsidRPr="00141A1D">
        <w:t>slut:</w:t>
      </w:r>
    </w:p>
    <w:p w:rsidR="0080157C" w:rsidRPr="00141A1D" w:rsidRDefault="0080157C">
      <w:pPr>
        <w:pStyle w:val="Normaltindrag"/>
      </w:pPr>
      <w:r w:rsidRPr="00141A1D">
        <w:t>Riksdagen beslutar att stolarna i riksdagens kammare skall fördelas efter partitillhörighet.</w:t>
      </w:r>
    </w:p>
    <w:p w:rsidR="0080157C" w:rsidRPr="00141A1D" w:rsidRDefault="0080157C">
      <w:r w:rsidRPr="00141A1D">
        <w:t>2001/02:K231 av Per Bill (m) vari föreslås att riksdagen fattar följande b</w:t>
      </w:r>
      <w:r w:rsidRPr="00141A1D">
        <w:t>e</w:t>
      </w:r>
      <w:r w:rsidRPr="00141A1D">
        <w:t>slut:</w:t>
      </w:r>
    </w:p>
    <w:p w:rsidR="0080157C" w:rsidRPr="00141A1D" w:rsidRDefault="0080157C">
      <w:pPr>
        <w:pStyle w:val="Normaltindrag"/>
      </w:pPr>
      <w:r w:rsidRPr="00141A1D">
        <w:t>1. Riksdagen beslutar att uppdra åt riksdagsstyrelsen att skriva nya riktli</w:t>
      </w:r>
      <w:r w:rsidRPr="00141A1D">
        <w:t>n</w:t>
      </w:r>
      <w:r w:rsidRPr="00141A1D">
        <w:t>jer för användning av Internet och elektronisk post (e-post) vid datorer a</w:t>
      </w:r>
      <w:r w:rsidRPr="00141A1D">
        <w:t>n</w:t>
      </w:r>
      <w:r w:rsidRPr="00141A1D">
        <w:t>slutna till riksdagsförvaltningens nätverk.</w:t>
      </w:r>
    </w:p>
    <w:p w:rsidR="0080157C" w:rsidRPr="00141A1D" w:rsidRDefault="0080157C">
      <w:pPr>
        <w:pStyle w:val="Normaltindrag"/>
      </w:pPr>
      <w:r w:rsidRPr="00141A1D">
        <w:t>2. Riksdagen beslutar att dessa nya riktlinjer skall utgå från en modern, o</w:t>
      </w:r>
      <w:r w:rsidRPr="00141A1D">
        <w:t>f</w:t>
      </w:r>
      <w:r w:rsidRPr="00141A1D">
        <w:t>fensiv IT-policy som speglar ett förtroende för riksdagens ledamöter och medarbetare och stimulerar till arbete och engagemang.</w:t>
      </w:r>
    </w:p>
    <w:p w:rsidR="0080157C" w:rsidRPr="00141A1D" w:rsidRDefault="0080157C">
      <w:r w:rsidRPr="00141A1D">
        <w:t>2001/02:K252 av Harald Nordlund (fp) vari föreslås att riksdagen fattar fö</w:t>
      </w:r>
      <w:r w:rsidRPr="00141A1D">
        <w:t>l</w:t>
      </w:r>
      <w:r w:rsidRPr="00141A1D">
        <w:t>jande b</w:t>
      </w:r>
      <w:r w:rsidRPr="00141A1D">
        <w:t>e</w:t>
      </w:r>
      <w:r w:rsidRPr="00141A1D">
        <w:t>slut:</w:t>
      </w:r>
    </w:p>
    <w:p w:rsidR="0080157C" w:rsidRPr="00141A1D" w:rsidRDefault="0080157C">
      <w:pPr>
        <w:pStyle w:val="Normaltindrag"/>
      </w:pPr>
      <w:r w:rsidRPr="00141A1D">
        <w:t>Riksdagen beslutar om en ändring av motionstiden under riksdagsåret i enlighet med vad i motionen anförs.</w:t>
      </w:r>
    </w:p>
    <w:p w:rsidR="0080157C" w:rsidRPr="00141A1D" w:rsidRDefault="0080157C">
      <w:r w:rsidRPr="00141A1D">
        <w:t>2001/02:K254 av Harald Nordlund (fp) vari föreslås att riksdagen fattar fö</w:t>
      </w:r>
      <w:r w:rsidRPr="00141A1D">
        <w:t>l</w:t>
      </w:r>
      <w:r w:rsidRPr="00141A1D">
        <w:t>jande b</w:t>
      </w:r>
      <w:r w:rsidRPr="00141A1D">
        <w:t>e</w:t>
      </w:r>
      <w:r w:rsidRPr="00141A1D">
        <w:t>slut:</w:t>
      </w:r>
    </w:p>
    <w:p w:rsidR="0080157C" w:rsidRPr="00141A1D" w:rsidRDefault="0080157C">
      <w:pPr>
        <w:pStyle w:val="Normaltindrag"/>
      </w:pPr>
      <w:r w:rsidRPr="00141A1D">
        <w:t>Riksdagen beslutar om sådana förändringar i riksdagsordningen att miljö- och jordbruksutskottet ändras till natur- och miljöutskottet.</w:t>
      </w:r>
    </w:p>
    <w:p w:rsidR="0080157C" w:rsidRPr="00141A1D" w:rsidRDefault="0080157C">
      <w:r w:rsidRPr="00141A1D">
        <w:t>2001/02:K255 av Cristina Husmark Pehrsson och Lars Björkman (m) vari föreslås att riksdagen fattar följande b</w:t>
      </w:r>
      <w:r w:rsidRPr="00141A1D">
        <w:t>e</w:t>
      </w:r>
      <w:r w:rsidRPr="00141A1D">
        <w:t>slut:</w:t>
      </w:r>
    </w:p>
    <w:p w:rsidR="0080157C" w:rsidRPr="00141A1D" w:rsidRDefault="0080157C">
      <w:pPr>
        <w:pStyle w:val="Normaltindrag"/>
      </w:pPr>
      <w:r w:rsidRPr="00141A1D">
        <w:t>Riksdagen beslutar att tillse att lika regler gäller i riksdagens samtliga u</w:t>
      </w:r>
      <w:r w:rsidRPr="00141A1D">
        <w:t>t</w:t>
      </w:r>
      <w:r w:rsidRPr="00141A1D">
        <w:t>skott vad gäller ersättares tjänstgöring.</w:t>
      </w:r>
    </w:p>
    <w:p w:rsidR="0080157C" w:rsidRPr="00141A1D" w:rsidRDefault="0080157C">
      <w:r w:rsidRPr="00141A1D">
        <w:t>2001/02:K256 av Eva Flyborg m.fl. (fp, s, kd, mp, v) vari föreslås att riksd</w:t>
      </w:r>
      <w:r w:rsidRPr="00141A1D">
        <w:t>a</w:t>
      </w:r>
      <w:r w:rsidRPr="00141A1D">
        <w:t>gen fattar följande b</w:t>
      </w:r>
      <w:r w:rsidRPr="00141A1D">
        <w:t>e</w:t>
      </w:r>
      <w:r w:rsidRPr="00141A1D">
        <w:t>slut:</w:t>
      </w:r>
    </w:p>
    <w:p w:rsidR="0080157C" w:rsidRPr="00141A1D" w:rsidRDefault="0080157C">
      <w:pPr>
        <w:pStyle w:val="Normaltindrag"/>
      </w:pPr>
      <w:r w:rsidRPr="00141A1D">
        <w:t>Riksdagen beslutar inrätta ett regionalt riksdagskontor i Göteborg.</w:t>
      </w:r>
    </w:p>
    <w:p w:rsidR="0080157C" w:rsidRPr="00141A1D" w:rsidRDefault="0080157C">
      <w:r w:rsidRPr="00141A1D">
        <w:t>2001/02:K274 av Bertil Persson (m) vari föreslås att riksdagen fattar följande b</w:t>
      </w:r>
      <w:r w:rsidRPr="00141A1D">
        <w:t>e</w:t>
      </w:r>
      <w:r w:rsidRPr="00141A1D">
        <w:t>slut:</w:t>
      </w:r>
    </w:p>
    <w:p w:rsidR="0080157C" w:rsidRPr="00141A1D" w:rsidRDefault="0080157C">
      <w:pPr>
        <w:pStyle w:val="Normaltindrag"/>
      </w:pPr>
      <w:r w:rsidRPr="00141A1D">
        <w:t>Riksdagen beslutar om att kraftsamla sin kunskaps- och informationsver</w:t>
      </w:r>
      <w:r w:rsidRPr="00141A1D">
        <w:t>k</w:t>
      </w:r>
      <w:r w:rsidRPr="00141A1D">
        <w:t>samhet.</w:t>
      </w:r>
    </w:p>
    <w:p w:rsidR="0080157C" w:rsidRPr="00141A1D" w:rsidRDefault="0080157C">
      <w:r w:rsidRPr="00141A1D">
        <w:t>2001/02:K275 av Bertil Persson (m) vari föreslås att riksdagen fattar följande beslut:</w:t>
      </w:r>
    </w:p>
    <w:p w:rsidR="0080157C" w:rsidRPr="00141A1D" w:rsidRDefault="0080157C">
      <w:pPr>
        <w:pStyle w:val="Normaltindrag"/>
      </w:pPr>
      <w:r w:rsidRPr="00141A1D">
        <w:t>Riksdagen beslutar att motionsrubrikerna skall fastställas av motion</w:t>
      </w:r>
      <w:r w:rsidRPr="00141A1D">
        <w:t>ä</w:t>
      </w:r>
      <w:r w:rsidRPr="00141A1D">
        <w:t>rerna.</w:t>
      </w:r>
    </w:p>
    <w:p w:rsidR="0080157C" w:rsidRPr="00141A1D" w:rsidRDefault="0080157C">
      <w:r w:rsidRPr="00141A1D">
        <w:t>2001/02:K277 av Ingvar Svensson (kd) vari föreslås att riksdagen fattar fö</w:t>
      </w:r>
      <w:r w:rsidRPr="00141A1D">
        <w:t>l</w:t>
      </w:r>
      <w:r w:rsidRPr="00141A1D">
        <w:t>jande b</w:t>
      </w:r>
      <w:r w:rsidRPr="00141A1D">
        <w:t>e</w:t>
      </w:r>
      <w:r w:rsidRPr="00141A1D">
        <w:t>slut:</w:t>
      </w:r>
    </w:p>
    <w:p w:rsidR="0080157C" w:rsidRPr="00141A1D" w:rsidRDefault="0080157C">
      <w:pPr>
        <w:pStyle w:val="Normaltindrag"/>
      </w:pPr>
      <w:r w:rsidRPr="00141A1D">
        <w:t>Riksdagen begär av riksdagsstyrelsen en utredning kring budgetprocessens andra steg med syfte att underlätta justeringar inom beslutad ram enligt vad i motionen anförs.</w:t>
      </w:r>
    </w:p>
    <w:p w:rsidR="0080157C" w:rsidRPr="00141A1D" w:rsidRDefault="0080157C">
      <w:r w:rsidRPr="00141A1D">
        <w:t>2001/02:K296 av Magnus Jacobsson (kd) vari föreslås att riksdagen fattar följande b</w:t>
      </w:r>
      <w:r w:rsidRPr="00141A1D">
        <w:t>e</w:t>
      </w:r>
      <w:r w:rsidRPr="00141A1D">
        <w:t>slut:</w:t>
      </w:r>
    </w:p>
    <w:p w:rsidR="0080157C" w:rsidRPr="00141A1D" w:rsidRDefault="0080157C">
      <w:pPr>
        <w:pStyle w:val="Normaltindrag"/>
      </w:pPr>
      <w:r w:rsidRPr="00141A1D">
        <w:t>1. Riksdagen tillkännager för regeringen som sin mening vad i motionen anförs om utökade bevakningsområden för högvakten.</w:t>
      </w:r>
    </w:p>
    <w:p w:rsidR="0080157C" w:rsidRPr="00141A1D" w:rsidRDefault="0080157C">
      <w:pPr>
        <w:pStyle w:val="Normaltindrag"/>
      </w:pPr>
      <w:r w:rsidRPr="00141A1D">
        <w:t>2. Riksdagen uppdrar åt riksdagsstyrelsen att se över säkerheten i Rik</w:t>
      </w:r>
      <w:r w:rsidRPr="00141A1D">
        <w:t>s</w:t>
      </w:r>
      <w:r w:rsidRPr="00141A1D">
        <w:t>dagshuset.</w:t>
      </w:r>
    </w:p>
    <w:p w:rsidR="0080157C" w:rsidRPr="00141A1D" w:rsidRDefault="0080157C">
      <w:r w:rsidRPr="00141A1D">
        <w:t>2001/02:K298 av Amanda Agestav och Magnus Jacobsson (kd) vari föreslås att riksdagen fattar följande b</w:t>
      </w:r>
      <w:r w:rsidRPr="00141A1D">
        <w:t>e</w:t>
      </w:r>
      <w:r w:rsidRPr="00141A1D">
        <w:t>slut:</w:t>
      </w:r>
    </w:p>
    <w:p w:rsidR="0080157C" w:rsidRPr="00141A1D" w:rsidRDefault="0080157C">
      <w:pPr>
        <w:pStyle w:val="Normaltindrag"/>
      </w:pPr>
      <w:r w:rsidRPr="00141A1D">
        <w:t>1. Riksdagen uppdrar åt riksdagsstyrelsen att genomföra en utvärdering och reformering av utskottsindelningen.</w:t>
      </w:r>
    </w:p>
    <w:p w:rsidR="0080157C" w:rsidRPr="00141A1D" w:rsidRDefault="0080157C">
      <w:pPr>
        <w:pStyle w:val="Normaltindrag"/>
      </w:pPr>
      <w:r w:rsidRPr="00141A1D">
        <w:t>2. Riksdagen beslutar slå samman utrikes- och försvarsutskotten.</w:t>
      </w:r>
    </w:p>
    <w:p w:rsidR="0080157C" w:rsidRPr="00141A1D" w:rsidRDefault="0080157C">
      <w:r w:rsidRPr="00141A1D">
        <w:t>2001/02:K315 av Margareta Viklund (kd) vari föreslås att riksdagen fattar följande b</w:t>
      </w:r>
      <w:r w:rsidRPr="00141A1D">
        <w:t>e</w:t>
      </w:r>
      <w:r w:rsidRPr="00141A1D">
        <w:t>slut:</w:t>
      </w:r>
    </w:p>
    <w:p w:rsidR="0080157C" w:rsidRPr="00141A1D" w:rsidRDefault="0080157C">
      <w:pPr>
        <w:pStyle w:val="Normaltindrag"/>
      </w:pPr>
      <w:r w:rsidRPr="00141A1D">
        <w:t>1. Riksdagen beslutar om att en översyn görs av utskottsindelningen i e</w:t>
      </w:r>
      <w:r w:rsidRPr="00141A1D">
        <w:t>n</w:t>
      </w:r>
      <w:r w:rsidRPr="00141A1D">
        <w:t>lighet med vad i motionen anförs.</w:t>
      </w:r>
    </w:p>
    <w:p w:rsidR="0080157C" w:rsidRPr="00141A1D" w:rsidRDefault="0080157C">
      <w:pPr>
        <w:pStyle w:val="Normaltindrag"/>
      </w:pPr>
      <w:r w:rsidRPr="00141A1D">
        <w:t>2. Riksdagen tillkännager för regeringen som sin mening vad i motionen anförs om en översyn av Försvarsberedningens tillsättning och uppgifter.</w:t>
      </w:r>
    </w:p>
    <w:p w:rsidR="0080157C" w:rsidRPr="00141A1D" w:rsidRDefault="0080157C">
      <w:r w:rsidRPr="00141A1D">
        <w:t>2001/02:K316 av Elizabeth Nyström och Maud Ekendahl (m) vari föreslås att riksdagen fattar följande b</w:t>
      </w:r>
      <w:r w:rsidRPr="00141A1D">
        <w:t>e</w:t>
      </w:r>
      <w:r w:rsidRPr="00141A1D">
        <w:t>slut:</w:t>
      </w:r>
    </w:p>
    <w:p w:rsidR="0080157C" w:rsidRPr="00141A1D" w:rsidRDefault="0080157C">
      <w:pPr>
        <w:pStyle w:val="Normaltindrag"/>
      </w:pPr>
      <w:r w:rsidRPr="00141A1D">
        <w:t>Riksdagen beslutar om att utfrågningar i konstitutionsutskottet skall kunna ske u</w:t>
      </w:r>
      <w:r w:rsidRPr="00141A1D">
        <w:t>n</w:t>
      </w:r>
      <w:r w:rsidRPr="00141A1D">
        <w:t>der ed i enlighet med vad i motionen anförs.</w:t>
      </w:r>
    </w:p>
    <w:p w:rsidR="0080157C" w:rsidRPr="00141A1D" w:rsidRDefault="0080157C">
      <w:r w:rsidRPr="00141A1D">
        <w:t>2001/02:K329 av Bengt Silfverstrand (s) vari föreslås att riksdagen fattar följande beslut:</w:t>
      </w:r>
    </w:p>
    <w:p w:rsidR="0080157C" w:rsidRPr="00141A1D" w:rsidRDefault="0080157C">
      <w:pPr>
        <w:pStyle w:val="Normaltindrag"/>
      </w:pPr>
      <w:r w:rsidRPr="00141A1D">
        <w:t>Riksdagen beslutar att registret över riksdagsledamöternas åtaganden och ekonomiska intressen skall göras obligatoriskt.</w:t>
      </w:r>
    </w:p>
    <w:p w:rsidR="0080157C" w:rsidRPr="00141A1D" w:rsidRDefault="0080157C">
      <w:r w:rsidRPr="00141A1D">
        <w:t>2001/02:K332 av Gudrun Schyman m.fl. (v) vari föreslås att riksdagen fattar följande beslut:</w:t>
      </w:r>
    </w:p>
    <w:p w:rsidR="0080157C" w:rsidRPr="00141A1D" w:rsidRDefault="0080157C">
      <w:pPr>
        <w:pStyle w:val="Normaltindrag"/>
      </w:pPr>
      <w:r w:rsidRPr="00141A1D">
        <w:t>Riksdagen beslutar låta utvärdera budgetprocessen och därefter pröva fö</w:t>
      </w:r>
      <w:r w:rsidRPr="00141A1D">
        <w:t>r</w:t>
      </w:r>
      <w:r w:rsidRPr="00141A1D">
        <w:t>slag till förändringar i enlighet med vad som anförs i motionen.</w:t>
      </w:r>
    </w:p>
    <w:p w:rsidR="0080157C" w:rsidRPr="00141A1D" w:rsidRDefault="0080157C">
      <w:r w:rsidRPr="00141A1D">
        <w:t>2001/02:K343 av Magnus Jacobsson (kd) vari föreslås att riksdagen fattar följande b</w:t>
      </w:r>
      <w:r w:rsidRPr="00141A1D">
        <w:t>e</w:t>
      </w:r>
      <w:r w:rsidRPr="00141A1D">
        <w:t>slut:</w:t>
      </w:r>
    </w:p>
    <w:p w:rsidR="0080157C" w:rsidRPr="00141A1D" w:rsidRDefault="0080157C">
      <w:pPr>
        <w:pStyle w:val="Normaltindrag"/>
      </w:pPr>
      <w:r w:rsidRPr="00141A1D">
        <w:t>Riksdagen beslutar ändra sina arbetsformer i enlighet med vad i motionen anförs.</w:t>
      </w:r>
    </w:p>
    <w:p w:rsidR="0080157C" w:rsidRPr="00141A1D" w:rsidRDefault="0080157C">
      <w:r w:rsidRPr="00141A1D">
        <w:t>2001/02:K363 av Monica Green (s) vari föreslås att riksdagen fattar följande b</w:t>
      </w:r>
      <w:r w:rsidRPr="00141A1D">
        <w:t>e</w:t>
      </w:r>
      <w:r w:rsidRPr="00141A1D">
        <w:t>slut:</w:t>
      </w:r>
    </w:p>
    <w:p w:rsidR="0080157C" w:rsidRPr="00141A1D" w:rsidRDefault="0080157C">
      <w:pPr>
        <w:pStyle w:val="Normaltindrag"/>
      </w:pPr>
      <w:r w:rsidRPr="00141A1D">
        <w:t>Riksdagen beslutar att uppdra åt riksdagsstyrelsen att återkomma till rik</w:t>
      </w:r>
      <w:r w:rsidRPr="00141A1D">
        <w:t>s</w:t>
      </w:r>
      <w:r w:rsidRPr="00141A1D">
        <w:t>dagen med förslag om ändrad tidpunkt för riksdagens öppnande i enlighet med vad i motionen anförs.</w:t>
      </w:r>
    </w:p>
    <w:p w:rsidR="0080157C" w:rsidRPr="00141A1D" w:rsidRDefault="0080157C">
      <w:r w:rsidRPr="00141A1D">
        <w:t>2001/02:K364 av Lars Lilja och Carin Lundberg (s) vari föreslås att riksdagen fattar följande beslut:</w:t>
      </w:r>
    </w:p>
    <w:p w:rsidR="0080157C" w:rsidRPr="00141A1D" w:rsidRDefault="0080157C">
      <w:pPr>
        <w:pStyle w:val="Normaltindrag"/>
      </w:pPr>
      <w:r w:rsidRPr="00141A1D">
        <w:t>Riksdagen tillkännager för riksdagsstyrelsen som sin mening vad i moti</w:t>
      </w:r>
      <w:r w:rsidRPr="00141A1D">
        <w:t>o</w:t>
      </w:r>
      <w:r w:rsidRPr="00141A1D">
        <w:t>nen anförs om förbättrade villkor för ersättare för riksdagsledamöter.</w:t>
      </w:r>
    </w:p>
    <w:p w:rsidR="0080157C" w:rsidRPr="00141A1D" w:rsidRDefault="0080157C">
      <w:r w:rsidRPr="00141A1D">
        <w:t>2001/02:K375 av Eva Flyborg (fp) vari föreslås att riksdagen fattar följande b</w:t>
      </w:r>
      <w:r w:rsidRPr="00141A1D">
        <w:t>e</w:t>
      </w:r>
      <w:r w:rsidRPr="00141A1D">
        <w:t>slut:</w:t>
      </w:r>
    </w:p>
    <w:p w:rsidR="0080157C" w:rsidRPr="00141A1D" w:rsidRDefault="0080157C">
      <w:pPr>
        <w:pStyle w:val="Normaltindrag"/>
      </w:pPr>
      <w:r w:rsidRPr="00141A1D">
        <w:t>Riksdagen beslutar att ge riksdagsstyrelsen i uppdrag att återkomma till riksdagen med förslag till en reformerad motionstid i enlighet med vad som anförs i motionen.</w:t>
      </w:r>
    </w:p>
    <w:p w:rsidR="0080157C" w:rsidRPr="00141A1D" w:rsidRDefault="0080157C">
      <w:r w:rsidRPr="00141A1D">
        <w:t>2001/02:K376 av Tanja Linderborg (v) vari föreslås att riksdagen fattar fö</w:t>
      </w:r>
      <w:r w:rsidRPr="00141A1D">
        <w:t>l</w:t>
      </w:r>
      <w:r w:rsidRPr="00141A1D">
        <w:t>jande b</w:t>
      </w:r>
      <w:r w:rsidRPr="00141A1D">
        <w:t>e</w:t>
      </w:r>
      <w:r w:rsidRPr="00141A1D">
        <w:t>slut:</w:t>
      </w:r>
    </w:p>
    <w:p w:rsidR="0080157C" w:rsidRPr="00141A1D" w:rsidRDefault="0080157C">
      <w:pPr>
        <w:pStyle w:val="Normaltindrag"/>
      </w:pPr>
      <w:r w:rsidRPr="00141A1D">
        <w:t>Riksdagen beslutar att avskaffa rätten till sammanträdesarvode för Riksd</w:t>
      </w:r>
      <w:r w:rsidRPr="00141A1D">
        <w:t>a</w:t>
      </w:r>
      <w:r w:rsidRPr="00141A1D">
        <w:t>gens revisorer.</w:t>
      </w:r>
    </w:p>
    <w:p w:rsidR="0080157C" w:rsidRPr="00141A1D" w:rsidRDefault="0080157C">
      <w:r w:rsidRPr="00141A1D">
        <w:t>2001/02:K379 av Sven-Erik Österberg (s) vari föreslås att riksdagen fattar följande beslut:</w:t>
      </w:r>
    </w:p>
    <w:p w:rsidR="0080157C" w:rsidRPr="00141A1D" w:rsidRDefault="0080157C">
      <w:pPr>
        <w:pStyle w:val="Normaltindrag"/>
      </w:pPr>
      <w:r w:rsidRPr="00141A1D">
        <w:t>Riksdagen tillkännager för regeringen som sin mening om behovet av ökad tillgång av teknisk utrustning för riksdagens ledamöter.</w:t>
      </w:r>
    </w:p>
    <w:p w:rsidR="0080157C" w:rsidRPr="00141A1D" w:rsidRDefault="0080157C">
      <w:r w:rsidRPr="00141A1D">
        <w:t>2001/02:K380 av Bertil Persson (m) vari föreslås att riksdagen fattar följande b</w:t>
      </w:r>
      <w:r w:rsidRPr="00141A1D">
        <w:t>e</w:t>
      </w:r>
      <w:r w:rsidRPr="00141A1D">
        <w:t>slut:</w:t>
      </w:r>
    </w:p>
    <w:p w:rsidR="0080157C" w:rsidRPr="00141A1D" w:rsidRDefault="0080157C">
      <w:pPr>
        <w:pStyle w:val="Normaltindrag"/>
      </w:pPr>
      <w:r w:rsidRPr="00141A1D">
        <w:t>Riksdagen beslutar om registrering av lobbyister verksamma inom riksd</w:t>
      </w:r>
      <w:r w:rsidRPr="00141A1D">
        <w:t>a</w:t>
      </w:r>
      <w:r w:rsidRPr="00141A1D">
        <w:t>gen.</w:t>
      </w:r>
    </w:p>
    <w:p w:rsidR="0080157C" w:rsidRPr="00141A1D" w:rsidRDefault="0080157C">
      <w:r w:rsidRPr="00141A1D">
        <w:t>2001/02:K402 av Roy Hansson (m) vari föreslås att riksdagen fattar följande beslut:</w:t>
      </w:r>
    </w:p>
    <w:p w:rsidR="0080157C" w:rsidRPr="00141A1D" w:rsidRDefault="0080157C">
      <w:pPr>
        <w:pStyle w:val="Normaltindrag"/>
      </w:pPr>
      <w:r w:rsidRPr="00141A1D">
        <w:t>1. Riksdagen tillkännager för regeringen som sin mening vad i motionen anförs om statsrådens deltagande i riksdagsarbetet.</w:t>
      </w:r>
    </w:p>
    <w:p w:rsidR="0080157C" w:rsidRPr="00141A1D" w:rsidRDefault="0080157C">
      <w:pPr>
        <w:pStyle w:val="Normaltindrag"/>
      </w:pPr>
      <w:r w:rsidRPr="00141A1D">
        <w:t>2. Riksdagen tillkännager för regeringen som sin mening vad i motionen anförs om riksdagen som den viktigaste politiska arenan.</w:t>
      </w:r>
    </w:p>
    <w:p w:rsidR="0080157C" w:rsidRPr="00141A1D" w:rsidRDefault="0080157C">
      <w:r w:rsidRPr="00141A1D">
        <w:t>2001/02:K423 av Rigmor Stenmark (c) vari föreslås att riksdagen fattar fö</w:t>
      </w:r>
      <w:r w:rsidRPr="00141A1D">
        <w:t>l</w:t>
      </w:r>
      <w:r w:rsidRPr="00141A1D">
        <w:t>jande b</w:t>
      </w:r>
      <w:r w:rsidRPr="00141A1D">
        <w:t>e</w:t>
      </w:r>
      <w:r w:rsidRPr="00141A1D">
        <w:t>slut:</w:t>
      </w:r>
    </w:p>
    <w:p w:rsidR="0080157C" w:rsidRPr="00141A1D" w:rsidRDefault="0080157C">
      <w:pPr>
        <w:pStyle w:val="Normaltindrag"/>
      </w:pPr>
      <w:r w:rsidRPr="00141A1D">
        <w:t>Riksdagen tillkännager för riksdagsstyrelsen som sin mening vad i moti</w:t>
      </w:r>
      <w:r w:rsidRPr="00141A1D">
        <w:t>o</w:t>
      </w:r>
      <w:r w:rsidRPr="00141A1D">
        <w:t>nen anförs om t</w:t>
      </w:r>
      <w:r w:rsidRPr="00141A1D">
        <w:t>e</w:t>
      </w:r>
      <w:r w:rsidRPr="00141A1D">
        <w:t>maår i riksdagsarbetet.</w:t>
      </w:r>
    </w:p>
    <w:p w:rsidR="0080157C" w:rsidRPr="00141A1D" w:rsidRDefault="0080157C">
      <w:r w:rsidRPr="00141A1D">
        <w:t>2001/02:K426 av Alf Svensson m.fl. (kd) vari föreslås att riksdagen fattar följande b</w:t>
      </w:r>
      <w:r w:rsidRPr="00141A1D">
        <w:t>e</w:t>
      </w:r>
      <w:r w:rsidRPr="00141A1D">
        <w:t>slut:</w:t>
      </w:r>
    </w:p>
    <w:p w:rsidR="0080157C" w:rsidRPr="00141A1D" w:rsidRDefault="0080157C">
      <w:pPr>
        <w:pStyle w:val="Normaltindrag"/>
      </w:pPr>
      <w:r w:rsidRPr="00141A1D">
        <w:t>7. Riksdagen tillkännager för regeringen som sin mening vad i motionen anförs om att stärka de nationella parlamentens roll i beslutsprocessen.</w:t>
      </w:r>
    </w:p>
    <w:p w:rsidR="0080157C" w:rsidRPr="00141A1D" w:rsidRDefault="0080157C">
      <w:r w:rsidRPr="00141A1D">
        <w:t>2001/02:U301 av Lars Leijonborg m.fl. (fp) vari föreslås att riksdagen fattar följande b</w:t>
      </w:r>
      <w:r w:rsidRPr="00141A1D">
        <w:t>e</w:t>
      </w:r>
      <w:r w:rsidRPr="00141A1D">
        <w:t>slut:</w:t>
      </w:r>
    </w:p>
    <w:p w:rsidR="0080157C" w:rsidRPr="00141A1D" w:rsidRDefault="0080157C">
      <w:pPr>
        <w:pStyle w:val="Normaltindrag"/>
      </w:pPr>
      <w:r w:rsidRPr="00141A1D">
        <w:t>2. Riksdagen beslutar att de svenska Europaparlamentarikerna ges möjli</w:t>
      </w:r>
      <w:r w:rsidRPr="00141A1D">
        <w:t>g</w:t>
      </w:r>
      <w:r w:rsidRPr="00141A1D">
        <w:t xml:space="preserve">het att delta i särskilda debatter i Sveriges riksdag. </w:t>
      </w:r>
    </w:p>
    <w:p w:rsidR="0080157C" w:rsidRPr="00141A1D" w:rsidRDefault="0080157C">
      <w:r w:rsidRPr="00141A1D">
        <w:t>2001/02:U347 av Ana Maria Narti m.fl. (fp) vari föreslås att riksdagen fattar följande beslut:</w:t>
      </w:r>
    </w:p>
    <w:p w:rsidR="0080157C" w:rsidRPr="00141A1D" w:rsidRDefault="0080157C">
      <w:pPr>
        <w:pStyle w:val="Normaltindrag"/>
      </w:pPr>
      <w:r w:rsidRPr="00141A1D">
        <w:t>4. Riksdagen beslutar om upprepade ideologiska debatter i riksdagen i e</w:t>
      </w:r>
      <w:r w:rsidRPr="00141A1D">
        <w:t>n</w:t>
      </w:r>
      <w:r w:rsidRPr="00141A1D">
        <w:t>lighet med vad i motionen anförs.</w:t>
      </w:r>
    </w:p>
    <w:p w:rsidR="0080157C" w:rsidRPr="00141A1D" w:rsidRDefault="0080157C">
      <w:r w:rsidRPr="00141A1D">
        <w:t>2001/02:Ub533 av Per-Richard Molén m.fl. (m) vari föreslås att riksdagen fattar fö</w:t>
      </w:r>
      <w:r w:rsidRPr="00141A1D">
        <w:t>l</w:t>
      </w:r>
      <w:r w:rsidRPr="00141A1D">
        <w:t>jande beslut:</w:t>
      </w:r>
    </w:p>
    <w:p w:rsidR="0080157C" w:rsidRPr="00141A1D" w:rsidRDefault="0080157C">
      <w:pPr>
        <w:pStyle w:val="Normaltindrag"/>
      </w:pPr>
      <w:r w:rsidRPr="00141A1D">
        <w:t>6. Riksdagen tillkännager för riksdagsstyrelsen som sin mening vad i m</w:t>
      </w:r>
      <w:r w:rsidRPr="00141A1D">
        <w:t>o</w:t>
      </w:r>
      <w:r w:rsidRPr="00141A1D">
        <w:t>tionen anförs om riksdagens IT-policy.</w:t>
      </w:r>
    </w:p>
    <w:p w:rsidR="0080157C" w:rsidRPr="00141A1D" w:rsidRDefault="0080157C"/>
    <w:p w:rsidR="0080157C" w:rsidRPr="00141A1D" w:rsidRDefault="0080157C"/>
    <w:p w:rsidR="0080157C" w:rsidRPr="00141A1D" w:rsidRDefault="0080157C"/>
    <w:p w:rsidR="0080157C" w:rsidRPr="00141A1D" w:rsidRDefault="0080157C">
      <w:pPr>
        <w:sectPr w:rsidR="00000000" w:rsidRPr="00141A1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0157C" w:rsidRPr="00141A1D" w:rsidRDefault="0080157C">
      <w:pPr>
        <w:pStyle w:val="Bilaga"/>
      </w:pPr>
      <w:bookmarkStart w:id="120" w:name="_Toc530476035"/>
      <w:bookmarkStart w:id="121" w:name="Temp"/>
      <w:bookmarkEnd w:id="121"/>
      <w:r w:rsidRPr="00141A1D">
        <w:t>Bilaga 2</w:t>
      </w:r>
    </w:p>
    <w:p w:rsidR="0080157C" w:rsidRPr="00141A1D" w:rsidRDefault="0080157C">
      <w:pPr>
        <w:pStyle w:val="Rubrik1"/>
        <w:rPr>
          <w:noProof w:val="0"/>
        </w:rPr>
      </w:pPr>
      <w:r w:rsidRPr="00141A1D">
        <w:rPr>
          <w:noProof w:val="0"/>
        </w:rPr>
        <w:t>Riksdagsstyrelsens lagförslag</w:t>
      </w:r>
      <w:bookmarkEnd w:id="120"/>
    </w:p>
    <w:p w:rsidR="0080157C" w:rsidRPr="00141A1D" w:rsidRDefault="0080157C">
      <w:pPr>
        <w:pStyle w:val="Rubrik2"/>
        <w:spacing w:before="0"/>
      </w:pPr>
      <w:bookmarkStart w:id="122" w:name="_Toc530476036"/>
      <w:r w:rsidRPr="00141A1D">
        <w:t>1 Förslag till lag om ändring i lagen (1994:1065) om ekonomiska villkor för riksdagens ledamöter</w:t>
      </w:r>
      <w:bookmarkEnd w:id="122"/>
      <w:r w:rsidRPr="00141A1D">
        <w:t xml:space="preserve"> </w:t>
      </w:r>
    </w:p>
    <w:p w:rsidR="0080157C" w:rsidRPr="00141A1D" w:rsidRDefault="0080157C">
      <w:pPr>
        <w:pStyle w:val="LagtextIndrag"/>
      </w:pPr>
      <w:r w:rsidRPr="00141A1D">
        <w:t xml:space="preserve">Härigenom föreskrivs i fråga om lagen (1994:1065) om ekonomiska villkor för riksdagens ledamöter </w:t>
      </w:r>
    </w:p>
    <w:p w:rsidR="0080157C" w:rsidRPr="00141A1D" w:rsidRDefault="0080157C">
      <w:pPr>
        <w:pStyle w:val="LagtextIndrag"/>
      </w:pPr>
      <w:r w:rsidRPr="00141A1D">
        <w:rPr>
          <w:i/>
        </w:rPr>
        <w:t xml:space="preserve">dels </w:t>
      </w:r>
      <w:r w:rsidRPr="00141A1D">
        <w:t xml:space="preserve">att 9 kap. 6 §, 11 kap. 3 §, 13 kap. 7 och 8 §§ samt 15 kap. 2 § skall ha följande lydelse, </w:t>
      </w:r>
    </w:p>
    <w:p w:rsidR="0080157C" w:rsidRPr="00141A1D" w:rsidRDefault="0080157C">
      <w:pPr>
        <w:pStyle w:val="LagtextIndrag"/>
      </w:pPr>
      <w:r w:rsidRPr="00141A1D">
        <w:rPr>
          <w:i/>
        </w:rPr>
        <w:t xml:space="preserve">dels </w:t>
      </w:r>
      <w:r w:rsidRPr="00141A1D">
        <w:t>att punkt 1 i övergångsbestämmelserna till lagen (1997:1067) om än</w:t>
      </w:r>
      <w:r w:rsidRPr="00141A1D">
        <w:t>d</w:t>
      </w:r>
      <w:r w:rsidRPr="00141A1D">
        <w:t xml:space="preserve">ring i nämnda lag skall ha följande lydelse. </w:t>
      </w:r>
    </w:p>
    <w:p w:rsidR="0080157C" w:rsidRPr="00141A1D" w:rsidRDefault="0080157C">
      <w:pPr>
        <w:pStyle w:val="LagtextIndrag"/>
      </w:pPr>
    </w:p>
    <w:p w:rsidR="0080157C" w:rsidRPr="00141A1D" w:rsidRDefault="0080157C">
      <w:pPr>
        <w:pStyle w:val="LagtextIndrag"/>
      </w:pPr>
    </w:p>
    <w:tbl>
      <w:tblPr>
        <w:tblW w:w="0" w:type="auto"/>
        <w:tblInd w:w="-56" w:type="dxa"/>
        <w:tblLayout w:type="fixed"/>
        <w:tblCellMar>
          <w:left w:w="0" w:type="dxa"/>
          <w:right w:w="0" w:type="dxa"/>
        </w:tblCellMar>
        <w:tblLook w:val="0000" w:firstRow="0" w:lastRow="0" w:firstColumn="0" w:lastColumn="0" w:noHBand="0" w:noVBand="0"/>
      </w:tblPr>
      <w:tblGrid>
        <w:gridCol w:w="56"/>
        <w:gridCol w:w="1"/>
        <w:gridCol w:w="3033"/>
        <w:gridCol w:w="56"/>
        <w:gridCol w:w="3034"/>
        <w:gridCol w:w="56"/>
      </w:tblGrid>
      <w:tr w:rsidR="00000000" w:rsidRPr="00141A1D">
        <w:tblPrEx>
          <w:tblCellMar>
            <w:top w:w="0" w:type="dxa"/>
            <w:left w:w="0" w:type="dxa"/>
            <w:bottom w:w="0" w:type="dxa"/>
            <w:right w:w="0" w:type="dxa"/>
          </w:tblCellMar>
        </w:tblPrEx>
        <w:trPr>
          <w:gridBefore w:val="1"/>
          <w:wBefore w:w="56" w:type="dxa"/>
        </w:trPr>
        <w:tc>
          <w:tcPr>
            <w:tcW w:w="3090" w:type="dxa"/>
            <w:gridSpan w:val="3"/>
          </w:tcPr>
          <w:p w:rsidR="0080157C" w:rsidRPr="00141A1D" w:rsidRDefault="0080157C">
            <w:r w:rsidRPr="00141A1D">
              <w:rPr>
                <w:i/>
              </w:rPr>
              <w:t>Nuvarande lydelse</w:t>
            </w:r>
            <w:r w:rsidRPr="00141A1D">
              <w:t xml:space="preserve"> </w:t>
            </w:r>
          </w:p>
        </w:tc>
        <w:tc>
          <w:tcPr>
            <w:tcW w:w="3090" w:type="dxa"/>
            <w:gridSpan w:val="2"/>
          </w:tcPr>
          <w:p w:rsidR="0080157C" w:rsidRPr="00141A1D" w:rsidRDefault="0080157C">
            <w:r w:rsidRPr="00141A1D">
              <w:rPr>
                <w:i/>
              </w:rPr>
              <w:t>Föreslagen lydelse</w:t>
            </w:r>
          </w:p>
        </w:tc>
      </w:tr>
      <w:tr w:rsidR="00000000" w:rsidRPr="00141A1D">
        <w:tblPrEx>
          <w:tblCellMar>
            <w:top w:w="0" w:type="dxa"/>
            <w:left w:w="0" w:type="dxa"/>
            <w:bottom w:w="0" w:type="dxa"/>
            <w:right w:w="0" w:type="dxa"/>
          </w:tblCellMar>
        </w:tblPrEx>
        <w:trPr>
          <w:gridBefore w:val="1"/>
          <w:wBefore w:w="56" w:type="dxa"/>
        </w:trPr>
        <w:tc>
          <w:tcPr>
            <w:tcW w:w="6180" w:type="dxa"/>
            <w:hMerge w:val="restart"/>
          </w:tcPr>
          <w:p w:rsidR="0080157C" w:rsidRPr="00141A1D" w:rsidRDefault="0080157C">
            <w:pPr>
              <w:jc w:val="center"/>
            </w:pPr>
            <w:r w:rsidRPr="00141A1D">
              <w:rPr>
                <w:b/>
              </w:rPr>
              <w:t>9 kap</w:t>
            </w:r>
            <w:r w:rsidRPr="00141A1D">
              <w:t>.</w:t>
            </w:r>
          </w:p>
        </w:tc>
        <w:tc>
          <w:tcPr>
            <w:gridSpan w:val="4"/>
            <w:hMerge/>
            <w:vAlign w:val="center"/>
          </w:tcPr>
          <w:p w:rsidR="0080157C" w:rsidRPr="00141A1D" w:rsidRDefault="0080157C"/>
        </w:tc>
      </w:tr>
      <w:tr w:rsidR="00000000" w:rsidRPr="00141A1D">
        <w:tblPrEx>
          <w:tblCellMar>
            <w:top w:w="0" w:type="dxa"/>
            <w:left w:w="0" w:type="dxa"/>
            <w:bottom w:w="0" w:type="dxa"/>
            <w:right w:w="0" w:type="dxa"/>
          </w:tblCellMar>
        </w:tblPrEx>
        <w:trPr>
          <w:gridBefore w:val="1"/>
          <w:wBefore w:w="56" w:type="dxa"/>
        </w:trPr>
        <w:tc>
          <w:tcPr>
            <w:tcW w:w="6180" w:type="dxa"/>
            <w:hMerge w:val="restart"/>
          </w:tcPr>
          <w:p w:rsidR="0080157C" w:rsidRPr="00141A1D" w:rsidRDefault="0080157C">
            <w:pPr>
              <w:jc w:val="center"/>
            </w:pPr>
            <w:r w:rsidRPr="00141A1D">
              <w:t>6 §</w:t>
            </w:r>
          </w:p>
        </w:tc>
        <w:tc>
          <w:tcPr>
            <w:gridSpan w:val="4"/>
            <w:hMerge/>
            <w:vAlign w:val="center"/>
          </w:tcPr>
          <w:p w:rsidR="0080157C" w:rsidRPr="00141A1D" w:rsidRDefault="0080157C"/>
        </w:tc>
      </w:tr>
      <w:tr w:rsidR="00000000" w:rsidRPr="00141A1D">
        <w:tblPrEx>
          <w:tblCellMar>
            <w:top w:w="0" w:type="dxa"/>
            <w:left w:w="56" w:type="dxa"/>
            <w:bottom w:w="0" w:type="dxa"/>
            <w:right w:w="56" w:type="dxa"/>
          </w:tblCellMar>
        </w:tblPrEx>
        <w:trPr>
          <w:gridAfter w:val="1"/>
          <w:wAfter w:w="56" w:type="dxa"/>
        </w:trPr>
        <w:tc>
          <w:tcPr>
            <w:tcW w:w="3090" w:type="dxa"/>
            <w:gridSpan w:val="3"/>
          </w:tcPr>
          <w:p w:rsidR="0080157C" w:rsidRPr="00141A1D" w:rsidRDefault="0080157C">
            <w:pPr>
              <w:pStyle w:val="LagtextIndrag"/>
            </w:pPr>
            <w:r w:rsidRPr="00141A1D">
              <w:t xml:space="preserve">Sjukpension skall </w:t>
            </w:r>
            <w:r w:rsidRPr="00141A1D">
              <w:rPr>
                <w:i/>
              </w:rPr>
              <w:t>minskas med s</w:t>
            </w:r>
            <w:r w:rsidRPr="00141A1D">
              <w:rPr>
                <w:i/>
              </w:rPr>
              <w:t>å</w:t>
            </w:r>
            <w:r w:rsidRPr="00141A1D">
              <w:rPr>
                <w:i/>
              </w:rPr>
              <w:t>dan ersättning enligt lagen (1962:381) om allmän försäkring, annan förfat</w:t>
            </w:r>
            <w:r w:rsidRPr="00141A1D">
              <w:rPr>
                <w:i/>
              </w:rPr>
              <w:t>t</w:t>
            </w:r>
            <w:r w:rsidRPr="00141A1D">
              <w:rPr>
                <w:i/>
              </w:rPr>
              <w:t>ning eller kollektivavtal</w:t>
            </w:r>
            <w:r w:rsidRPr="00141A1D">
              <w:t xml:space="preserve"> som avser samma inkomstbortfall. Betalas ej hel sjukpension, minskas avdraget i mo</w:t>
            </w:r>
            <w:r w:rsidRPr="00141A1D">
              <w:t>t</w:t>
            </w:r>
            <w:r w:rsidRPr="00141A1D">
              <w:t xml:space="preserve">svarande mån. </w:t>
            </w:r>
          </w:p>
        </w:tc>
        <w:tc>
          <w:tcPr>
            <w:tcW w:w="3090" w:type="dxa"/>
            <w:gridSpan w:val="2"/>
          </w:tcPr>
          <w:p w:rsidR="0080157C" w:rsidRPr="00141A1D" w:rsidRDefault="0080157C">
            <w:pPr>
              <w:pStyle w:val="LagtextIndrag"/>
            </w:pPr>
            <w:r w:rsidRPr="00141A1D">
              <w:t xml:space="preserve">Sjukpension skall </w:t>
            </w:r>
            <w:r w:rsidRPr="00141A1D">
              <w:rPr>
                <w:i/>
              </w:rPr>
              <w:t xml:space="preserve">på ett underlag för egenpensionsförmåner upp till 7,5 basbelopp enligt lagen (1962:381) om allmän försäkring minskas med sådan ersättning enligt lagen (1976:380) om arbetsskadeförsäkring </w:t>
            </w:r>
            <w:r w:rsidRPr="00141A1D">
              <w:t>som avser samma inkomstbortfall. Betalas ej hel sjukpension, minskas avdraget i mo</w:t>
            </w:r>
            <w:r w:rsidRPr="00141A1D">
              <w:t>t</w:t>
            </w:r>
            <w:r w:rsidRPr="00141A1D">
              <w:t>svara</w:t>
            </w:r>
            <w:r w:rsidRPr="00141A1D">
              <w:t>n</w:t>
            </w:r>
            <w:r w:rsidRPr="00141A1D">
              <w:t>de mån.</w:t>
            </w:r>
          </w:p>
        </w:tc>
      </w:tr>
      <w:tr w:rsidR="00000000" w:rsidRPr="00141A1D">
        <w:tblPrEx>
          <w:tblCellMar>
            <w:top w:w="0" w:type="dxa"/>
            <w:left w:w="0" w:type="dxa"/>
            <w:bottom w:w="0" w:type="dxa"/>
            <w:right w:w="0" w:type="dxa"/>
          </w:tblCellMar>
        </w:tblPrEx>
        <w:trPr>
          <w:gridBefore w:val="1"/>
          <w:wBefore w:w="56" w:type="dxa"/>
        </w:trPr>
        <w:tc>
          <w:tcPr>
            <w:tcW w:w="6180" w:type="dxa"/>
            <w:hMerge w:val="restart"/>
          </w:tcPr>
          <w:p w:rsidR="0080157C" w:rsidRPr="00141A1D" w:rsidRDefault="0080157C">
            <w:r w:rsidRPr="00141A1D">
              <w:br/>
            </w:r>
          </w:p>
        </w:tc>
        <w:tc>
          <w:tcPr>
            <w:gridSpan w:val="4"/>
            <w:hMerge/>
            <w:vAlign w:val="center"/>
          </w:tcPr>
          <w:p w:rsidR="0080157C" w:rsidRPr="00141A1D" w:rsidRDefault="0080157C"/>
        </w:tc>
      </w:tr>
      <w:tr w:rsidR="00000000" w:rsidRPr="00141A1D">
        <w:tblPrEx>
          <w:tblCellMar>
            <w:top w:w="0" w:type="dxa"/>
            <w:left w:w="0" w:type="dxa"/>
            <w:bottom w:w="0" w:type="dxa"/>
            <w:right w:w="0" w:type="dxa"/>
          </w:tblCellMar>
        </w:tblPrEx>
        <w:trPr>
          <w:gridBefore w:val="1"/>
          <w:wBefore w:w="56" w:type="dxa"/>
        </w:trPr>
        <w:tc>
          <w:tcPr>
            <w:tcW w:w="6180" w:type="dxa"/>
            <w:hMerge w:val="restart"/>
          </w:tcPr>
          <w:p w:rsidR="0080157C" w:rsidRPr="00141A1D" w:rsidRDefault="0080157C">
            <w:pPr>
              <w:jc w:val="center"/>
            </w:pPr>
            <w:r w:rsidRPr="00141A1D">
              <w:rPr>
                <w:b/>
                <w:sz w:val="20"/>
              </w:rPr>
              <w:t>11 kap.</w:t>
            </w:r>
          </w:p>
        </w:tc>
        <w:tc>
          <w:tcPr>
            <w:gridSpan w:val="4"/>
            <w:hMerge/>
            <w:vAlign w:val="center"/>
          </w:tcPr>
          <w:p w:rsidR="0080157C" w:rsidRPr="00141A1D" w:rsidRDefault="0080157C"/>
        </w:tc>
      </w:tr>
      <w:tr w:rsidR="00000000" w:rsidRPr="00141A1D">
        <w:tblPrEx>
          <w:tblCellMar>
            <w:top w:w="0" w:type="dxa"/>
            <w:left w:w="0" w:type="dxa"/>
            <w:bottom w:w="0" w:type="dxa"/>
            <w:right w:w="0" w:type="dxa"/>
          </w:tblCellMar>
        </w:tblPrEx>
        <w:trPr>
          <w:gridBefore w:val="1"/>
          <w:wBefore w:w="56" w:type="dxa"/>
        </w:trPr>
        <w:tc>
          <w:tcPr>
            <w:tcW w:w="6180" w:type="dxa"/>
            <w:hMerge w:val="restart"/>
          </w:tcPr>
          <w:p w:rsidR="0080157C" w:rsidRPr="00141A1D" w:rsidRDefault="0080157C">
            <w:pPr>
              <w:jc w:val="center"/>
            </w:pPr>
            <w:r w:rsidRPr="00141A1D">
              <w:rPr>
                <w:sz w:val="20"/>
              </w:rPr>
              <w:t>3 §</w:t>
            </w:r>
          </w:p>
        </w:tc>
        <w:tc>
          <w:tcPr>
            <w:gridSpan w:val="4"/>
            <w:hMerge/>
            <w:vAlign w:val="center"/>
          </w:tcPr>
          <w:p w:rsidR="0080157C" w:rsidRPr="00141A1D" w:rsidRDefault="0080157C"/>
        </w:tc>
      </w:tr>
      <w:tr w:rsidR="00000000" w:rsidRPr="00141A1D">
        <w:tblPrEx>
          <w:tblCellMar>
            <w:top w:w="0" w:type="dxa"/>
            <w:left w:w="56" w:type="dxa"/>
            <w:bottom w:w="0" w:type="dxa"/>
            <w:right w:w="56" w:type="dxa"/>
          </w:tblCellMar>
        </w:tblPrEx>
        <w:trPr>
          <w:gridAfter w:val="1"/>
          <w:wAfter w:w="56" w:type="dxa"/>
        </w:trPr>
        <w:tc>
          <w:tcPr>
            <w:tcW w:w="3090" w:type="dxa"/>
            <w:gridSpan w:val="3"/>
          </w:tcPr>
          <w:p w:rsidR="0080157C" w:rsidRPr="00141A1D" w:rsidRDefault="0080157C">
            <w:pPr>
              <w:pStyle w:val="LagtextIndrag"/>
            </w:pPr>
            <w:r w:rsidRPr="00141A1D">
              <w:t xml:space="preserve">Efterlevandepensionen betalas under fem år från och med månaden efter dödsfallet, </w:t>
            </w:r>
            <w:r w:rsidRPr="00141A1D">
              <w:rPr>
                <w:i/>
              </w:rPr>
              <w:t>dock längst till den tidpunkt då den avlidne ledamoten skulle ha fyllt 70 år.</w:t>
            </w:r>
            <w:r w:rsidRPr="00141A1D">
              <w:t xml:space="preserve"> Om ledamoten avgått med ålderspension efter fyllda 65 år betalas efterlevandepension längst under fem år räknat från avgången. </w:t>
            </w:r>
          </w:p>
        </w:tc>
        <w:tc>
          <w:tcPr>
            <w:tcW w:w="3090" w:type="dxa"/>
            <w:gridSpan w:val="2"/>
          </w:tcPr>
          <w:p w:rsidR="0080157C" w:rsidRPr="00141A1D" w:rsidRDefault="0080157C">
            <w:pPr>
              <w:pStyle w:val="LagtextIndrag"/>
            </w:pPr>
            <w:r w:rsidRPr="00141A1D">
              <w:t>Efterlevandepensionen betalas under fem år från och med månaden efter dödsfallet</w:t>
            </w:r>
            <w:r w:rsidRPr="00141A1D">
              <w:rPr>
                <w:i/>
              </w:rPr>
              <w:t>. Om ledamoten avgått före fyllda 65 år betalas efterlevandepe</w:t>
            </w:r>
            <w:r w:rsidRPr="00141A1D">
              <w:rPr>
                <w:i/>
              </w:rPr>
              <w:t>n</w:t>
            </w:r>
            <w:r w:rsidRPr="00141A1D">
              <w:rPr>
                <w:i/>
              </w:rPr>
              <w:t>sion längst till den tidpunkt då den avlidne skulle ha fyllt 70 år. Detsa</w:t>
            </w:r>
            <w:r w:rsidRPr="00141A1D">
              <w:rPr>
                <w:i/>
              </w:rPr>
              <w:t>m</w:t>
            </w:r>
            <w:r w:rsidRPr="00141A1D">
              <w:rPr>
                <w:i/>
              </w:rPr>
              <w:t>ma gäller om ledamoten avgått med ålderspension då denne fyllde 65 år</w:t>
            </w:r>
            <w:r w:rsidRPr="00141A1D">
              <w:t>. Om ledamoten avgått med ålderspe</w:t>
            </w:r>
            <w:r w:rsidRPr="00141A1D">
              <w:t>n</w:t>
            </w:r>
            <w:r w:rsidRPr="00141A1D">
              <w:t>sion efter fyllda 65 år betalas efterl</w:t>
            </w:r>
            <w:r w:rsidRPr="00141A1D">
              <w:t>e</w:t>
            </w:r>
            <w:r w:rsidRPr="00141A1D">
              <w:t>vandepension längst under fem år räknat från avgången.</w:t>
            </w:r>
          </w:p>
        </w:tc>
      </w:tr>
    </w:tbl>
    <w:p w:rsidR="0080157C" w:rsidRPr="00141A1D" w:rsidRDefault="0080157C">
      <w:r w:rsidRPr="00141A1D">
        <w:br w:type="page"/>
      </w:r>
    </w:p>
    <w:tbl>
      <w:tblPr>
        <w:tblW w:w="0" w:type="auto"/>
        <w:tblInd w:w="-56" w:type="dxa"/>
        <w:tblLayout w:type="fixed"/>
        <w:tblCellMar>
          <w:left w:w="56" w:type="dxa"/>
          <w:right w:w="56" w:type="dxa"/>
        </w:tblCellMar>
        <w:tblLook w:val="0000" w:firstRow="0" w:lastRow="0" w:firstColumn="0" w:lastColumn="0" w:noHBand="0" w:noVBand="0"/>
      </w:tblPr>
      <w:tblGrid>
        <w:gridCol w:w="56"/>
        <w:gridCol w:w="1"/>
        <w:gridCol w:w="3033"/>
        <w:gridCol w:w="56"/>
        <w:gridCol w:w="3034"/>
        <w:gridCol w:w="56"/>
      </w:tblGrid>
      <w:tr w:rsidR="00000000" w:rsidRPr="00141A1D">
        <w:tblPrEx>
          <w:tblCellMar>
            <w:top w:w="0" w:type="dxa"/>
            <w:bottom w:w="0" w:type="dxa"/>
          </w:tblCellMar>
        </w:tblPrEx>
        <w:trPr>
          <w:gridAfter w:val="1"/>
          <w:wAfter w:w="56" w:type="dxa"/>
        </w:trPr>
        <w:tc>
          <w:tcPr>
            <w:tcW w:w="3090" w:type="dxa"/>
            <w:gridSpan w:val="3"/>
          </w:tcPr>
          <w:p w:rsidR="0080157C" w:rsidRPr="00141A1D" w:rsidRDefault="0080157C">
            <w:pPr>
              <w:pStyle w:val="LagtextRubrik"/>
            </w:pPr>
            <w:r w:rsidRPr="00141A1D">
              <w:t>Nuvarande lydelse</w:t>
            </w:r>
          </w:p>
        </w:tc>
        <w:tc>
          <w:tcPr>
            <w:tcW w:w="3090" w:type="dxa"/>
            <w:gridSpan w:val="2"/>
          </w:tcPr>
          <w:p w:rsidR="0080157C" w:rsidRPr="00141A1D" w:rsidRDefault="0080157C">
            <w:pPr>
              <w:pStyle w:val="LagtextRubrik"/>
            </w:pPr>
            <w:r w:rsidRPr="00141A1D">
              <w:t>Föreslagen lydelse</w:t>
            </w:r>
          </w:p>
        </w:tc>
      </w:tr>
      <w:tr w:rsidR="00000000" w:rsidRPr="00141A1D">
        <w:tblPrEx>
          <w:tblCellMar>
            <w:top w:w="0" w:type="dxa"/>
            <w:left w:w="0" w:type="dxa"/>
            <w:bottom w:w="0" w:type="dxa"/>
            <w:right w:w="0" w:type="dxa"/>
          </w:tblCellMar>
        </w:tblPrEx>
        <w:trPr>
          <w:gridBefore w:val="1"/>
          <w:wBefore w:w="56" w:type="dxa"/>
        </w:trPr>
        <w:tc>
          <w:tcPr>
            <w:tcW w:w="3090" w:type="dxa"/>
            <w:gridSpan w:val="3"/>
          </w:tcPr>
          <w:p w:rsidR="0080157C" w:rsidRPr="00141A1D" w:rsidRDefault="0080157C"/>
        </w:tc>
        <w:tc>
          <w:tcPr>
            <w:tcW w:w="3090" w:type="dxa"/>
            <w:gridSpan w:val="2"/>
          </w:tcPr>
          <w:p w:rsidR="0080157C" w:rsidRPr="00141A1D" w:rsidRDefault="0080157C"/>
        </w:tc>
      </w:tr>
      <w:tr w:rsidR="00000000" w:rsidRPr="00141A1D">
        <w:tblPrEx>
          <w:tblCellMar>
            <w:top w:w="0" w:type="dxa"/>
            <w:left w:w="0" w:type="dxa"/>
            <w:bottom w:w="0" w:type="dxa"/>
            <w:right w:w="0" w:type="dxa"/>
          </w:tblCellMar>
        </w:tblPrEx>
        <w:trPr>
          <w:gridBefore w:val="1"/>
          <w:wBefore w:w="56" w:type="dxa"/>
        </w:trPr>
        <w:tc>
          <w:tcPr>
            <w:tcW w:w="6180" w:type="dxa"/>
            <w:hMerge w:val="restart"/>
          </w:tcPr>
          <w:p w:rsidR="0080157C" w:rsidRPr="00141A1D" w:rsidRDefault="0080157C">
            <w:pPr>
              <w:jc w:val="center"/>
            </w:pPr>
            <w:r w:rsidRPr="00141A1D">
              <w:rPr>
                <w:b/>
              </w:rPr>
              <w:t>13 kap.</w:t>
            </w:r>
          </w:p>
        </w:tc>
        <w:tc>
          <w:tcPr>
            <w:gridSpan w:val="4"/>
            <w:hMerge/>
            <w:vAlign w:val="center"/>
          </w:tcPr>
          <w:p w:rsidR="0080157C" w:rsidRPr="00141A1D" w:rsidRDefault="0080157C"/>
        </w:tc>
      </w:tr>
      <w:tr w:rsidR="00000000" w:rsidRPr="00141A1D">
        <w:tblPrEx>
          <w:tblCellMar>
            <w:top w:w="0" w:type="dxa"/>
            <w:left w:w="0" w:type="dxa"/>
            <w:bottom w:w="0" w:type="dxa"/>
            <w:right w:w="0" w:type="dxa"/>
          </w:tblCellMar>
        </w:tblPrEx>
        <w:trPr>
          <w:gridBefore w:val="1"/>
          <w:wBefore w:w="56" w:type="dxa"/>
        </w:trPr>
        <w:tc>
          <w:tcPr>
            <w:tcW w:w="6180" w:type="dxa"/>
            <w:hMerge w:val="restart"/>
          </w:tcPr>
          <w:p w:rsidR="0080157C" w:rsidRPr="00141A1D" w:rsidRDefault="0080157C">
            <w:pPr>
              <w:jc w:val="center"/>
            </w:pPr>
            <w:r w:rsidRPr="00141A1D">
              <w:rPr>
                <w:sz w:val="20"/>
              </w:rPr>
              <w:t>7 §</w:t>
            </w:r>
          </w:p>
        </w:tc>
        <w:tc>
          <w:tcPr>
            <w:gridSpan w:val="4"/>
            <w:hMerge/>
            <w:vAlign w:val="center"/>
          </w:tcPr>
          <w:p w:rsidR="0080157C" w:rsidRPr="00141A1D" w:rsidRDefault="0080157C"/>
        </w:tc>
      </w:tr>
      <w:tr w:rsidR="00000000" w:rsidRPr="00141A1D">
        <w:tblPrEx>
          <w:tblCellMar>
            <w:top w:w="0" w:type="dxa"/>
            <w:bottom w:w="0" w:type="dxa"/>
          </w:tblCellMar>
        </w:tblPrEx>
        <w:trPr>
          <w:gridAfter w:val="1"/>
          <w:wAfter w:w="56" w:type="dxa"/>
        </w:trPr>
        <w:tc>
          <w:tcPr>
            <w:tcW w:w="3090" w:type="dxa"/>
            <w:gridSpan w:val="3"/>
          </w:tcPr>
          <w:p w:rsidR="0080157C" w:rsidRPr="00141A1D" w:rsidRDefault="0080157C">
            <w:pPr>
              <w:pStyle w:val="LagtextIndrag"/>
            </w:pPr>
            <w:r w:rsidRPr="00141A1D">
              <w:t>Underlaget för beräkning av i</w:t>
            </w:r>
            <w:r w:rsidRPr="00141A1D">
              <w:t>n</w:t>
            </w:r>
            <w:r w:rsidRPr="00141A1D">
              <w:t>komstgaranti utgörs av följande arvoden som betalas vid avgångstil</w:t>
            </w:r>
            <w:r w:rsidRPr="00141A1D">
              <w:t>l</w:t>
            </w:r>
            <w:r w:rsidRPr="00141A1D">
              <w:t>fället</w:t>
            </w:r>
          </w:p>
          <w:p w:rsidR="0080157C" w:rsidRPr="00141A1D" w:rsidRDefault="0080157C">
            <w:pPr>
              <w:pStyle w:val="LagtextIndrag"/>
            </w:pPr>
            <w:r w:rsidRPr="00141A1D">
              <w:t xml:space="preserve">1. ledamotsarvodet enligt 3 kap. 1 §, </w:t>
            </w:r>
          </w:p>
          <w:p w:rsidR="0080157C" w:rsidRPr="00141A1D" w:rsidRDefault="0080157C">
            <w:pPr>
              <w:pStyle w:val="LagtextIndrag"/>
            </w:pPr>
            <w:r w:rsidRPr="00141A1D">
              <w:t xml:space="preserve">2. tilläggsarvode enligt 3 kap. 2 §, </w:t>
            </w:r>
          </w:p>
          <w:p w:rsidR="0080157C" w:rsidRPr="00141A1D" w:rsidRDefault="0080157C">
            <w:pPr>
              <w:pStyle w:val="LagtextIndrag"/>
            </w:pPr>
            <w:r w:rsidRPr="00141A1D">
              <w:t>3. arvoden för månad till riksdagsl</w:t>
            </w:r>
            <w:r w:rsidRPr="00141A1D">
              <w:t>e</w:t>
            </w:r>
            <w:r w:rsidRPr="00141A1D">
              <w:t>damot enligt 1 § 1–4 lagen (1989:185) om arvoden m.m. för uppdrag inom riksdagen, dess myndigheter och o</w:t>
            </w:r>
            <w:r w:rsidRPr="00141A1D">
              <w:t>r</w:t>
            </w:r>
            <w:r w:rsidRPr="00141A1D">
              <w:t xml:space="preserve">gan. </w:t>
            </w:r>
          </w:p>
        </w:tc>
        <w:tc>
          <w:tcPr>
            <w:tcW w:w="3090" w:type="dxa"/>
            <w:gridSpan w:val="2"/>
          </w:tcPr>
          <w:p w:rsidR="0080157C" w:rsidRPr="00141A1D" w:rsidRDefault="0080157C">
            <w:pPr>
              <w:pStyle w:val="LagtextIndrag"/>
            </w:pPr>
            <w:r w:rsidRPr="00141A1D">
              <w:t>Underlaget för beräkning av i</w:t>
            </w:r>
            <w:r w:rsidRPr="00141A1D">
              <w:t>n</w:t>
            </w:r>
            <w:r w:rsidRPr="00141A1D">
              <w:t>komstgaranti utgörs av följande arvoden som betalas vid avgångstil</w:t>
            </w:r>
            <w:r w:rsidRPr="00141A1D">
              <w:t>l</w:t>
            </w:r>
            <w:r w:rsidRPr="00141A1D">
              <w:t>fället</w:t>
            </w:r>
            <w:r w:rsidRPr="00141A1D">
              <w:rPr>
                <w:i/>
              </w:rPr>
              <w:t>:</w:t>
            </w:r>
            <w:r w:rsidRPr="00141A1D">
              <w:t xml:space="preserve"> </w:t>
            </w:r>
          </w:p>
          <w:p w:rsidR="0080157C" w:rsidRPr="00141A1D" w:rsidRDefault="0080157C">
            <w:pPr>
              <w:pStyle w:val="LagtextIndrag"/>
            </w:pPr>
            <w:r w:rsidRPr="00141A1D">
              <w:t xml:space="preserve">1. ledamotsarvodet enligt 3 kap. 1 §, </w:t>
            </w:r>
          </w:p>
          <w:p w:rsidR="0080157C" w:rsidRPr="00141A1D" w:rsidRDefault="0080157C">
            <w:pPr>
              <w:pStyle w:val="LagtextIndrag"/>
            </w:pPr>
            <w:r w:rsidRPr="00141A1D">
              <w:t xml:space="preserve">2. tilläggsarvode enligt 3 kap. 2 §, </w:t>
            </w:r>
          </w:p>
          <w:p w:rsidR="0080157C" w:rsidRPr="00141A1D" w:rsidRDefault="0080157C">
            <w:pPr>
              <w:pStyle w:val="LagtextIndrag"/>
            </w:pPr>
            <w:r w:rsidRPr="00141A1D">
              <w:t>3. arvoden för månad till riksdagsl</w:t>
            </w:r>
            <w:r w:rsidRPr="00141A1D">
              <w:t>e</w:t>
            </w:r>
            <w:r w:rsidRPr="00141A1D">
              <w:t xml:space="preserve">damot enligt 1 § 1–4 </w:t>
            </w:r>
            <w:r w:rsidRPr="00141A1D">
              <w:rPr>
                <w:i/>
              </w:rPr>
              <w:t>och 8</w:t>
            </w:r>
            <w:r w:rsidRPr="00141A1D">
              <w:t xml:space="preserve"> lagen (1989:185) om arvoden m.m. för up</w:t>
            </w:r>
            <w:r w:rsidRPr="00141A1D">
              <w:t>p</w:t>
            </w:r>
            <w:r w:rsidRPr="00141A1D">
              <w:t>drag inom riksdagen, dess myndigh</w:t>
            </w:r>
            <w:r w:rsidRPr="00141A1D">
              <w:t>e</w:t>
            </w:r>
            <w:r w:rsidRPr="00141A1D">
              <w:t xml:space="preserve">ter och organ. </w:t>
            </w:r>
          </w:p>
        </w:tc>
      </w:tr>
      <w:tr w:rsidR="00000000" w:rsidRPr="00141A1D">
        <w:tblPrEx>
          <w:tblCellMar>
            <w:top w:w="0" w:type="dxa"/>
            <w:left w:w="0" w:type="dxa"/>
            <w:bottom w:w="0" w:type="dxa"/>
            <w:right w:w="0" w:type="dxa"/>
          </w:tblCellMar>
        </w:tblPrEx>
        <w:trPr>
          <w:gridBefore w:val="1"/>
          <w:wBefore w:w="56" w:type="dxa"/>
        </w:trPr>
        <w:tc>
          <w:tcPr>
            <w:tcW w:w="3090" w:type="dxa"/>
            <w:gridSpan w:val="3"/>
          </w:tcPr>
          <w:p w:rsidR="0080157C" w:rsidRPr="00141A1D" w:rsidRDefault="0080157C">
            <w:r w:rsidRPr="00141A1D">
              <w:br/>
            </w:r>
          </w:p>
        </w:tc>
        <w:tc>
          <w:tcPr>
            <w:tcW w:w="3090" w:type="dxa"/>
            <w:gridSpan w:val="2"/>
          </w:tcPr>
          <w:p w:rsidR="0080157C" w:rsidRPr="00141A1D" w:rsidRDefault="0080157C">
            <w:r w:rsidRPr="00141A1D">
              <w:br/>
            </w:r>
          </w:p>
        </w:tc>
      </w:tr>
      <w:tr w:rsidR="00000000" w:rsidRPr="00141A1D">
        <w:tblPrEx>
          <w:tblCellMar>
            <w:top w:w="0" w:type="dxa"/>
            <w:left w:w="0" w:type="dxa"/>
            <w:bottom w:w="0" w:type="dxa"/>
            <w:right w:w="0" w:type="dxa"/>
          </w:tblCellMar>
        </w:tblPrEx>
        <w:trPr>
          <w:gridBefore w:val="1"/>
          <w:wBefore w:w="56" w:type="dxa"/>
        </w:trPr>
        <w:tc>
          <w:tcPr>
            <w:tcW w:w="6180" w:type="dxa"/>
            <w:hMerge w:val="restart"/>
          </w:tcPr>
          <w:p w:rsidR="0080157C" w:rsidRPr="00141A1D" w:rsidRDefault="0080157C">
            <w:pPr>
              <w:jc w:val="center"/>
            </w:pPr>
            <w:r w:rsidRPr="00141A1D">
              <w:t>8 §</w:t>
            </w:r>
            <w:r w:rsidRPr="00141A1D">
              <w:rPr>
                <w:rStyle w:val="Fotnotsreferens"/>
              </w:rPr>
              <w:footnoteReference w:id="1"/>
            </w:r>
          </w:p>
        </w:tc>
        <w:tc>
          <w:tcPr>
            <w:gridSpan w:val="4"/>
            <w:hMerge/>
            <w:vAlign w:val="center"/>
          </w:tcPr>
          <w:p w:rsidR="0080157C" w:rsidRPr="00141A1D" w:rsidRDefault="0080157C"/>
        </w:tc>
      </w:tr>
      <w:tr w:rsidR="00000000" w:rsidRPr="00141A1D">
        <w:tblPrEx>
          <w:tblCellMar>
            <w:top w:w="0" w:type="dxa"/>
            <w:bottom w:w="0" w:type="dxa"/>
          </w:tblCellMar>
        </w:tblPrEx>
        <w:trPr>
          <w:gridAfter w:val="1"/>
          <w:wAfter w:w="56" w:type="dxa"/>
        </w:trPr>
        <w:tc>
          <w:tcPr>
            <w:tcW w:w="3090" w:type="dxa"/>
            <w:gridSpan w:val="3"/>
          </w:tcPr>
          <w:p w:rsidR="0080157C" w:rsidRPr="00141A1D" w:rsidRDefault="0080157C">
            <w:pPr>
              <w:pStyle w:val="LagtextIndrag"/>
            </w:pPr>
            <w:r w:rsidRPr="00141A1D">
              <w:t>Inkomstgarantin betalas för månad under det första garantiåret med 80 procent av den del av garantiunderl</w:t>
            </w:r>
            <w:r w:rsidRPr="00141A1D">
              <w:t>a</w:t>
            </w:r>
            <w:r w:rsidRPr="00141A1D">
              <w:t>get som inte överstiger 1,67 basbelopp och med 40 procent av den del som överstiger 1,67 men inte 2,5 basb</w:t>
            </w:r>
            <w:r w:rsidRPr="00141A1D">
              <w:t>e</w:t>
            </w:r>
            <w:r w:rsidRPr="00141A1D">
              <w:t>lopp. För tid därefter betalas inkoms</w:t>
            </w:r>
            <w:r w:rsidRPr="00141A1D">
              <w:t>t</w:t>
            </w:r>
            <w:r w:rsidRPr="00141A1D">
              <w:t>garanti med följande andelar av g</w:t>
            </w:r>
            <w:r w:rsidRPr="00141A1D">
              <w:t>a</w:t>
            </w:r>
            <w:r w:rsidRPr="00141A1D">
              <w:t>rantiunderlaget i förhållande till led</w:t>
            </w:r>
            <w:r w:rsidRPr="00141A1D">
              <w:t>a</w:t>
            </w:r>
            <w:r w:rsidRPr="00141A1D">
              <w:t xml:space="preserve">motens tid i riksdagen </w:t>
            </w:r>
          </w:p>
          <w:p w:rsidR="0080157C" w:rsidRPr="00141A1D" w:rsidRDefault="0080157C">
            <w:pPr>
              <w:pStyle w:val="LagtextIndrag"/>
            </w:pPr>
            <w:r w:rsidRPr="00141A1D">
              <w:t>66,0 procent av den del av garant</w:t>
            </w:r>
            <w:r w:rsidRPr="00141A1D">
              <w:t>i</w:t>
            </w:r>
            <w:r w:rsidRPr="00141A1D">
              <w:t>underlagen som inte överstiger 1,67 basbelopp och 33 procent av den del som överstiger 1,67 men inte 2,5 ba</w:t>
            </w:r>
            <w:r w:rsidRPr="00141A1D">
              <w:t>s</w:t>
            </w:r>
            <w:r w:rsidRPr="00141A1D">
              <w:t xml:space="preserve">belopp efter minst 12 år, </w:t>
            </w:r>
          </w:p>
          <w:p w:rsidR="0080157C" w:rsidRPr="00141A1D" w:rsidRDefault="0080157C">
            <w:pPr>
              <w:pStyle w:val="LagtextIndrag"/>
            </w:pPr>
            <w:r w:rsidRPr="00141A1D">
              <w:t>60,5 procent av den del av garant</w:t>
            </w:r>
            <w:r w:rsidRPr="00141A1D">
              <w:t>i</w:t>
            </w:r>
            <w:r w:rsidRPr="00141A1D">
              <w:t>underlaget som inte överstiger 1,67 basbelopp och 30,25 procent av den del som överstiger 1,67 men inte 2,5 ba</w:t>
            </w:r>
            <w:r w:rsidRPr="00141A1D">
              <w:t>s</w:t>
            </w:r>
            <w:r w:rsidRPr="00141A1D">
              <w:t xml:space="preserve">belopp efter minst 11 men ej 12 år, </w:t>
            </w:r>
          </w:p>
        </w:tc>
        <w:tc>
          <w:tcPr>
            <w:tcW w:w="3090" w:type="dxa"/>
            <w:gridSpan w:val="2"/>
          </w:tcPr>
          <w:p w:rsidR="0080157C" w:rsidRPr="00141A1D" w:rsidRDefault="0080157C">
            <w:pPr>
              <w:pStyle w:val="LagtextIndrag"/>
            </w:pPr>
            <w:r w:rsidRPr="00141A1D">
              <w:t>Inkomstgarantin betalas för månad under det första garantiåret med 80 procent av den del av garantiunderl</w:t>
            </w:r>
            <w:r w:rsidRPr="00141A1D">
              <w:t>a</w:t>
            </w:r>
            <w:r w:rsidRPr="00141A1D">
              <w:t>get som inte överstiger 1,67 basbelopp och med 40 procent av den del som överstiger 1,67 men inte 2,5 basb</w:t>
            </w:r>
            <w:r w:rsidRPr="00141A1D">
              <w:t>e</w:t>
            </w:r>
            <w:r w:rsidRPr="00141A1D">
              <w:t>lopp. För tid därefter betalas inkoms</w:t>
            </w:r>
            <w:r w:rsidRPr="00141A1D">
              <w:t>t</w:t>
            </w:r>
            <w:r w:rsidRPr="00141A1D">
              <w:t>garanti med följande andelar av g</w:t>
            </w:r>
            <w:r w:rsidRPr="00141A1D">
              <w:t>a</w:t>
            </w:r>
            <w:r w:rsidRPr="00141A1D">
              <w:t>rantiunderlaget i förhållande till led</w:t>
            </w:r>
            <w:r w:rsidRPr="00141A1D">
              <w:t>a</w:t>
            </w:r>
            <w:r w:rsidRPr="00141A1D">
              <w:t xml:space="preserve">motens </w:t>
            </w:r>
            <w:r w:rsidRPr="00141A1D">
              <w:rPr>
                <w:i/>
              </w:rPr>
              <w:t>sammanlagda</w:t>
            </w:r>
            <w:r w:rsidRPr="00141A1D">
              <w:t xml:space="preserve"> tid i riksd</w:t>
            </w:r>
            <w:r w:rsidRPr="00141A1D">
              <w:t>a</w:t>
            </w:r>
            <w:r w:rsidRPr="00141A1D">
              <w:t xml:space="preserve">gen </w:t>
            </w:r>
          </w:p>
          <w:p w:rsidR="0080157C" w:rsidRPr="00141A1D" w:rsidRDefault="0080157C">
            <w:pPr>
              <w:pStyle w:val="LagtextIndrag"/>
            </w:pPr>
            <w:r w:rsidRPr="00141A1D">
              <w:t>66,0 procent av den del av garant</w:t>
            </w:r>
            <w:r w:rsidRPr="00141A1D">
              <w:t>i</w:t>
            </w:r>
            <w:r w:rsidRPr="00141A1D">
              <w:t>underlagen som inte överstiger 1,67 basbelopp och 33 procent av den del som överstiger 1,67 men inte 2,5 ba</w:t>
            </w:r>
            <w:r w:rsidRPr="00141A1D">
              <w:t>s</w:t>
            </w:r>
            <w:r w:rsidRPr="00141A1D">
              <w:t xml:space="preserve">belopp efter minst 12 år, </w:t>
            </w:r>
          </w:p>
          <w:p w:rsidR="0080157C" w:rsidRPr="00141A1D" w:rsidRDefault="0080157C">
            <w:pPr>
              <w:pStyle w:val="LagtextIndrag"/>
            </w:pPr>
            <w:r w:rsidRPr="00141A1D">
              <w:t>60,5 procent av den del av garant</w:t>
            </w:r>
            <w:r w:rsidRPr="00141A1D">
              <w:t>i</w:t>
            </w:r>
            <w:r w:rsidRPr="00141A1D">
              <w:t>underlaget som inte överstiger 1,67 basbelopp och 30,25 procent av den del som överstiger 1,67 men inte 2,5 ba</w:t>
            </w:r>
            <w:r w:rsidRPr="00141A1D">
              <w:t>s</w:t>
            </w:r>
            <w:r w:rsidRPr="00141A1D">
              <w:t>belopp efter minst 11 men ej 12 år,</w:t>
            </w:r>
          </w:p>
        </w:tc>
      </w:tr>
    </w:tbl>
    <w:p w:rsidR="0080157C" w:rsidRPr="00141A1D" w:rsidRDefault="0080157C"/>
    <w:p w:rsidR="0080157C" w:rsidRPr="00141A1D" w:rsidRDefault="0080157C">
      <w:r w:rsidRPr="00141A1D">
        <w:br w:type="page"/>
      </w:r>
    </w:p>
    <w:tbl>
      <w:tblPr>
        <w:tblW w:w="0" w:type="auto"/>
        <w:tblInd w:w="-56" w:type="dxa"/>
        <w:tblLayout w:type="fixed"/>
        <w:tblCellMar>
          <w:left w:w="56" w:type="dxa"/>
          <w:right w:w="56" w:type="dxa"/>
        </w:tblCellMar>
        <w:tblLook w:val="0000" w:firstRow="0" w:lastRow="0" w:firstColumn="0" w:lastColumn="0" w:noHBand="0" w:noVBand="0"/>
      </w:tblPr>
      <w:tblGrid>
        <w:gridCol w:w="3090"/>
        <w:gridCol w:w="3090"/>
      </w:tblGrid>
      <w:tr w:rsidR="00000000" w:rsidRPr="00141A1D">
        <w:tblPrEx>
          <w:tblCellMar>
            <w:top w:w="0" w:type="dxa"/>
            <w:bottom w:w="0" w:type="dxa"/>
          </w:tblCellMar>
        </w:tblPrEx>
        <w:tc>
          <w:tcPr>
            <w:tcW w:w="3090" w:type="dxa"/>
          </w:tcPr>
          <w:p w:rsidR="0080157C" w:rsidRPr="00141A1D" w:rsidRDefault="0080157C">
            <w:r w:rsidRPr="00141A1D">
              <w:rPr>
                <w:i/>
              </w:rPr>
              <w:t>Nuvarande lydelse</w:t>
            </w:r>
            <w:r w:rsidRPr="00141A1D">
              <w:t xml:space="preserve"> </w:t>
            </w:r>
          </w:p>
        </w:tc>
        <w:tc>
          <w:tcPr>
            <w:tcW w:w="3090" w:type="dxa"/>
          </w:tcPr>
          <w:p w:rsidR="0080157C" w:rsidRPr="00141A1D" w:rsidRDefault="0080157C">
            <w:r w:rsidRPr="00141A1D">
              <w:rPr>
                <w:i/>
              </w:rPr>
              <w:t>Föreslagen lydelse</w:t>
            </w:r>
          </w:p>
        </w:tc>
      </w:tr>
      <w:tr w:rsidR="00000000" w:rsidRPr="00141A1D">
        <w:tblPrEx>
          <w:tblCellMar>
            <w:top w:w="0" w:type="dxa"/>
            <w:bottom w:w="0" w:type="dxa"/>
          </w:tblCellMar>
        </w:tblPrEx>
        <w:tc>
          <w:tcPr>
            <w:tcW w:w="3090" w:type="dxa"/>
          </w:tcPr>
          <w:p w:rsidR="0080157C" w:rsidRPr="00141A1D" w:rsidRDefault="0080157C"/>
        </w:tc>
        <w:tc>
          <w:tcPr>
            <w:tcW w:w="3090" w:type="dxa"/>
          </w:tcPr>
          <w:p w:rsidR="0080157C" w:rsidRPr="00141A1D" w:rsidRDefault="0080157C"/>
        </w:tc>
      </w:tr>
      <w:tr w:rsidR="00000000" w:rsidRPr="00141A1D">
        <w:tblPrEx>
          <w:tblCellMar>
            <w:top w:w="0" w:type="dxa"/>
            <w:bottom w:w="0" w:type="dxa"/>
          </w:tblCellMar>
        </w:tblPrEx>
        <w:tc>
          <w:tcPr>
            <w:tcW w:w="3090" w:type="dxa"/>
          </w:tcPr>
          <w:p w:rsidR="0080157C" w:rsidRPr="00141A1D" w:rsidRDefault="0080157C">
            <w:pPr>
              <w:pStyle w:val="LagtextIndrag"/>
            </w:pPr>
            <w:r w:rsidRPr="00141A1D">
              <w:t>55,0 procent av den del av garant</w:t>
            </w:r>
            <w:r w:rsidRPr="00141A1D">
              <w:t>i</w:t>
            </w:r>
            <w:r w:rsidRPr="00141A1D">
              <w:t xml:space="preserve">underlaget som inte överstiger 1,67 basbelopp och med 27,5 procent av den del som överstiger 1,67 men inte 2,5 basbelopp efter minst 10 men ej 11 år, </w:t>
            </w:r>
          </w:p>
          <w:p w:rsidR="0080157C" w:rsidRPr="00141A1D" w:rsidRDefault="0080157C">
            <w:pPr>
              <w:pStyle w:val="LagtextIndrag"/>
            </w:pPr>
            <w:r w:rsidRPr="00141A1D">
              <w:t>49,5 procent av den del av garant</w:t>
            </w:r>
            <w:r w:rsidRPr="00141A1D">
              <w:t>i</w:t>
            </w:r>
            <w:r w:rsidRPr="00141A1D">
              <w:t xml:space="preserve">underlaget som inte överstiger 1,67 basbelopp och med 24,75 procent av den del som överstiger 1,67 men inte 2,5 basbelopp efter minst 9 men ej 10 år, </w:t>
            </w:r>
          </w:p>
          <w:p w:rsidR="0080157C" w:rsidRPr="00141A1D" w:rsidRDefault="0080157C">
            <w:pPr>
              <w:pStyle w:val="LagtextIndrag"/>
            </w:pPr>
            <w:r w:rsidRPr="00141A1D">
              <w:t>44,0 procent av den del av garant</w:t>
            </w:r>
            <w:r w:rsidRPr="00141A1D">
              <w:t>i</w:t>
            </w:r>
            <w:r w:rsidRPr="00141A1D">
              <w:t>underlaget som inte överstiger 1,67 basbelopp och med 22 procent av den del som överstiger 1,67 men inte 2,5 ba</w:t>
            </w:r>
            <w:r w:rsidRPr="00141A1D">
              <w:t>s</w:t>
            </w:r>
            <w:r w:rsidRPr="00141A1D">
              <w:t xml:space="preserve">belopp efter minst 8 men ej 9 år, </w:t>
            </w:r>
          </w:p>
        </w:tc>
        <w:tc>
          <w:tcPr>
            <w:tcW w:w="3090" w:type="dxa"/>
          </w:tcPr>
          <w:p w:rsidR="0080157C" w:rsidRPr="00141A1D" w:rsidRDefault="0080157C">
            <w:pPr>
              <w:pStyle w:val="LagtextIndrag"/>
            </w:pPr>
            <w:r w:rsidRPr="00141A1D">
              <w:t>55,0 procent av den del av garant</w:t>
            </w:r>
            <w:r w:rsidRPr="00141A1D">
              <w:t>i</w:t>
            </w:r>
            <w:r w:rsidRPr="00141A1D">
              <w:t xml:space="preserve">underlaget som inte överstiger 1,67 basbelopp och med 27,5 procent av den del som överstiger 1,67 men inte 2,5 basbelopp efter minst 10 men ej 11 år, </w:t>
            </w:r>
          </w:p>
          <w:p w:rsidR="0080157C" w:rsidRPr="00141A1D" w:rsidRDefault="0080157C">
            <w:pPr>
              <w:pStyle w:val="LagtextIndrag"/>
            </w:pPr>
            <w:r w:rsidRPr="00141A1D">
              <w:t>49,5 procent av den del av garant</w:t>
            </w:r>
            <w:r w:rsidRPr="00141A1D">
              <w:t>i</w:t>
            </w:r>
            <w:r w:rsidRPr="00141A1D">
              <w:t xml:space="preserve">underlaget som inte överstiger 1,67 basbelopp och med 24,75 procent av den del som överstiger 1,67 men inte 2,5 basbelopp efter minst 9 men ej 10 år, </w:t>
            </w:r>
          </w:p>
          <w:p w:rsidR="0080157C" w:rsidRPr="00141A1D" w:rsidRDefault="0080157C">
            <w:pPr>
              <w:pStyle w:val="LagtextIndrag"/>
            </w:pPr>
            <w:r w:rsidRPr="00141A1D">
              <w:t>44,0 procent av den del av garant</w:t>
            </w:r>
            <w:r w:rsidRPr="00141A1D">
              <w:t>i</w:t>
            </w:r>
            <w:r w:rsidRPr="00141A1D">
              <w:t>underlaget som inte överstiger 1,67 basbelopp och med 22 procent av den del som överstiger 1,67 men inte 2,5 ba</w:t>
            </w:r>
            <w:r w:rsidRPr="00141A1D">
              <w:t>s</w:t>
            </w:r>
            <w:r w:rsidRPr="00141A1D">
              <w:t xml:space="preserve">belopp efter minst 8 men ej 9 år, </w:t>
            </w:r>
          </w:p>
        </w:tc>
      </w:tr>
      <w:tr w:rsidR="00000000" w:rsidRPr="00141A1D">
        <w:tblPrEx>
          <w:tblCellMar>
            <w:top w:w="0" w:type="dxa"/>
            <w:bottom w:w="0" w:type="dxa"/>
          </w:tblCellMar>
        </w:tblPrEx>
        <w:tc>
          <w:tcPr>
            <w:tcW w:w="3090" w:type="dxa"/>
          </w:tcPr>
          <w:p w:rsidR="0080157C" w:rsidRPr="00141A1D" w:rsidRDefault="0080157C">
            <w:pPr>
              <w:pStyle w:val="LagtextIndrag"/>
            </w:pPr>
            <w:r w:rsidRPr="00141A1D">
              <w:t>38,5 procent av den del av garant</w:t>
            </w:r>
            <w:r w:rsidRPr="00141A1D">
              <w:t>i</w:t>
            </w:r>
            <w:r w:rsidRPr="00141A1D">
              <w:t xml:space="preserve">underlaget som inte överstiger 1,67 basbelopp och med 19,25 procent av den del som överstiger 1,67 men inte 2,5 basbelopp efter minst 7 men ej 8 år, </w:t>
            </w:r>
          </w:p>
          <w:p w:rsidR="0080157C" w:rsidRPr="00141A1D" w:rsidRDefault="0080157C">
            <w:pPr>
              <w:pStyle w:val="LagtextIndrag"/>
            </w:pPr>
            <w:r w:rsidRPr="00141A1D">
              <w:t>33,0 procent av den del av garant</w:t>
            </w:r>
            <w:r w:rsidRPr="00141A1D">
              <w:t>i</w:t>
            </w:r>
            <w:r w:rsidRPr="00141A1D">
              <w:t xml:space="preserve">underlaget som inte överstiger 1,67 basbelopp och med 16,5 procent av den del som överstiger 1,67 men inte 2,5 basbelopp efter minst 6 men ej 7 år. </w:t>
            </w:r>
          </w:p>
        </w:tc>
        <w:tc>
          <w:tcPr>
            <w:tcW w:w="3090" w:type="dxa"/>
          </w:tcPr>
          <w:p w:rsidR="0080157C" w:rsidRPr="00141A1D" w:rsidRDefault="0080157C">
            <w:pPr>
              <w:pStyle w:val="LagtextIndrag"/>
            </w:pPr>
            <w:r w:rsidRPr="00141A1D">
              <w:t>38,5 procent av den del av garant</w:t>
            </w:r>
            <w:r w:rsidRPr="00141A1D">
              <w:t>i</w:t>
            </w:r>
            <w:r w:rsidRPr="00141A1D">
              <w:t xml:space="preserve">underlaget som inte överstiger 1,67 basbelopp och med 19,25 procent av den del som överstiger 1,67 men inte 2,5 basbelopp efter minst 7 men ej 8 år, </w:t>
            </w:r>
          </w:p>
          <w:p w:rsidR="0080157C" w:rsidRPr="00141A1D" w:rsidRDefault="0080157C">
            <w:pPr>
              <w:pStyle w:val="LagtextIndrag"/>
            </w:pPr>
            <w:r w:rsidRPr="00141A1D">
              <w:t>33,0 procent av den del av garant</w:t>
            </w:r>
            <w:r w:rsidRPr="00141A1D">
              <w:t>i</w:t>
            </w:r>
            <w:r w:rsidRPr="00141A1D">
              <w:t xml:space="preserve">underlaget som inte överstiger 1,67 basbelopp och med 16,5 procent av den del som överstiger 1,67 men inte 2,5 basbelopp efter minst 6 men ej 7 år. </w:t>
            </w:r>
          </w:p>
        </w:tc>
      </w:tr>
      <w:tr w:rsidR="00000000" w:rsidRPr="00141A1D">
        <w:tblPrEx>
          <w:tblCellMar>
            <w:top w:w="0" w:type="dxa"/>
            <w:bottom w:w="0" w:type="dxa"/>
          </w:tblCellMar>
        </w:tblPrEx>
        <w:tc>
          <w:tcPr>
            <w:tcW w:w="3090" w:type="dxa"/>
          </w:tcPr>
          <w:p w:rsidR="0080157C" w:rsidRPr="00141A1D" w:rsidRDefault="0080157C">
            <w:r w:rsidRPr="00141A1D">
              <w:br w:type="page"/>
            </w:r>
            <w:r w:rsidRPr="00141A1D">
              <w:br/>
            </w:r>
          </w:p>
        </w:tc>
        <w:tc>
          <w:tcPr>
            <w:tcW w:w="3090" w:type="dxa"/>
          </w:tcPr>
          <w:p w:rsidR="0080157C" w:rsidRPr="00141A1D" w:rsidRDefault="0080157C">
            <w:r w:rsidRPr="00141A1D">
              <w:br/>
            </w:r>
          </w:p>
        </w:tc>
      </w:tr>
    </w:tbl>
    <w:p w:rsidR="0080157C" w:rsidRPr="00141A1D" w:rsidRDefault="0080157C"/>
    <w:p w:rsidR="0080157C" w:rsidRPr="00141A1D" w:rsidRDefault="0080157C">
      <w:r w:rsidRPr="00141A1D">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41A1D">
        <w:tblPrEx>
          <w:tblCellMar>
            <w:top w:w="0" w:type="dxa"/>
            <w:bottom w:w="0" w:type="dxa"/>
          </w:tblCellMar>
        </w:tblPrEx>
        <w:trPr>
          <w:tblHeader/>
        </w:trPr>
        <w:tc>
          <w:tcPr>
            <w:tcW w:w="3090" w:type="dxa"/>
          </w:tcPr>
          <w:p w:rsidR="0080157C" w:rsidRPr="00141A1D" w:rsidRDefault="0080157C">
            <w:pPr>
              <w:pStyle w:val="LagtextRubrik"/>
            </w:pPr>
            <w:r w:rsidRPr="00141A1D">
              <w:t>Nuvarande lydelse</w:t>
            </w:r>
          </w:p>
        </w:tc>
        <w:tc>
          <w:tcPr>
            <w:tcW w:w="3090" w:type="dxa"/>
          </w:tcPr>
          <w:p w:rsidR="0080157C" w:rsidRPr="00141A1D" w:rsidRDefault="0080157C">
            <w:pPr>
              <w:pStyle w:val="LagtextRubrik"/>
            </w:pPr>
            <w:r w:rsidRPr="00141A1D">
              <w:t>Föreslagen lydelse</w:t>
            </w:r>
          </w:p>
        </w:tc>
      </w:tr>
      <w:tr w:rsidR="00000000" w:rsidRPr="00141A1D">
        <w:tblPrEx>
          <w:tblCellMar>
            <w:top w:w="0" w:type="dxa"/>
            <w:bottom w:w="0" w:type="dxa"/>
          </w:tblCellMar>
        </w:tblPrEx>
        <w:tc>
          <w:tcPr>
            <w:tcW w:w="6180" w:type="dxa"/>
            <w:gridSpan w:val="2"/>
          </w:tcPr>
          <w:p w:rsidR="0080157C" w:rsidRPr="00141A1D" w:rsidRDefault="0080157C">
            <w:pPr>
              <w:pStyle w:val="Lagtext"/>
              <w:jc w:val="center"/>
              <w:rPr>
                <w:b/>
              </w:rPr>
            </w:pPr>
            <w:r w:rsidRPr="00141A1D">
              <w:rPr>
                <w:b/>
              </w:rPr>
              <w:t xml:space="preserve">15 kap. </w:t>
            </w:r>
          </w:p>
          <w:p w:rsidR="0080157C" w:rsidRPr="00141A1D" w:rsidRDefault="0080157C">
            <w:pPr>
              <w:pStyle w:val="Lagtext"/>
              <w:jc w:val="center"/>
            </w:pPr>
            <w:r w:rsidRPr="00141A1D">
              <w:rPr>
                <w:b/>
              </w:rPr>
              <w:t>2  §</w:t>
            </w:r>
          </w:p>
        </w:tc>
      </w:tr>
      <w:tr w:rsidR="00000000" w:rsidRPr="00141A1D">
        <w:tblPrEx>
          <w:tblCellMar>
            <w:top w:w="0" w:type="dxa"/>
            <w:bottom w:w="0" w:type="dxa"/>
          </w:tblCellMar>
        </w:tblPrEx>
        <w:tc>
          <w:tcPr>
            <w:tcW w:w="3090" w:type="dxa"/>
          </w:tcPr>
          <w:p w:rsidR="0080157C" w:rsidRPr="00141A1D" w:rsidRDefault="0080157C">
            <w:pPr>
              <w:pStyle w:val="LagtextIndrag"/>
            </w:pPr>
            <w:r w:rsidRPr="00141A1D">
              <w:rPr>
                <w:i/>
              </w:rPr>
              <w:t>En riksdagsledamot har rätt till sjukvårdsförmåner motsvarande dem som tillkommer arbetstagare hos riksdagen</w:t>
            </w:r>
            <w:r w:rsidRPr="00141A1D">
              <w:t>.</w:t>
            </w:r>
          </w:p>
        </w:tc>
        <w:tc>
          <w:tcPr>
            <w:tcW w:w="3090" w:type="dxa"/>
          </w:tcPr>
          <w:p w:rsidR="0080157C" w:rsidRPr="00141A1D" w:rsidRDefault="0080157C">
            <w:pPr>
              <w:pStyle w:val="LagtextIndrag"/>
              <w:rPr>
                <w:i/>
              </w:rPr>
            </w:pPr>
            <w:r w:rsidRPr="00141A1D">
              <w:rPr>
                <w:i/>
              </w:rPr>
              <w:t>Om det finns särskilda skäl kan en riksdagsledamot efter prövning av riksdagsförvaltningen få ersättning för kostnader för insatser i rehabil</w:t>
            </w:r>
            <w:r w:rsidRPr="00141A1D">
              <w:rPr>
                <w:i/>
              </w:rPr>
              <w:t>i</w:t>
            </w:r>
            <w:r w:rsidRPr="00141A1D">
              <w:rPr>
                <w:i/>
              </w:rPr>
              <w:t>teringssyfte</w:t>
            </w:r>
          </w:p>
        </w:tc>
      </w:tr>
      <w:tr w:rsidR="00000000" w:rsidRPr="00141A1D">
        <w:tblPrEx>
          <w:tblCellMar>
            <w:top w:w="0" w:type="dxa"/>
            <w:bottom w:w="0" w:type="dxa"/>
          </w:tblCellMar>
        </w:tblPrEx>
        <w:tc>
          <w:tcPr>
            <w:tcW w:w="3090" w:type="dxa"/>
          </w:tcPr>
          <w:p w:rsidR="0080157C" w:rsidRPr="00141A1D" w:rsidRDefault="0080157C">
            <w:pPr>
              <w:pStyle w:val="LagtextRubrik"/>
            </w:pPr>
            <w:r w:rsidRPr="00141A1D">
              <w:t>____________</w:t>
            </w:r>
          </w:p>
          <w:p w:rsidR="0080157C" w:rsidRPr="00141A1D" w:rsidRDefault="0080157C">
            <w:pPr>
              <w:pStyle w:val="LagtextIndrag"/>
            </w:pPr>
            <w:r w:rsidRPr="00141A1D">
              <w:t>1. Denna lag träder i kraft den 1 januari 1998.</w:t>
            </w:r>
          </w:p>
        </w:tc>
        <w:tc>
          <w:tcPr>
            <w:tcW w:w="3090" w:type="dxa"/>
          </w:tcPr>
          <w:p w:rsidR="0080157C" w:rsidRPr="00141A1D" w:rsidRDefault="0080157C">
            <w:pPr>
              <w:pStyle w:val="LagtextIndrag"/>
              <w:rPr>
                <w:i/>
              </w:rPr>
            </w:pPr>
          </w:p>
          <w:p w:rsidR="0080157C" w:rsidRPr="00141A1D" w:rsidRDefault="0080157C">
            <w:pPr>
              <w:pStyle w:val="LagtextIndrag"/>
            </w:pPr>
          </w:p>
          <w:p w:rsidR="0080157C" w:rsidRPr="00141A1D" w:rsidRDefault="0080157C">
            <w:pPr>
              <w:pStyle w:val="LagtextIndrag"/>
              <w:rPr>
                <w:i/>
              </w:rPr>
            </w:pPr>
            <w:r w:rsidRPr="00141A1D">
              <w:t xml:space="preserve">1. Denna lag träder i kraft den 1 januari 1998. </w:t>
            </w:r>
            <w:r w:rsidRPr="00141A1D">
              <w:rPr>
                <w:i/>
              </w:rPr>
              <w:t>Bestämmelserna i 7 kap. 3 § 3 i sin nya lydelse tillämpas dock för tid från och med den 1 okt</w:t>
            </w:r>
            <w:r w:rsidRPr="00141A1D">
              <w:rPr>
                <w:i/>
              </w:rPr>
              <w:t>o</w:t>
            </w:r>
            <w:r w:rsidRPr="00141A1D">
              <w:rPr>
                <w:i/>
              </w:rPr>
              <w:t>ber 1995.</w:t>
            </w:r>
          </w:p>
        </w:tc>
      </w:tr>
    </w:tbl>
    <w:p w:rsidR="0080157C" w:rsidRPr="00141A1D" w:rsidRDefault="0080157C"/>
    <w:p w:rsidR="0080157C" w:rsidRPr="00141A1D" w:rsidRDefault="0080157C">
      <w:r w:rsidRPr="00141A1D">
        <w:t>____________</w:t>
      </w:r>
    </w:p>
    <w:p w:rsidR="0080157C" w:rsidRPr="00141A1D" w:rsidRDefault="0080157C">
      <w:pPr>
        <w:pStyle w:val="LagtextIndrag"/>
      </w:pPr>
      <w:r w:rsidRPr="00141A1D">
        <w:t>1. Denna lag träder i kraft den 1 januari 2002.</w:t>
      </w:r>
    </w:p>
    <w:p w:rsidR="0080157C" w:rsidRPr="00141A1D" w:rsidRDefault="0080157C">
      <w:pPr>
        <w:pStyle w:val="Normaltindrag"/>
        <w:ind w:firstLine="170"/>
      </w:pPr>
      <w:r w:rsidRPr="00141A1D">
        <w:t xml:space="preserve">2. Bestämmelserna i 13 kap. 7 § i sin nya lydelse tillämpas dock för tid från och med den 1 oktober 1995. </w:t>
      </w:r>
    </w:p>
    <w:p w:rsidR="0080157C" w:rsidRPr="00141A1D" w:rsidRDefault="0080157C">
      <w:pPr>
        <w:pStyle w:val="LagtextIndrag"/>
      </w:pPr>
      <w:r w:rsidRPr="00141A1D">
        <w:t>3. Bestämmelsen i 15 kap. 2 § skall tillämpas på framställningar om ersät</w:t>
      </w:r>
      <w:r w:rsidRPr="00141A1D">
        <w:t>t</w:t>
      </w:r>
      <w:r w:rsidRPr="00141A1D">
        <w:t xml:space="preserve">ningar som görs efter ikraftträdandet. </w:t>
      </w:r>
    </w:p>
    <w:p w:rsidR="0080157C" w:rsidRPr="00141A1D" w:rsidRDefault="0080157C">
      <w:pPr>
        <w:pStyle w:val="Rubrik2"/>
      </w:pPr>
      <w:r w:rsidRPr="00141A1D">
        <w:br w:type="page"/>
      </w:r>
      <w:bookmarkStart w:id="123" w:name="_Toc530476037"/>
      <w:r w:rsidRPr="00141A1D">
        <w:t>2 Förslag till lag om ändring i lagen (1996:304) om arvode m.m. till Sveriges företrädare i Europaparlamentet</w:t>
      </w:r>
      <w:bookmarkEnd w:id="123"/>
      <w:r w:rsidRPr="00141A1D">
        <w:t xml:space="preserve"> </w:t>
      </w:r>
    </w:p>
    <w:p w:rsidR="0080157C" w:rsidRPr="00141A1D" w:rsidRDefault="0080157C">
      <w:pPr>
        <w:pStyle w:val="LagtextIndrag"/>
      </w:pPr>
      <w:r w:rsidRPr="00141A1D">
        <w:t>Härigenom föreskrivs i fråga om lagen (1996:304) om arvode m.m. till Sveriges företrädare i Europaparlamentet att 3 kap. 4 §, 5 kap. 6 §, 7 kap. 3 § och 9 kap. 7 § skall ha följande lydelse.</w:t>
      </w:r>
    </w:p>
    <w:p w:rsidR="0080157C" w:rsidRPr="00141A1D" w:rsidRDefault="0080157C">
      <w:pPr>
        <w:pStyle w:val="LagtextIndrag"/>
      </w:pPr>
      <w:r w:rsidRPr="00141A1D">
        <w:t xml:space="preserv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41A1D">
        <w:tblPrEx>
          <w:tblCellMar>
            <w:top w:w="0" w:type="dxa"/>
            <w:bottom w:w="0" w:type="dxa"/>
          </w:tblCellMar>
        </w:tblPrEx>
        <w:trPr>
          <w:tblHeader/>
        </w:trPr>
        <w:tc>
          <w:tcPr>
            <w:tcW w:w="3090" w:type="dxa"/>
          </w:tcPr>
          <w:p w:rsidR="0080157C" w:rsidRPr="00141A1D" w:rsidRDefault="0080157C">
            <w:pPr>
              <w:pStyle w:val="LagtextRubrik"/>
            </w:pPr>
            <w:r w:rsidRPr="00141A1D">
              <w:t>Nuvarande lydelse</w:t>
            </w:r>
          </w:p>
        </w:tc>
        <w:tc>
          <w:tcPr>
            <w:tcW w:w="3090" w:type="dxa"/>
          </w:tcPr>
          <w:p w:rsidR="0080157C" w:rsidRPr="00141A1D" w:rsidRDefault="0080157C">
            <w:pPr>
              <w:pStyle w:val="LagtextRubrik"/>
            </w:pPr>
            <w:r w:rsidRPr="00141A1D">
              <w:t>Föreslagen lydelse</w:t>
            </w:r>
          </w:p>
        </w:tc>
      </w:tr>
      <w:tr w:rsidR="00000000" w:rsidRPr="00141A1D">
        <w:tblPrEx>
          <w:tblCellMar>
            <w:top w:w="0" w:type="dxa"/>
            <w:bottom w:w="0" w:type="dxa"/>
          </w:tblCellMar>
        </w:tblPrEx>
        <w:tc>
          <w:tcPr>
            <w:tcW w:w="6180" w:type="dxa"/>
            <w:gridSpan w:val="2"/>
          </w:tcPr>
          <w:p w:rsidR="0080157C" w:rsidRPr="00141A1D" w:rsidRDefault="0080157C">
            <w:pPr>
              <w:pStyle w:val="Lagtext"/>
              <w:jc w:val="center"/>
              <w:rPr>
                <w:b/>
              </w:rPr>
            </w:pPr>
            <w:r w:rsidRPr="00141A1D">
              <w:rPr>
                <w:b/>
              </w:rPr>
              <w:t>3 kap.</w:t>
            </w:r>
          </w:p>
          <w:p w:rsidR="0080157C" w:rsidRPr="00141A1D" w:rsidRDefault="0080157C">
            <w:pPr>
              <w:pStyle w:val="LagtextIndrag"/>
              <w:jc w:val="center"/>
            </w:pPr>
            <w:r w:rsidRPr="00141A1D">
              <w:t>4  §.</w:t>
            </w:r>
          </w:p>
        </w:tc>
      </w:tr>
      <w:tr w:rsidR="00000000" w:rsidRPr="00141A1D">
        <w:tblPrEx>
          <w:tblCellMar>
            <w:top w:w="0" w:type="dxa"/>
            <w:bottom w:w="0" w:type="dxa"/>
          </w:tblCellMar>
        </w:tblPrEx>
        <w:tc>
          <w:tcPr>
            <w:tcW w:w="3090" w:type="dxa"/>
          </w:tcPr>
          <w:p w:rsidR="0080157C" w:rsidRPr="00141A1D" w:rsidRDefault="0080157C">
            <w:pPr>
              <w:pStyle w:val="LagtextIndrag"/>
            </w:pPr>
            <w:r w:rsidRPr="00141A1D">
              <w:t>För den som har varit både företr</w:t>
            </w:r>
            <w:r w:rsidRPr="00141A1D">
              <w:t>ä</w:t>
            </w:r>
            <w:r w:rsidRPr="00141A1D">
              <w:t xml:space="preserve">dare och riksdagsledamot utgörs det pensionsgrundande arvodet av </w:t>
            </w:r>
          </w:p>
          <w:p w:rsidR="0080157C" w:rsidRPr="00141A1D" w:rsidRDefault="0080157C">
            <w:pPr>
              <w:pStyle w:val="LagtextIndrag"/>
            </w:pPr>
            <w:r w:rsidRPr="00141A1D">
              <w:t>1. företrädararvode enligt 2 kap. 2 § denna lag och riksdagsarvode enligt 3 kap. 1 § lagen (1994:1065) om ekonomiska villkor för riksd</w:t>
            </w:r>
            <w:r w:rsidRPr="00141A1D">
              <w:t>a</w:t>
            </w:r>
            <w:r w:rsidRPr="00141A1D">
              <w:t>gens led</w:t>
            </w:r>
            <w:r w:rsidRPr="00141A1D">
              <w:t>a</w:t>
            </w:r>
            <w:r w:rsidRPr="00141A1D">
              <w:t xml:space="preserve">möter, </w:t>
            </w:r>
          </w:p>
          <w:p w:rsidR="0080157C" w:rsidRPr="00141A1D" w:rsidRDefault="0080157C">
            <w:pPr>
              <w:pStyle w:val="LagtextIndrag"/>
            </w:pPr>
            <w:r w:rsidRPr="00141A1D">
              <w:t xml:space="preserve">2. tilläggsarvode enligt 3 kap. 2 § sistnämnda lag, </w:t>
            </w:r>
          </w:p>
          <w:p w:rsidR="0080157C" w:rsidRPr="00141A1D" w:rsidRDefault="0080157C">
            <w:pPr>
              <w:pStyle w:val="LagtextIndrag"/>
            </w:pPr>
            <w:r w:rsidRPr="00141A1D">
              <w:t>3. arvoden enligt 1 § 1–4 lagen (1989:185) om arvoden m.m. för uppdrag inom riksdagen, dess my</w:t>
            </w:r>
            <w:r w:rsidRPr="00141A1D">
              <w:t>n</w:t>
            </w:r>
            <w:r w:rsidRPr="00141A1D">
              <w:t>digh</w:t>
            </w:r>
            <w:r w:rsidRPr="00141A1D">
              <w:t>e</w:t>
            </w:r>
            <w:r w:rsidRPr="00141A1D">
              <w:t>ter och organ</w:t>
            </w:r>
          </w:p>
        </w:tc>
        <w:tc>
          <w:tcPr>
            <w:tcW w:w="3090" w:type="dxa"/>
          </w:tcPr>
          <w:p w:rsidR="0080157C" w:rsidRPr="00141A1D" w:rsidRDefault="0080157C">
            <w:pPr>
              <w:pStyle w:val="LagtextIndrag"/>
            </w:pPr>
            <w:r w:rsidRPr="00141A1D">
              <w:t>För den som har varit både företr</w:t>
            </w:r>
            <w:r w:rsidRPr="00141A1D">
              <w:t>ä</w:t>
            </w:r>
            <w:r w:rsidRPr="00141A1D">
              <w:t>dare och riksdagsledamot utgörs det pensionsgrundande arvodet av</w:t>
            </w:r>
          </w:p>
          <w:p w:rsidR="0080157C" w:rsidRPr="00141A1D" w:rsidRDefault="0080157C">
            <w:pPr>
              <w:pStyle w:val="LagtextIndrag"/>
            </w:pPr>
            <w:r w:rsidRPr="00141A1D">
              <w:t>1. företrädararvode enligt 2 kap. 2 § denna lag och riksdagsarvode enligt 3 kap. 1 § lagen (1994:1065) om ekonomiska villkor för riksd</w:t>
            </w:r>
            <w:r w:rsidRPr="00141A1D">
              <w:t>a</w:t>
            </w:r>
            <w:r w:rsidRPr="00141A1D">
              <w:t>gens led</w:t>
            </w:r>
            <w:r w:rsidRPr="00141A1D">
              <w:t>a</w:t>
            </w:r>
            <w:r w:rsidRPr="00141A1D">
              <w:t>möter,</w:t>
            </w:r>
          </w:p>
          <w:p w:rsidR="0080157C" w:rsidRPr="00141A1D" w:rsidRDefault="0080157C">
            <w:pPr>
              <w:pStyle w:val="LagtextIndrag"/>
            </w:pPr>
            <w:r w:rsidRPr="00141A1D">
              <w:t>2. tilläggsarvode enligt 3 kap. 2 § sistnämnda lag,</w:t>
            </w:r>
          </w:p>
          <w:p w:rsidR="0080157C" w:rsidRPr="00141A1D" w:rsidRDefault="0080157C">
            <w:pPr>
              <w:pStyle w:val="LagtextIndrag"/>
            </w:pPr>
            <w:r w:rsidRPr="00141A1D">
              <w:t xml:space="preserve">3. arvoden enligt 1 § 1–4 </w:t>
            </w:r>
            <w:r w:rsidRPr="00141A1D">
              <w:rPr>
                <w:i/>
              </w:rPr>
              <w:t>och 8</w:t>
            </w:r>
            <w:r w:rsidRPr="00141A1D">
              <w:t xml:space="preserve"> l</w:t>
            </w:r>
            <w:r w:rsidRPr="00141A1D">
              <w:t>a</w:t>
            </w:r>
            <w:r w:rsidRPr="00141A1D">
              <w:t>gen (1989:185) om arvoden m.m. för uppdrag inom riksdagen, dess my</w:t>
            </w:r>
            <w:r w:rsidRPr="00141A1D">
              <w:t>n</w:t>
            </w:r>
            <w:r w:rsidRPr="00141A1D">
              <w:t>di</w:t>
            </w:r>
            <w:r w:rsidRPr="00141A1D">
              <w:t>g</w:t>
            </w:r>
            <w:r w:rsidRPr="00141A1D">
              <w:t>heter och organ</w:t>
            </w:r>
          </w:p>
          <w:p w:rsidR="0080157C" w:rsidRPr="00141A1D" w:rsidRDefault="0080157C">
            <w:pPr>
              <w:pStyle w:val="LagtextIndrag"/>
              <w:ind w:firstLine="0"/>
            </w:pPr>
          </w:p>
        </w:tc>
      </w:tr>
      <w:tr w:rsidR="00000000" w:rsidRPr="00141A1D">
        <w:tblPrEx>
          <w:tblCellMar>
            <w:top w:w="0" w:type="dxa"/>
            <w:bottom w:w="0" w:type="dxa"/>
          </w:tblCellMar>
        </w:tblPrEx>
        <w:tc>
          <w:tcPr>
            <w:tcW w:w="6180" w:type="dxa"/>
            <w:gridSpan w:val="2"/>
          </w:tcPr>
          <w:p w:rsidR="0080157C" w:rsidRPr="00141A1D" w:rsidRDefault="0080157C">
            <w:pPr>
              <w:pStyle w:val="LagtextIndrag"/>
              <w:jc w:val="center"/>
              <w:rPr>
                <w:b/>
              </w:rPr>
            </w:pPr>
          </w:p>
          <w:p w:rsidR="0080157C" w:rsidRPr="00141A1D" w:rsidRDefault="0080157C">
            <w:pPr>
              <w:pStyle w:val="LagtextIndrag"/>
              <w:jc w:val="center"/>
              <w:rPr>
                <w:b/>
              </w:rPr>
            </w:pPr>
            <w:r w:rsidRPr="00141A1D">
              <w:rPr>
                <w:b/>
              </w:rPr>
              <w:t>5 kap.</w:t>
            </w:r>
          </w:p>
          <w:p w:rsidR="0080157C" w:rsidRPr="00141A1D" w:rsidRDefault="0080157C">
            <w:pPr>
              <w:pStyle w:val="LagtextIndrag"/>
              <w:jc w:val="center"/>
            </w:pPr>
            <w:r w:rsidRPr="00141A1D">
              <w:t>6  §</w:t>
            </w:r>
          </w:p>
        </w:tc>
      </w:tr>
      <w:tr w:rsidR="00000000" w:rsidRPr="00141A1D">
        <w:tblPrEx>
          <w:tblCellMar>
            <w:top w:w="0" w:type="dxa"/>
            <w:bottom w:w="0" w:type="dxa"/>
          </w:tblCellMar>
        </w:tblPrEx>
        <w:tc>
          <w:tcPr>
            <w:tcW w:w="3090" w:type="dxa"/>
          </w:tcPr>
          <w:p w:rsidR="0080157C" w:rsidRPr="00141A1D" w:rsidRDefault="0080157C">
            <w:pPr>
              <w:pStyle w:val="LagtextIndrag"/>
            </w:pPr>
            <w:r w:rsidRPr="00141A1D">
              <w:t xml:space="preserve">Sjukpensionen skall </w:t>
            </w:r>
            <w:r w:rsidRPr="00141A1D">
              <w:rPr>
                <w:i/>
              </w:rPr>
              <w:t>minskas med sådan ersättning enligt lagen (1962:381) om allmän försäkring, annan författning eller kollektivavtal</w:t>
            </w:r>
            <w:r w:rsidRPr="00141A1D">
              <w:t xml:space="preserve"> som avser samma inkomstbortfall. Betalas ej hel sjukpension, minskas avdraget i motsvarande mån.</w:t>
            </w:r>
          </w:p>
        </w:tc>
        <w:tc>
          <w:tcPr>
            <w:tcW w:w="3090" w:type="dxa"/>
          </w:tcPr>
          <w:p w:rsidR="0080157C" w:rsidRPr="00141A1D" w:rsidRDefault="0080157C">
            <w:pPr>
              <w:pStyle w:val="LagtextIndrag"/>
            </w:pPr>
            <w:r w:rsidRPr="00141A1D">
              <w:t xml:space="preserve">Sjukpensionen skall </w:t>
            </w:r>
            <w:r w:rsidRPr="00141A1D">
              <w:rPr>
                <w:i/>
              </w:rPr>
              <w:t>på ett unde</w:t>
            </w:r>
            <w:r w:rsidRPr="00141A1D">
              <w:rPr>
                <w:i/>
              </w:rPr>
              <w:t>r</w:t>
            </w:r>
            <w:r w:rsidRPr="00141A1D">
              <w:rPr>
                <w:i/>
              </w:rPr>
              <w:t>lag för egenpensionsförmåner upp till 7,5 basbelopp enligt lagen (1962:381) om allmän försäkring minskas med sådan ersättning enligt lagen (1976:380) om arbetsskadefö</w:t>
            </w:r>
            <w:r w:rsidRPr="00141A1D">
              <w:rPr>
                <w:i/>
              </w:rPr>
              <w:t>r</w:t>
            </w:r>
            <w:r w:rsidRPr="00141A1D">
              <w:rPr>
                <w:i/>
              </w:rPr>
              <w:t>säkring</w:t>
            </w:r>
            <w:r w:rsidRPr="00141A1D">
              <w:t xml:space="preserve"> som avser samma inkoms</w:t>
            </w:r>
            <w:r w:rsidRPr="00141A1D">
              <w:t>t</w:t>
            </w:r>
            <w:r w:rsidRPr="00141A1D">
              <w:t>bortfall. Betalas ej hel sjukpension, minskas avdraget i motsvarande mån.</w:t>
            </w:r>
          </w:p>
        </w:tc>
      </w:tr>
      <w:tr w:rsidR="00000000" w:rsidRPr="00141A1D">
        <w:tblPrEx>
          <w:tblCellMar>
            <w:top w:w="0" w:type="dxa"/>
            <w:bottom w:w="0" w:type="dxa"/>
          </w:tblCellMar>
        </w:tblPrEx>
        <w:tc>
          <w:tcPr>
            <w:tcW w:w="6180" w:type="dxa"/>
            <w:gridSpan w:val="2"/>
          </w:tcPr>
          <w:p w:rsidR="0080157C" w:rsidRPr="00141A1D" w:rsidRDefault="0080157C">
            <w:pPr>
              <w:pStyle w:val="LagtextIndrag"/>
            </w:pPr>
            <w:r w:rsidRPr="00141A1D">
              <w:t>Har en företrädare eller en riksdagsledamot som tidigare varit företrädare fått sjukpension från Europaparlamentet skall sjukpension som lämnas enligt denna lag reduceras i motsvarande mån. Reducering skall endast göras när sjukpensionen från Europaparl</w:t>
            </w:r>
            <w:r w:rsidRPr="00141A1D">
              <w:t>a</w:t>
            </w:r>
            <w:r w:rsidRPr="00141A1D">
              <w:t>mentet avser samma sjukperiod</w:t>
            </w:r>
          </w:p>
        </w:tc>
      </w:tr>
    </w:tbl>
    <w:p w:rsidR="0080157C" w:rsidRPr="00141A1D" w:rsidRDefault="0080157C">
      <w:pPr>
        <w:pStyle w:val="LagtextIndrag"/>
      </w:pPr>
    </w:p>
    <w:p w:rsidR="0080157C" w:rsidRPr="00141A1D" w:rsidRDefault="0080157C">
      <w:pPr>
        <w:pStyle w:val="LagtextIndrag"/>
      </w:pPr>
    </w:p>
    <w:p w:rsidR="0080157C" w:rsidRPr="00141A1D" w:rsidRDefault="0080157C"/>
    <w:p w:rsidR="0080157C" w:rsidRPr="00141A1D" w:rsidRDefault="0080157C">
      <w:r w:rsidRPr="00141A1D">
        <w:br w:type="page"/>
      </w:r>
    </w:p>
    <w:tbl>
      <w:tblPr>
        <w:tblW w:w="0" w:type="auto"/>
        <w:tblInd w:w="-56" w:type="dxa"/>
        <w:tblLayout w:type="fixed"/>
        <w:tblCellMar>
          <w:left w:w="56" w:type="dxa"/>
          <w:right w:w="56" w:type="dxa"/>
        </w:tblCellMar>
        <w:tblLook w:val="0000" w:firstRow="0" w:lastRow="0" w:firstColumn="0" w:lastColumn="0" w:noHBand="0" w:noVBand="0"/>
      </w:tblPr>
      <w:tblGrid>
        <w:gridCol w:w="3090"/>
        <w:gridCol w:w="3105"/>
      </w:tblGrid>
      <w:tr w:rsidR="00000000" w:rsidRPr="00141A1D">
        <w:tblPrEx>
          <w:tblCellMar>
            <w:top w:w="0" w:type="dxa"/>
            <w:bottom w:w="0" w:type="dxa"/>
          </w:tblCellMar>
        </w:tblPrEx>
        <w:tc>
          <w:tcPr>
            <w:tcW w:w="3090" w:type="dxa"/>
          </w:tcPr>
          <w:p w:rsidR="0080157C" w:rsidRPr="00141A1D" w:rsidRDefault="0080157C">
            <w:r w:rsidRPr="00141A1D">
              <w:rPr>
                <w:i/>
              </w:rPr>
              <w:t>Nuvarande lydelse</w:t>
            </w:r>
            <w:r w:rsidRPr="00141A1D">
              <w:t xml:space="preserve"> </w:t>
            </w:r>
          </w:p>
        </w:tc>
        <w:tc>
          <w:tcPr>
            <w:tcW w:w="3105" w:type="dxa"/>
          </w:tcPr>
          <w:p w:rsidR="0080157C" w:rsidRPr="00141A1D" w:rsidRDefault="0080157C">
            <w:r w:rsidRPr="00141A1D">
              <w:rPr>
                <w:i/>
              </w:rPr>
              <w:t>Föreslagen lydelse</w:t>
            </w:r>
          </w:p>
        </w:tc>
      </w:tr>
    </w:tbl>
    <w:p w:rsidR="0080157C" w:rsidRPr="00141A1D" w:rsidRDefault="0080157C">
      <w:pPr>
        <w:jc w:val="center"/>
      </w:pPr>
      <w:r w:rsidRPr="00141A1D">
        <w:rPr>
          <w:b/>
        </w:rPr>
        <w:t>7 kap.</w:t>
      </w:r>
    </w:p>
    <w:p w:rsidR="0080157C" w:rsidRPr="00141A1D" w:rsidRDefault="0080157C">
      <w:pPr>
        <w:jc w:val="center"/>
      </w:pPr>
      <w:r w:rsidRPr="00141A1D">
        <w:t>3 §</w:t>
      </w:r>
    </w:p>
    <w:tbl>
      <w:tblPr>
        <w:tblW w:w="0" w:type="auto"/>
        <w:tblInd w:w="-56" w:type="dxa"/>
        <w:tblLayout w:type="fixed"/>
        <w:tblCellMar>
          <w:left w:w="56" w:type="dxa"/>
          <w:right w:w="56" w:type="dxa"/>
        </w:tblCellMar>
        <w:tblLook w:val="0000" w:firstRow="0" w:lastRow="0" w:firstColumn="0" w:lastColumn="0" w:noHBand="0" w:noVBand="0"/>
      </w:tblPr>
      <w:tblGrid>
        <w:gridCol w:w="1"/>
        <w:gridCol w:w="3096"/>
        <w:gridCol w:w="3105"/>
      </w:tblGrid>
      <w:tr w:rsidR="00000000" w:rsidRPr="00141A1D">
        <w:tblPrEx>
          <w:tblCellMar>
            <w:top w:w="0" w:type="dxa"/>
            <w:bottom w:w="0" w:type="dxa"/>
          </w:tblCellMar>
        </w:tblPrEx>
        <w:tc>
          <w:tcPr>
            <w:tcW w:w="3097" w:type="dxa"/>
            <w:gridSpan w:val="2"/>
          </w:tcPr>
          <w:p w:rsidR="0080157C" w:rsidRPr="00141A1D" w:rsidRDefault="0080157C">
            <w:pPr>
              <w:pStyle w:val="LagtextIndrag"/>
            </w:pPr>
            <w:r w:rsidRPr="00141A1D">
              <w:t>Efterlevandepensionen betalas under fem år från och med månaden efter dödsfallet</w:t>
            </w:r>
            <w:r w:rsidRPr="00141A1D">
              <w:rPr>
                <w:i/>
              </w:rPr>
              <w:t>, dock längst till den tidpunkt då den avlidne företrädaren eller riksdagsledamoten skulle ha fyllt 70 år.</w:t>
            </w:r>
            <w:r w:rsidRPr="00141A1D">
              <w:t xml:space="preserve"> Om företrädaren eller riksdagsl</w:t>
            </w:r>
            <w:r w:rsidRPr="00141A1D">
              <w:t>e</w:t>
            </w:r>
            <w:r w:rsidRPr="00141A1D">
              <w:t>damoten avgått med ålderspension efter fyllda 65 år, betalas efterlevand</w:t>
            </w:r>
            <w:r w:rsidRPr="00141A1D">
              <w:t>e</w:t>
            </w:r>
            <w:r w:rsidRPr="00141A1D">
              <w:t xml:space="preserve">pension längst under fem år räknat från avgången. </w:t>
            </w:r>
          </w:p>
        </w:tc>
        <w:tc>
          <w:tcPr>
            <w:tcW w:w="3105" w:type="dxa"/>
          </w:tcPr>
          <w:p w:rsidR="0080157C" w:rsidRPr="00141A1D" w:rsidRDefault="0080157C">
            <w:pPr>
              <w:pStyle w:val="LagtextIndrag"/>
            </w:pPr>
            <w:r w:rsidRPr="00141A1D">
              <w:t xml:space="preserve">Efterlevandepensionen betalas under fem år från och med månaden efter dödsfallet. </w:t>
            </w:r>
            <w:r w:rsidRPr="00141A1D">
              <w:rPr>
                <w:i/>
              </w:rPr>
              <w:t>Om företrädaren eller riksdagsledamoten avgått före fyllda 65 år betalas efterlevandepension längst till den tidpunkt då den avlidne skulle ha fyllt 70 år. Detsamma gäller om företrädaren eller riksdagsled</w:t>
            </w:r>
            <w:r w:rsidRPr="00141A1D">
              <w:rPr>
                <w:i/>
              </w:rPr>
              <w:t>a</w:t>
            </w:r>
            <w:r w:rsidRPr="00141A1D">
              <w:rPr>
                <w:i/>
              </w:rPr>
              <w:t>moten avgått med ålderspension då denne fyllde 65 år.</w:t>
            </w:r>
            <w:r w:rsidRPr="00141A1D">
              <w:t xml:space="preserve"> Om företrädaren eller riksdagsledamoten avgått med ålderspension efter fyllda 65 år, betalas efterlevandepension längst under fem år räknat från avgån</w:t>
            </w:r>
            <w:r w:rsidRPr="00141A1D">
              <w:t>g</w:t>
            </w:r>
            <w:r w:rsidRPr="00141A1D">
              <w:t>en.</w:t>
            </w:r>
          </w:p>
        </w:tc>
      </w:tr>
      <w:tr w:rsidR="00000000" w:rsidRPr="00141A1D">
        <w:tblPrEx>
          <w:tblCellMar>
            <w:top w:w="0" w:type="dxa"/>
            <w:bottom w:w="0" w:type="dxa"/>
          </w:tblCellMar>
        </w:tblPrEx>
        <w:tc>
          <w:tcPr>
            <w:tcW w:w="6202" w:type="dxa"/>
            <w:hMerge w:val="restart"/>
          </w:tcPr>
          <w:p w:rsidR="0080157C" w:rsidRPr="00141A1D" w:rsidRDefault="0080157C">
            <w:pPr>
              <w:jc w:val="center"/>
            </w:pPr>
            <w:r w:rsidRPr="00141A1D">
              <w:rPr>
                <w:b/>
              </w:rPr>
              <w:t>9 kap.</w:t>
            </w:r>
          </w:p>
        </w:tc>
        <w:tc>
          <w:tcPr>
            <w:gridSpan w:val="2"/>
            <w:hMerge/>
            <w:vAlign w:val="center"/>
          </w:tcPr>
          <w:p w:rsidR="0080157C" w:rsidRPr="00141A1D" w:rsidRDefault="0080157C"/>
        </w:tc>
      </w:tr>
      <w:tr w:rsidR="00000000" w:rsidRPr="00141A1D">
        <w:tblPrEx>
          <w:tblCellMar>
            <w:top w:w="0" w:type="dxa"/>
            <w:bottom w:w="0" w:type="dxa"/>
          </w:tblCellMar>
        </w:tblPrEx>
        <w:tc>
          <w:tcPr>
            <w:tcW w:w="6202" w:type="dxa"/>
            <w:hMerge w:val="restart"/>
          </w:tcPr>
          <w:p w:rsidR="0080157C" w:rsidRPr="00141A1D" w:rsidRDefault="0080157C">
            <w:pPr>
              <w:jc w:val="center"/>
            </w:pPr>
            <w:r w:rsidRPr="00141A1D">
              <w:t>7 §</w:t>
            </w:r>
          </w:p>
        </w:tc>
        <w:tc>
          <w:tcPr>
            <w:gridSpan w:val="2"/>
            <w:hMerge/>
            <w:vAlign w:val="center"/>
          </w:tcPr>
          <w:p w:rsidR="0080157C" w:rsidRPr="00141A1D" w:rsidRDefault="0080157C"/>
        </w:tc>
      </w:tr>
      <w:tr w:rsidR="00000000" w:rsidRPr="00141A1D">
        <w:tblPrEx>
          <w:tblCellMar>
            <w:top w:w="0" w:type="dxa"/>
            <w:bottom w:w="0" w:type="dxa"/>
          </w:tblCellMar>
        </w:tblPrEx>
        <w:tc>
          <w:tcPr>
            <w:tcW w:w="3097" w:type="dxa"/>
            <w:gridSpan w:val="2"/>
          </w:tcPr>
          <w:p w:rsidR="0080157C" w:rsidRPr="00141A1D" w:rsidRDefault="0080157C">
            <w:pPr>
              <w:pStyle w:val="LagtextIndrag"/>
            </w:pPr>
            <w:r w:rsidRPr="00141A1D">
              <w:t>Underlaget för beräkning av i</w:t>
            </w:r>
            <w:r w:rsidRPr="00141A1D">
              <w:t>n</w:t>
            </w:r>
            <w:r w:rsidRPr="00141A1D">
              <w:t>komstgarantin utgörs av följande arvoden som betalas vid avgångstil</w:t>
            </w:r>
            <w:r w:rsidRPr="00141A1D">
              <w:t>l</w:t>
            </w:r>
            <w:r w:rsidRPr="00141A1D">
              <w:t xml:space="preserve">fället </w:t>
            </w:r>
          </w:p>
          <w:p w:rsidR="0080157C" w:rsidRPr="00141A1D" w:rsidRDefault="0080157C">
            <w:pPr>
              <w:pStyle w:val="LagtextIndrag"/>
            </w:pPr>
            <w:r w:rsidRPr="00141A1D">
              <w:t>1. företrädararvode enligt 2 kap. 2 § denna lag eller ledamotsarvode enligt 3 kap. 1 § lagen (1994:1065) om ek</w:t>
            </w:r>
            <w:r w:rsidRPr="00141A1D">
              <w:t>o</w:t>
            </w:r>
            <w:r w:rsidRPr="00141A1D">
              <w:t>nomiska villkor för riksdagens led</w:t>
            </w:r>
            <w:r w:rsidRPr="00141A1D">
              <w:t>a</w:t>
            </w:r>
            <w:r w:rsidRPr="00141A1D">
              <w:t xml:space="preserve">möter, </w:t>
            </w:r>
          </w:p>
          <w:p w:rsidR="0080157C" w:rsidRPr="00141A1D" w:rsidRDefault="0080157C">
            <w:pPr>
              <w:pStyle w:val="LagtextIndrag"/>
            </w:pPr>
            <w:r w:rsidRPr="00141A1D">
              <w:t xml:space="preserve">2. tilläggsarvode enligt 3 kap. 2 § sistnämnda lag och </w:t>
            </w:r>
          </w:p>
          <w:p w:rsidR="0080157C" w:rsidRPr="00141A1D" w:rsidRDefault="0080157C">
            <w:pPr>
              <w:pStyle w:val="LagtextIndrag"/>
            </w:pPr>
            <w:r w:rsidRPr="00141A1D">
              <w:t>3. arvoden för månad till riksdagsl</w:t>
            </w:r>
            <w:r w:rsidRPr="00141A1D">
              <w:t>e</w:t>
            </w:r>
            <w:r w:rsidRPr="00141A1D">
              <w:t>damot enligt 1 § 1–4 lagen (1989:185) om arvoden m.m. för uppdrag inom riksdagen, dess myndigheter och o</w:t>
            </w:r>
            <w:r w:rsidRPr="00141A1D">
              <w:t>r</w:t>
            </w:r>
            <w:r w:rsidRPr="00141A1D">
              <w:t xml:space="preserve">gan. </w:t>
            </w:r>
          </w:p>
        </w:tc>
        <w:tc>
          <w:tcPr>
            <w:tcW w:w="3105" w:type="dxa"/>
          </w:tcPr>
          <w:p w:rsidR="0080157C" w:rsidRPr="00141A1D" w:rsidRDefault="0080157C">
            <w:pPr>
              <w:pStyle w:val="LagtextIndrag"/>
            </w:pPr>
            <w:r w:rsidRPr="00141A1D">
              <w:t>Underlaget för beräkning av i</w:t>
            </w:r>
            <w:r w:rsidRPr="00141A1D">
              <w:t>n</w:t>
            </w:r>
            <w:r w:rsidRPr="00141A1D">
              <w:t>komstgarantin utgörs av följande arvoden som betalas vid avgångstil</w:t>
            </w:r>
            <w:r w:rsidRPr="00141A1D">
              <w:t>l</w:t>
            </w:r>
            <w:r w:rsidRPr="00141A1D">
              <w:t xml:space="preserve">fället </w:t>
            </w:r>
          </w:p>
          <w:p w:rsidR="0080157C" w:rsidRPr="00141A1D" w:rsidRDefault="0080157C">
            <w:pPr>
              <w:pStyle w:val="LagtextIndrag"/>
            </w:pPr>
            <w:r w:rsidRPr="00141A1D">
              <w:t>1. företrädararvode enligt 2 kap. 2 § denna lag eller ledamotsarvode enligt 3 kap. 1 § lagen (1994:1065) om ek</w:t>
            </w:r>
            <w:r w:rsidRPr="00141A1D">
              <w:t>o</w:t>
            </w:r>
            <w:r w:rsidRPr="00141A1D">
              <w:t>nomiska villkor för riksdagens led</w:t>
            </w:r>
            <w:r w:rsidRPr="00141A1D">
              <w:t>a</w:t>
            </w:r>
            <w:r w:rsidRPr="00141A1D">
              <w:t xml:space="preserve">möter, </w:t>
            </w:r>
          </w:p>
          <w:p w:rsidR="0080157C" w:rsidRPr="00141A1D" w:rsidRDefault="0080157C">
            <w:pPr>
              <w:pStyle w:val="LagtextIndrag"/>
            </w:pPr>
            <w:r w:rsidRPr="00141A1D">
              <w:t xml:space="preserve">2. tilläggsarvode enligt 3 kap. 2 § sistnämnda lag och </w:t>
            </w:r>
          </w:p>
          <w:p w:rsidR="0080157C" w:rsidRPr="00141A1D" w:rsidRDefault="0080157C">
            <w:pPr>
              <w:pStyle w:val="LagtextIndrag"/>
            </w:pPr>
            <w:r w:rsidRPr="00141A1D">
              <w:t>3. arvoden för månad till riksdagsl</w:t>
            </w:r>
            <w:r w:rsidRPr="00141A1D">
              <w:t>e</w:t>
            </w:r>
            <w:r w:rsidRPr="00141A1D">
              <w:t xml:space="preserve">damot enligt 1 § 1–4 </w:t>
            </w:r>
            <w:r w:rsidRPr="00141A1D">
              <w:rPr>
                <w:i/>
              </w:rPr>
              <w:t xml:space="preserve">och 8 </w:t>
            </w:r>
            <w:r w:rsidRPr="00141A1D">
              <w:t>lagen (1989:185) om arvoden m.m. för up</w:t>
            </w:r>
            <w:r w:rsidRPr="00141A1D">
              <w:t>p</w:t>
            </w:r>
            <w:r w:rsidRPr="00141A1D">
              <w:t>drag inom riksdagen, dess myndigheter och organ.</w:t>
            </w:r>
          </w:p>
        </w:tc>
      </w:tr>
    </w:tbl>
    <w:p w:rsidR="0080157C" w:rsidRPr="00141A1D" w:rsidRDefault="0080157C">
      <w:r w:rsidRPr="00141A1D">
        <w:br/>
        <w:t>____________</w:t>
      </w:r>
    </w:p>
    <w:p w:rsidR="0080157C" w:rsidRPr="00141A1D" w:rsidRDefault="0080157C">
      <w:pPr>
        <w:pStyle w:val="LagtextIndrag"/>
      </w:pPr>
      <w:r w:rsidRPr="00141A1D">
        <w:t xml:space="preserve">1. Denna lag träder i kraft den 1 januari 2002. </w:t>
      </w:r>
    </w:p>
    <w:p w:rsidR="0080157C" w:rsidRPr="00141A1D" w:rsidRDefault="0080157C">
      <w:pPr>
        <w:pStyle w:val="LagtextIndrag"/>
      </w:pPr>
      <w:r w:rsidRPr="00141A1D">
        <w:t xml:space="preserve">2. Bestämmelserna i 3 kap. 4 § och 9 kap. 7 § i sin nya lydelse tillämpas </w:t>
      </w:r>
    </w:p>
    <w:p w:rsidR="0080157C" w:rsidRPr="00141A1D" w:rsidRDefault="0080157C">
      <w:pPr>
        <w:pStyle w:val="Lagtext"/>
      </w:pPr>
      <w:r w:rsidRPr="00141A1D">
        <w:t xml:space="preserve">dock för tid från och med den 1 juni 1996. </w:t>
      </w:r>
    </w:p>
    <w:p w:rsidR="0080157C" w:rsidRPr="00141A1D" w:rsidRDefault="0080157C">
      <w:pPr>
        <w:pStyle w:val="Lagtext"/>
      </w:pPr>
    </w:p>
    <w:p w:rsidR="0080157C" w:rsidRPr="00141A1D" w:rsidRDefault="0080157C">
      <w:pPr>
        <w:pStyle w:val="Lagtext"/>
        <w:sectPr w:rsidR="00000000" w:rsidRPr="00141A1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0157C" w:rsidRPr="00141A1D" w:rsidRDefault="0080157C">
      <w:pPr>
        <w:pStyle w:val="Bilaga"/>
      </w:pPr>
      <w:bookmarkStart w:id="124" w:name="_Toc530476038"/>
      <w:r w:rsidRPr="00141A1D">
        <w:t>Bilaga 3</w:t>
      </w:r>
    </w:p>
    <w:p w:rsidR="0080157C" w:rsidRPr="00141A1D" w:rsidRDefault="0080157C">
      <w:pPr>
        <w:pStyle w:val="Rubrik1"/>
        <w:rPr>
          <w:noProof w:val="0"/>
        </w:rPr>
      </w:pPr>
      <w:r w:rsidRPr="00141A1D">
        <w:rPr>
          <w:noProof w:val="0"/>
        </w:rPr>
        <w:t>Reservanternas lagförslag</w:t>
      </w:r>
      <w:bookmarkEnd w:id="124"/>
    </w:p>
    <w:p w:rsidR="0080157C" w:rsidRPr="00141A1D" w:rsidRDefault="0080157C">
      <w:pPr>
        <w:pStyle w:val="Rubrik2"/>
        <w:spacing w:before="0"/>
      </w:pPr>
      <w:bookmarkStart w:id="125" w:name="_Toc530476039"/>
      <w:r w:rsidRPr="00141A1D">
        <w:t>Förslag till lag om ändring i lagen (1996:810) om registrering av riksdagsledamöters åtaganden och ekonomiska intre</w:t>
      </w:r>
      <w:r w:rsidRPr="00141A1D">
        <w:t>s</w:t>
      </w:r>
      <w:r w:rsidRPr="00141A1D">
        <w:t>sen</w:t>
      </w:r>
      <w:bookmarkEnd w:id="125"/>
    </w:p>
    <w:p w:rsidR="0080157C" w:rsidRPr="00141A1D" w:rsidRDefault="0080157C">
      <w:pPr>
        <w:pStyle w:val="LagtextIndrag"/>
      </w:pPr>
      <w:r w:rsidRPr="00141A1D">
        <w:t>Härigenom föreskrivs att 4 §, 7 § och 9 § lagen (1996:810) om registrering av riksdagsledamöternas åtaganden och ekonomiska intressen skall upphöra att gälla med utgången av år 2001.</w:t>
      </w:r>
    </w:p>
    <w:p w:rsidR="0080157C" w:rsidRPr="00141A1D" w:rsidRDefault="0080157C">
      <w:pPr>
        <w:pStyle w:val="LagtextIndrag"/>
      </w:pPr>
    </w:p>
    <w:p w:rsidR="0080157C" w:rsidRPr="00141A1D" w:rsidRDefault="0080157C">
      <w:pPr>
        <w:pStyle w:val="LagtextIndrag"/>
      </w:pPr>
    </w:p>
    <w:p w:rsidR="0080157C" w:rsidRPr="00141A1D" w:rsidRDefault="0080157C">
      <w:pPr>
        <w:pStyle w:val="LagtextIndrag"/>
      </w:pPr>
    </w:p>
    <w:p w:rsidR="0080157C" w:rsidRPr="00141A1D" w:rsidRDefault="0080157C">
      <w:pPr>
        <w:pStyle w:val="Normaltindrag"/>
      </w:pPr>
    </w:p>
    <w:p w:rsidR="0080157C" w:rsidRPr="00141A1D" w:rsidRDefault="0080157C"/>
    <w:p w:rsidR="0080157C" w:rsidRPr="00141A1D" w:rsidRDefault="0080157C">
      <w:pPr>
        <w:pStyle w:val="Tryckort"/>
        <w:framePr w:wrap="around"/>
        <w:jc w:val="right"/>
      </w:pPr>
      <w:r w:rsidRPr="00141A1D">
        <w:t>Elanders Gotab, Stockholm  2001</w:t>
      </w:r>
    </w:p>
    <w:p w:rsidR="0080157C" w:rsidRPr="00141A1D" w:rsidRDefault="0080157C">
      <w:pPr>
        <w:pStyle w:val="Normaltindrag"/>
      </w:pPr>
    </w:p>
    <w:sectPr w:rsidR="0080157C" w:rsidRPr="00141A1D">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57C" w:rsidRPr="00141A1D" w:rsidRDefault="0080157C">
      <w:pPr>
        <w:spacing w:before="0" w:line="240" w:lineRule="auto"/>
      </w:pPr>
      <w:r w:rsidRPr="00141A1D">
        <w:separator/>
      </w:r>
    </w:p>
  </w:endnote>
  <w:endnote w:type="continuationSeparator" w:id="0">
    <w:p w:rsidR="0080157C" w:rsidRPr="00141A1D" w:rsidRDefault="0080157C">
      <w:pPr>
        <w:spacing w:before="0" w:line="240" w:lineRule="auto"/>
      </w:pPr>
      <w:r w:rsidRPr="00141A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2</w:t>
    </w:r>
    <w:r w:rsidRPr="00141A1D">
      <w:fldChar w:fldCharType="end"/>
    </w:r>
  </w:p>
  <w:p w:rsidR="0080157C" w:rsidRPr="00141A1D" w:rsidRDefault="0080157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34</w:t>
    </w:r>
    <w:r w:rsidRPr="00141A1D">
      <w:fldChar w:fldCharType="end"/>
    </w:r>
  </w:p>
  <w:p w:rsidR="0080157C" w:rsidRPr="00141A1D" w:rsidRDefault="0080157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H"/>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35</w:t>
    </w:r>
    <w:r w:rsidRPr="00141A1D">
      <w:fldChar w:fldCharType="end"/>
    </w:r>
  </w:p>
  <w:p w:rsidR="0080157C" w:rsidRPr="00141A1D" w:rsidRDefault="0080157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if </w:instrText>
    </w:r>
    <w:r w:rsidRPr="00141A1D">
      <w:fldChar w:fldCharType="begin" w:fldLock="1"/>
    </w:r>
    <w:r w:rsidRPr="00141A1D">
      <w:instrText xml:space="preserve"> = </w:instrText>
    </w:r>
    <w:r w:rsidRPr="00141A1D">
      <w:fldChar w:fldCharType="begin" w:fldLock="1"/>
    </w:r>
    <w:r w:rsidRPr="00141A1D">
      <w:instrText xml:space="preserve"> = </w:instrText>
    </w:r>
    <w:r w:rsidRPr="00141A1D">
      <w:fldChar w:fldCharType="begin" w:fldLock="1"/>
    </w:r>
    <w:r w:rsidRPr="00141A1D">
      <w:instrText xml:space="preserve"> page</w:instrText>
    </w:r>
    <w:r w:rsidRPr="00141A1D">
      <w:fldChar w:fldCharType="separate"/>
    </w:r>
    <w:r w:rsidRPr="00141A1D">
      <w:instrText>8</w:instrText>
    </w:r>
    <w:r w:rsidRPr="00141A1D">
      <w:fldChar w:fldCharType="end"/>
    </w:r>
    <w:r w:rsidRPr="00141A1D">
      <w:instrText xml:space="preserve">/2 </w:instrText>
    </w:r>
    <w:r w:rsidRPr="00141A1D">
      <w:fldChar w:fldCharType="separate"/>
    </w:r>
    <w:r w:rsidRPr="00141A1D">
      <w:instrText>4</w:instrText>
    </w:r>
    <w:r w:rsidRPr="00141A1D">
      <w:fldChar w:fldCharType="end"/>
    </w:r>
    <w:r w:rsidRPr="00141A1D">
      <w:instrText xml:space="preserve"> - </w:instrText>
    </w:r>
    <w:r w:rsidRPr="00141A1D">
      <w:fldChar w:fldCharType="begin" w:fldLock="1"/>
    </w:r>
    <w:r w:rsidRPr="00141A1D">
      <w:instrText xml:space="preserve"> = int(</w:instrText>
    </w:r>
    <w:r w:rsidRPr="00141A1D">
      <w:fldChar w:fldCharType="begin" w:fldLock="1"/>
    </w:r>
    <w:r w:rsidRPr="00141A1D">
      <w:instrText xml:space="preserve"> page</w:instrText>
    </w:r>
    <w:r w:rsidRPr="00141A1D">
      <w:fldChar w:fldCharType="separate"/>
    </w:r>
    <w:r w:rsidRPr="00141A1D">
      <w:instrText>8</w:instrText>
    </w:r>
    <w:r w:rsidRPr="00141A1D">
      <w:fldChar w:fldCharType="end"/>
    </w:r>
    <w:r w:rsidRPr="00141A1D">
      <w:instrText xml:space="preserve">/2) </w:instrText>
    </w:r>
    <w:r w:rsidRPr="00141A1D">
      <w:fldChar w:fldCharType="separate"/>
    </w:r>
    <w:r w:rsidRPr="00141A1D">
      <w:instrText>4</w:instrText>
    </w:r>
    <w:r w:rsidRPr="00141A1D">
      <w:fldChar w:fldCharType="end"/>
    </w:r>
    <w:r w:rsidRPr="00141A1D">
      <w:fldChar w:fldCharType="separate"/>
    </w:r>
    <w:r w:rsidRPr="00141A1D">
      <w:instrText>0</w:instrText>
    </w:r>
    <w:r w:rsidRPr="00141A1D">
      <w:fldChar w:fldCharType="end"/>
    </w:r>
    <w:r w:rsidRPr="00141A1D">
      <w:instrText xml:space="preserve"> = 0 "</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8</w:instrText>
    </w:r>
    <w:r w:rsidRPr="00141A1D">
      <w:fldChar w:fldCharType="end"/>
    </w:r>
  </w:p>
  <w:p w:rsidR="0080157C" w:rsidRPr="00141A1D" w:rsidRDefault="0080157C">
    <w:pPr>
      <w:pStyle w:val="SidfotV"/>
      <w:framePr w:w="8732" w:h="284" w:hRule="exact" w:hSpace="0" w:vSpace="0" w:wrap="around" w:xAlign="inside" w:y="13042" w:anchorLock="0"/>
    </w:pPr>
    <w:r w:rsidRPr="00141A1D">
      <w:instrText>""</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7</w:instrText>
    </w:r>
    <w:r w:rsidRPr="00141A1D">
      <w:fldChar w:fldCharType="end"/>
    </w:r>
    <w:r w:rsidRPr="00141A1D">
      <w:instrText>"</w:instrText>
    </w:r>
    <w:r w:rsidRPr="00141A1D">
      <w:fldChar w:fldCharType="separate"/>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8</w:t>
    </w:r>
    <w:r w:rsidRPr="00141A1D">
      <w:fldChar w:fldCharType="end"/>
    </w:r>
  </w:p>
  <w:p w:rsidR="0080157C" w:rsidRPr="00141A1D" w:rsidRDefault="0080157C">
    <w:pPr>
      <w:pStyle w:val="SidfotH"/>
      <w:framePr w:w="8732" w:h="284" w:hRule="exact" w:hSpace="0" w:vSpace="0" w:wrap="around" w:xAlign="inside" w:y="13042" w:anchorLock="0"/>
    </w:pPr>
    <w:r w:rsidRPr="00141A1D">
      <w:fldChar w:fldCharType="end"/>
    </w:r>
  </w:p>
  <w:p w:rsidR="0080157C" w:rsidRPr="00141A1D" w:rsidRDefault="0080157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38</w:t>
    </w:r>
    <w:r w:rsidRPr="00141A1D">
      <w:fldChar w:fldCharType="end"/>
    </w:r>
  </w:p>
  <w:p w:rsidR="0080157C" w:rsidRPr="00141A1D" w:rsidRDefault="0080157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H"/>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39</w:t>
    </w:r>
    <w:r w:rsidRPr="00141A1D">
      <w:fldChar w:fldCharType="end"/>
    </w:r>
  </w:p>
  <w:p w:rsidR="0080157C" w:rsidRPr="00141A1D" w:rsidRDefault="0080157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if </w:instrText>
    </w:r>
    <w:r w:rsidRPr="00141A1D">
      <w:fldChar w:fldCharType="begin" w:fldLock="1"/>
    </w:r>
    <w:r w:rsidRPr="00141A1D">
      <w:instrText xml:space="preserve"> = </w:instrText>
    </w:r>
    <w:r w:rsidRPr="00141A1D">
      <w:fldChar w:fldCharType="begin" w:fldLock="1"/>
    </w:r>
    <w:r w:rsidRPr="00141A1D">
      <w:instrText xml:space="preserve"> = </w:instrText>
    </w:r>
    <w:r w:rsidRPr="00141A1D">
      <w:fldChar w:fldCharType="begin" w:fldLock="1"/>
    </w:r>
    <w:r w:rsidRPr="00141A1D">
      <w:instrText xml:space="preserve"> page</w:instrText>
    </w:r>
    <w:r w:rsidRPr="00141A1D">
      <w:fldChar w:fldCharType="separate"/>
    </w:r>
    <w:r w:rsidRPr="00141A1D">
      <w:instrText>36</w:instrText>
    </w:r>
    <w:r w:rsidRPr="00141A1D">
      <w:fldChar w:fldCharType="end"/>
    </w:r>
    <w:r w:rsidRPr="00141A1D">
      <w:instrText xml:space="preserve">/2 </w:instrText>
    </w:r>
    <w:r w:rsidRPr="00141A1D">
      <w:fldChar w:fldCharType="separate"/>
    </w:r>
    <w:r w:rsidRPr="00141A1D">
      <w:instrText>18</w:instrText>
    </w:r>
    <w:r w:rsidRPr="00141A1D">
      <w:fldChar w:fldCharType="end"/>
    </w:r>
    <w:r w:rsidRPr="00141A1D">
      <w:instrText xml:space="preserve"> - </w:instrText>
    </w:r>
    <w:r w:rsidRPr="00141A1D">
      <w:fldChar w:fldCharType="begin" w:fldLock="1"/>
    </w:r>
    <w:r w:rsidRPr="00141A1D">
      <w:instrText xml:space="preserve"> = int(</w:instrText>
    </w:r>
    <w:r w:rsidRPr="00141A1D">
      <w:fldChar w:fldCharType="begin" w:fldLock="1"/>
    </w:r>
    <w:r w:rsidRPr="00141A1D">
      <w:instrText xml:space="preserve"> page</w:instrText>
    </w:r>
    <w:r w:rsidRPr="00141A1D">
      <w:fldChar w:fldCharType="separate"/>
    </w:r>
    <w:r w:rsidRPr="00141A1D">
      <w:instrText>36</w:instrText>
    </w:r>
    <w:r w:rsidRPr="00141A1D">
      <w:fldChar w:fldCharType="end"/>
    </w:r>
    <w:r w:rsidRPr="00141A1D">
      <w:instrText xml:space="preserve">/2) </w:instrText>
    </w:r>
    <w:r w:rsidRPr="00141A1D">
      <w:fldChar w:fldCharType="separate"/>
    </w:r>
    <w:r w:rsidRPr="00141A1D">
      <w:instrText>18</w:instrText>
    </w:r>
    <w:r w:rsidRPr="00141A1D">
      <w:fldChar w:fldCharType="end"/>
    </w:r>
    <w:r w:rsidRPr="00141A1D">
      <w:fldChar w:fldCharType="separate"/>
    </w:r>
    <w:r w:rsidRPr="00141A1D">
      <w:instrText>0</w:instrText>
    </w:r>
    <w:r w:rsidRPr="00141A1D">
      <w:fldChar w:fldCharType="end"/>
    </w:r>
    <w:r w:rsidRPr="00141A1D">
      <w:instrText xml:space="preserve"> = 0 "</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36</w:instrText>
    </w:r>
    <w:r w:rsidRPr="00141A1D">
      <w:fldChar w:fldCharType="end"/>
    </w:r>
  </w:p>
  <w:p w:rsidR="0080157C" w:rsidRPr="00141A1D" w:rsidRDefault="0080157C">
    <w:pPr>
      <w:pStyle w:val="SidfotV"/>
      <w:framePr w:w="8732" w:h="284" w:hRule="exact" w:hSpace="0" w:vSpace="0" w:wrap="around" w:xAlign="inside" w:y="13042" w:anchorLock="0"/>
    </w:pPr>
    <w:r w:rsidRPr="00141A1D">
      <w:instrText>""</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35</w:instrText>
    </w:r>
    <w:r w:rsidRPr="00141A1D">
      <w:fldChar w:fldCharType="end"/>
    </w:r>
    <w:r w:rsidRPr="00141A1D">
      <w:instrText>"</w:instrText>
    </w:r>
    <w:r w:rsidRPr="00141A1D">
      <w:fldChar w:fldCharType="separate"/>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36</w:t>
    </w:r>
    <w:r w:rsidRPr="00141A1D">
      <w:fldChar w:fldCharType="end"/>
    </w:r>
  </w:p>
  <w:p w:rsidR="0080157C" w:rsidRPr="00141A1D" w:rsidRDefault="0080157C">
    <w:pPr>
      <w:pStyle w:val="SidfotH"/>
      <w:framePr w:w="8732" w:h="284" w:hRule="exact" w:hSpace="0" w:vSpace="0" w:wrap="around" w:xAlign="inside" w:y="13042" w:anchorLock="0"/>
    </w:pPr>
    <w:r w:rsidRPr="00141A1D">
      <w:fldChar w:fldCharType="end"/>
    </w:r>
  </w:p>
  <w:p w:rsidR="0080157C" w:rsidRPr="00141A1D" w:rsidRDefault="0080157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50</w:t>
    </w:r>
    <w:r w:rsidRPr="00141A1D">
      <w:fldChar w:fldCharType="end"/>
    </w:r>
  </w:p>
  <w:p w:rsidR="0080157C" w:rsidRPr="00141A1D" w:rsidRDefault="0080157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H"/>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41</w:t>
    </w:r>
    <w:r w:rsidRPr="00141A1D">
      <w:fldChar w:fldCharType="end"/>
    </w:r>
  </w:p>
  <w:p w:rsidR="0080157C" w:rsidRPr="00141A1D" w:rsidRDefault="0080157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if </w:instrText>
    </w:r>
    <w:r w:rsidRPr="00141A1D">
      <w:fldChar w:fldCharType="begin" w:fldLock="1"/>
    </w:r>
    <w:r w:rsidRPr="00141A1D">
      <w:instrText xml:space="preserve"> = </w:instrText>
    </w:r>
    <w:r w:rsidRPr="00141A1D">
      <w:fldChar w:fldCharType="begin" w:fldLock="1"/>
    </w:r>
    <w:r w:rsidRPr="00141A1D">
      <w:instrText xml:space="preserve"> = </w:instrText>
    </w:r>
    <w:r w:rsidRPr="00141A1D">
      <w:fldChar w:fldCharType="begin" w:fldLock="1"/>
    </w:r>
    <w:r w:rsidRPr="00141A1D">
      <w:instrText xml:space="preserve"> page</w:instrText>
    </w:r>
    <w:r w:rsidRPr="00141A1D">
      <w:fldChar w:fldCharType="separate"/>
    </w:r>
    <w:r w:rsidRPr="00141A1D">
      <w:instrText>40</w:instrText>
    </w:r>
    <w:r w:rsidRPr="00141A1D">
      <w:fldChar w:fldCharType="end"/>
    </w:r>
    <w:r w:rsidRPr="00141A1D">
      <w:instrText xml:space="preserve">/2 </w:instrText>
    </w:r>
    <w:r w:rsidRPr="00141A1D">
      <w:fldChar w:fldCharType="separate"/>
    </w:r>
    <w:r w:rsidRPr="00141A1D">
      <w:instrText>20</w:instrText>
    </w:r>
    <w:r w:rsidRPr="00141A1D">
      <w:fldChar w:fldCharType="end"/>
    </w:r>
    <w:r w:rsidRPr="00141A1D">
      <w:instrText xml:space="preserve"> - </w:instrText>
    </w:r>
    <w:r w:rsidRPr="00141A1D">
      <w:fldChar w:fldCharType="begin" w:fldLock="1"/>
    </w:r>
    <w:r w:rsidRPr="00141A1D">
      <w:instrText xml:space="preserve"> = int(</w:instrText>
    </w:r>
    <w:r w:rsidRPr="00141A1D">
      <w:fldChar w:fldCharType="begin" w:fldLock="1"/>
    </w:r>
    <w:r w:rsidRPr="00141A1D">
      <w:instrText xml:space="preserve"> page</w:instrText>
    </w:r>
    <w:r w:rsidRPr="00141A1D">
      <w:fldChar w:fldCharType="separate"/>
    </w:r>
    <w:r w:rsidRPr="00141A1D">
      <w:instrText>40</w:instrText>
    </w:r>
    <w:r w:rsidRPr="00141A1D">
      <w:fldChar w:fldCharType="end"/>
    </w:r>
    <w:r w:rsidRPr="00141A1D">
      <w:instrText xml:space="preserve">/2) </w:instrText>
    </w:r>
    <w:r w:rsidRPr="00141A1D">
      <w:fldChar w:fldCharType="separate"/>
    </w:r>
    <w:r w:rsidRPr="00141A1D">
      <w:instrText>20</w:instrText>
    </w:r>
    <w:r w:rsidRPr="00141A1D">
      <w:fldChar w:fldCharType="end"/>
    </w:r>
    <w:r w:rsidRPr="00141A1D">
      <w:fldChar w:fldCharType="separate"/>
    </w:r>
    <w:r w:rsidRPr="00141A1D">
      <w:instrText>0</w:instrText>
    </w:r>
    <w:r w:rsidRPr="00141A1D">
      <w:fldChar w:fldCharType="end"/>
    </w:r>
    <w:r w:rsidRPr="00141A1D">
      <w:instrText xml:space="preserve"> = 0 "</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40</w:instrText>
    </w:r>
    <w:r w:rsidRPr="00141A1D">
      <w:fldChar w:fldCharType="end"/>
    </w:r>
  </w:p>
  <w:p w:rsidR="0080157C" w:rsidRPr="00141A1D" w:rsidRDefault="0080157C">
    <w:pPr>
      <w:pStyle w:val="SidfotV"/>
      <w:framePr w:w="8732" w:h="284" w:hRule="exact" w:hSpace="0" w:vSpace="0" w:wrap="around" w:xAlign="inside" w:y="13042" w:anchorLock="0"/>
    </w:pPr>
    <w:r w:rsidRPr="00141A1D">
      <w:instrText>""</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39</w:instrText>
    </w:r>
    <w:r w:rsidRPr="00141A1D">
      <w:fldChar w:fldCharType="end"/>
    </w:r>
    <w:r w:rsidRPr="00141A1D">
      <w:instrText>"</w:instrText>
    </w:r>
    <w:r w:rsidRPr="00141A1D">
      <w:fldChar w:fldCharType="separate"/>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40</w:t>
    </w:r>
    <w:r w:rsidRPr="00141A1D">
      <w:fldChar w:fldCharType="end"/>
    </w:r>
  </w:p>
  <w:p w:rsidR="0080157C" w:rsidRPr="00141A1D" w:rsidRDefault="0080157C">
    <w:pPr>
      <w:pStyle w:val="SidfotH"/>
      <w:framePr w:w="8732" w:h="284" w:hRule="exact" w:hSpace="0" w:vSpace="0" w:wrap="around" w:xAlign="inside" w:y="13042" w:anchorLock="0"/>
    </w:pPr>
    <w:r w:rsidRPr="00141A1D">
      <w:fldChar w:fldCharType="end"/>
    </w:r>
  </w:p>
  <w:p w:rsidR="0080157C" w:rsidRPr="00141A1D" w:rsidRDefault="0080157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44</w:t>
    </w:r>
    <w:r w:rsidRPr="00141A1D">
      <w:fldChar w:fldCharType="end"/>
    </w:r>
  </w:p>
  <w:p w:rsidR="0080157C" w:rsidRPr="00141A1D" w:rsidRDefault="008015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H"/>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1</w:t>
    </w:r>
    <w:r w:rsidRPr="00141A1D">
      <w:fldChar w:fldCharType="end"/>
    </w:r>
  </w:p>
  <w:p w:rsidR="0080157C" w:rsidRPr="00141A1D" w:rsidRDefault="0080157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H"/>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43</w:t>
    </w:r>
    <w:r w:rsidRPr="00141A1D">
      <w:fldChar w:fldCharType="end"/>
    </w:r>
  </w:p>
  <w:p w:rsidR="0080157C" w:rsidRPr="00141A1D" w:rsidRDefault="0080157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if </w:instrText>
    </w:r>
    <w:r w:rsidRPr="00141A1D">
      <w:fldChar w:fldCharType="begin" w:fldLock="1"/>
    </w:r>
    <w:r w:rsidRPr="00141A1D">
      <w:instrText xml:space="preserve"> = </w:instrText>
    </w:r>
    <w:r w:rsidRPr="00141A1D">
      <w:fldChar w:fldCharType="begin" w:fldLock="1"/>
    </w:r>
    <w:r w:rsidRPr="00141A1D">
      <w:instrText xml:space="preserve"> = </w:instrText>
    </w:r>
    <w:r w:rsidRPr="00141A1D">
      <w:fldChar w:fldCharType="begin" w:fldLock="1"/>
    </w:r>
    <w:r w:rsidRPr="00141A1D">
      <w:instrText xml:space="preserve"> page</w:instrText>
    </w:r>
    <w:r w:rsidRPr="00141A1D">
      <w:fldChar w:fldCharType="separate"/>
    </w:r>
    <w:r w:rsidRPr="00141A1D">
      <w:instrText>41</w:instrText>
    </w:r>
    <w:r w:rsidRPr="00141A1D">
      <w:fldChar w:fldCharType="end"/>
    </w:r>
    <w:r w:rsidRPr="00141A1D">
      <w:instrText xml:space="preserve">/2 </w:instrText>
    </w:r>
    <w:r w:rsidRPr="00141A1D">
      <w:fldChar w:fldCharType="separate"/>
    </w:r>
    <w:r w:rsidRPr="00141A1D">
      <w:instrText>20,5</w:instrText>
    </w:r>
    <w:r w:rsidRPr="00141A1D">
      <w:fldChar w:fldCharType="end"/>
    </w:r>
    <w:r w:rsidRPr="00141A1D">
      <w:instrText xml:space="preserve"> - </w:instrText>
    </w:r>
    <w:r w:rsidRPr="00141A1D">
      <w:fldChar w:fldCharType="begin" w:fldLock="1"/>
    </w:r>
    <w:r w:rsidRPr="00141A1D">
      <w:instrText xml:space="preserve"> = int(</w:instrText>
    </w:r>
    <w:r w:rsidRPr="00141A1D">
      <w:fldChar w:fldCharType="begin" w:fldLock="1"/>
    </w:r>
    <w:r w:rsidRPr="00141A1D">
      <w:instrText xml:space="preserve"> page</w:instrText>
    </w:r>
    <w:r w:rsidRPr="00141A1D">
      <w:fldChar w:fldCharType="separate"/>
    </w:r>
    <w:r w:rsidRPr="00141A1D">
      <w:instrText>41</w:instrText>
    </w:r>
    <w:r w:rsidRPr="00141A1D">
      <w:fldChar w:fldCharType="end"/>
    </w:r>
    <w:r w:rsidRPr="00141A1D">
      <w:instrText xml:space="preserve">/2) </w:instrText>
    </w:r>
    <w:r w:rsidRPr="00141A1D">
      <w:fldChar w:fldCharType="separate"/>
    </w:r>
    <w:r w:rsidRPr="00141A1D">
      <w:instrText>20</w:instrText>
    </w:r>
    <w:r w:rsidRPr="00141A1D">
      <w:fldChar w:fldCharType="end"/>
    </w:r>
    <w:r w:rsidRPr="00141A1D">
      <w:fldChar w:fldCharType="separate"/>
    </w:r>
    <w:r w:rsidRPr="00141A1D">
      <w:instrText>0,5</w:instrText>
    </w:r>
    <w:r w:rsidRPr="00141A1D">
      <w:fldChar w:fldCharType="end"/>
    </w:r>
    <w:r w:rsidRPr="00141A1D">
      <w:instrText xml:space="preserve"> = 0 "</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40</w:instrText>
    </w:r>
    <w:r w:rsidRPr="00141A1D">
      <w:fldChar w:fldCharType="end"/>
    </w:r>
  </w:p>
  <w:p w:rsidR="0080157C" w:rsidRPr="00141A1D" w:rsidRDefault="0080157C">
    <w:pPr>
      <w:pStyle w:val="SidfotH"/>
      <w:framePr w:w="8732" w:h="284" w:hRule="exact" w:hSpace="0" w:vSpace="0" w:wrap="around" w:xAlign="inside" w:y="13042" w:anchorLock="0"/>
    </w:pPr>
    <w:r w:rsidRPr="00141A1D">
      <w:instrText>""</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41</w:instrText>
    </w:r>
    <w:r w:rsidRPr="00141A1D">
      <w:fldChar w:fldCharType="end"/>
    </w:r>
    <w:r w:rsidRPr="00141A1D">
      <w:instrText>"</w:instrText>
    </w:r>
    <w:r w:rsidRPr="00141A1D">
      <w:fldChar w:fldCharType="separate"/>
    </w:r>
    <w:r w:rsidRPr="00141A1D">
      <w:t>41</w:t>
    </w:r>
    <w:r w:rsidRPr="00141A1D">
      <w:fldChar w:fldCharType="end"/>
    </w:r>
  </w:p>
  <w:p w:rsidR="0080157C" w:rsidRPr="00141A1D" w:rsidRDefault="0080157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50</w:t>
    </w:r>
    <w:r w:rsidRPr="00141A1D">
      <w:fldChar w:fldCharType="end"/>
    </w:r>
  </w:p>
  <w:p w:rsidR="0080157C" w:rsidRPr="00141A1D" w:rsidRDefault="0080157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H"/>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49</w:t>
    </w:r>
    <w:r w:rsidRPr="00141A1D">
      <w:fldChar w:fldCharType="end"/>
    </w:r>
  </w:p>
  <w:p w:rsidR="0080157C" w:rsidRPr="00141A1D" w:rsidRDefault="0080157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if </w:instrText>
    </w:r>
    <w:r w:rsidRPr="00141A1D">
      <w:fldChar w:fldCharType="begin" w:fldLock="1"/>
    </w:r>
    <w:r w:rsidRPr="00141A1D">
      <w:instrText xml:space="preserve"> = </w:instrText>
    </w:r>
    <w:r w:rsidRPr="00141A1D">
      <w:fldChar w:fldCharType="begin" w:fldLock="1"/>
    </w:r>
    <w:r w:rsidRPr="00141A1D">
      <w:instrText xml:space="preserve"> = </w:instrText>
    </w:r>
    <w:r w:rsidRPr="00141A1D">
      <w:fldChar w:fldCharType="begin" w:fldLock="1"/>
    </w:r>
    <w:r w:rsidRPr="00141A1D">
      <w:instrText xml:space="preserve"> page</w:instrText>
    </w:r>
    <w:r w:rsidRPr="00141A1D">
      <w:fldChar w:fldCharType="separate"/>
    </w:r>
    <w:r w:rsidRPr="00141A1D">
      <w:instrText>45</w:instrText>
    </w:r>
    <w:r w:rsidRPr="00141A1D">
      <w:fldChar w:fldCharType="end"/>
    </w:r>
    <w:r w:rsidRPr="00141A1D">
      <w:instrText xml:space="preserve">/2 </w:instrText>
    </w:r>
    <w:r w:rsidRPr="00141A1D">
      <w:fldChar w:fldCharType="separate"/>
    </w:r>
    <w:r w:rsidRPr="00141A1D">
      <w:instrText>22,5</w:instrText>
    </w:r>
    <w:r w:rsidRPr="00141A1D">
      <w:fldChar w:fldCharType="end"/>
    </w:r>
    <w:r w:rsidRPr="00141A1D">
      <w:instrText xml:space="preserve"> - </w:instrText>
    </w:r>
    <w:r w:rsidRPr="00141A1D">
      <w:fldChar w:fldCharType="begin" w:fldLock="1"/>
    </w:r>
    <w:r w:rsidRPr="00141A1D">
      <w:instrText xml:space="preserve"> = int(</w:instrText>
    </w:r>
    <w:r w:rsidRPr="00141A1D">
      <w:fldChar w:fldCharType="begin" w:fldLock="1"/>
    </w:r>
    <w:r w:rsidRPr="00141A1D">
      <w:instrText xml:space="preserve"> page</w:instrText>
    </w:r>
    <w:r w:rsidRPr="00141A1D">
      <w:fldChar w:fldCharType="separate"/>
    </w:r>
    <w:r w:rsidRPr="00141A1D">
      <w:instrText>45</w:instrText>
    </w:r>
    <w:r w:rsidRPr="00141A1D">
      <w:fldChar w:fldCharType="end"/>
    </w:r>
    <w:r w:rsidRPr="00141A1D">
      <w:instrText xml:space="preserve">/2) </w:instrText>
    </w:r>
    <w:r w:rsidRPr="00141A1D">
      <w:fldChar w:fldCharType="separate"/>
    </w:r>
    <w:r w:rsidRPr="00141A1D">
      <w:instrText>22</w:instrText>
    </w:r>
    <w:r w:rsidRPr="00141A1D">
      <w:fldChar w:fldCharType="end"/>
    </w:r>
    <w:r w:rsidRPr="00141A1D">
      <w:fldChar w:fldCharType="separate"/>
    </w:r>
    <w:r w:rsidRPr="00141A1D">
      <w:instrText>0,5</w:instrText>
    </w:r>
    <w:r w:rsidRPr="00141A1D">
      <w:fldChar w:fldCharType="end"/>
    </w:r>
    <w:r w:rsidRPr="00141A1D">
      <w:instrText xml:space="preserve"> = 0 "</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44</w:instrText>
    </w:r>
    <w:r w:rsidRPr="00141A1D">
      <w:fldChar w:fldCharType="end"/>
    </w:r>
  </w:p>
  <w:p w:rsidR="0080157C" w:rsidRPr="00141A1D" w:rsidRDefault="0080157C">
    <w:pPr>
      <w:pStyle w:val="SidfotH"/>
      <w:framePr w:w="8732" w:h="284" w:hRule="exact" w:hSpace="0" w:vSpace="0" w:wrap="around" w:xAlign="inside" w:y="13042" w:anchorLock="0"/>
    </w:pPr>
    <w:r w:rsidRPr="00141A1D">
      <w:instrText>""</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45</w:instrText>
    </w:r>
    <w:r w:rsidRPr="00141A1D">
      <w:fldChar w:fldCharType="end"/>
    </w:r>
    <w:r w:rsidRPr="00141A1D">
      <w:instrText>"</w:instrText>
    </w:r>
    <w:r w:rsidRPr="00141A1D">
      <w:fldChar w:fldCharType="separate"/>
    </w:r>
    <w:r w:rsidRPr="00141A1D">
      <w:t>45</w:t>
    </w:r>
    <w:r w:rsidRPr="00141A1D">
      <w:fldChar w:fldCharType="end"/>
    </w:r>
  </w:p>
  <w:p w:rsidR="0080157C" w:rsidRPr="00141A1D" w:rsidRDefault="0080157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52</w:t>
    </w:r>
    <w:r w:rsidRPr="00141A1D">
      <w:fldChar w:fldCharType="end"/>
    </w:r>
  </w:p>
  <w:p w:rsidR="0080157C" w:rsidRPr="00141A1D" w:rsidRDefault="0080157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H"/>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51</w:t>
    </w:r>
    <w:r w:rsidRPr="00141A1D">
      <w:fldChar w:fldCharType="end"/>
    </w:r>
  </w:p>
  <w:p w:rsidR="0080157C" w:rsidRPr="00141A1D" w:rsidRDefault="0080157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if </w:instrText>
    </w:r>
    <w:r w:rsidRPr="00141A1D">
      <w:fldChar w:fldCharType="begin" w:fldLock="1"/>
    </w:r>
    <w:r w:rsidRPr="00141A1D">
      <w:instrText xml:space="preserve"> = </w:instrText>
    </w:r>
    <w:r w:rsidRPr="00141A1D">
      <w:fldChar w:fldCharType="begin" w:fldLock="1"/>
    </w:r>
    <w:r w:rsidRPr="00141A1D">
      <w:instrText xml:space="preserve"> = </w:instrText>
    </w:r>
    <w:r w:rsidRPr="00141A1D">
      <w:fldChar w:fldCharType="begin" w:fldLock="1"/>
    </w:r>
    <w:r w:rsidRPr="00141A1D">
      <w:instrText xml:space="preserve"> page</w:instrText>
    </w:r>
    <w:r w:rsidRPr="00141A1D">
      <w:fldChar w:fldCharType="separate"/>
    </w:r>
    <w:r w:rsidRPr="00141A1D">
      <w:instrText>51</w:instrText>
    </w:r>
    <w:r w:rsidRPr="00141A1D">
      <w:fldChar w:fldCharType="end"/>
    </w:r>
    <w:r w:rsidRPr="00141A1D">
      <w:instrText xml:space="preserve">/2 </w:instrText>
    </w:r>
    <w:r w:rsidRPr="00141A1D">
      <w:fldChar w:fldCharType="separate"/>
    </w:r>
    <w:r w:rsidRPr="00141A1D">
      <w:instrText>25,5</w:instrText>
    </w:r>
    <w:r w:rsidRPr="00141A1D">
      <w:fldChar w:fldCharType="end"/>
    </w:r>
    <w:r w:rsidRPr="00141A1D">
      <w:instrText xml:space="preserve"> - </w:instrText>
    </w:r>
    <w:r w:rsidRPr="00141A1D">
      <w:fldChar w:fldCharType="begin" w:fldLock="1"/>
    </w:r>
    <w:r w:rsidRPr="00141A1D">
      <w:instrText xml:space="preserve"> = int(</w:instrText>
    </w:r>
    <w:r w:rsidRPr="00141A1D">
      <w:fldChar w:fldCharType="begin" w:fldLock="1"/>
    </w:r>
    <w:r w:rsidRPr="00141A1D">
      <w:instrText xml:space="preserve"> page</w:instrText>
    </w:r>
    <w:r w:rsidRPr="00141A1D">
      <w:fldChar w:fldCharType="separate"/>
    </w:r>
    <w:r w:rsidRPr="00141A1D">
      <w:instrText>51</w:instrText>
    </w:r>
    <w:r w:rsidRPr="00141A1D">
      <w:fldChar w:fldCharType="end"/>
    </w:r>
    <w:r w:rsidRPr="00141A1D">
      <w:instrText xml:space="preserve">/2) </w:instrText>
    </w:r>
    <w:r w:rsidRPr="00141A1D">
      <w:fldChar w:fldCharType="separate"/>
    </w:r>
    <w:r w:rsidRPr="00141A1D">
      <w:instrText>25</w:instrText>
    </w:r>
    <w:r w:rsidRPr="00141A1D">
      <w:fldChar w:fldCharType="end"/>
    </w:r>
    <w:r w:rsidRPr="00141A1D">
      <w:fldChar w:fldCharType="separate"/>
    </w:r>
    <w:r w:rsidRPr="00141A1D">
      <w:instrText>0,5</w:instrText>
    </w:r>
    <w:r w:rsidRPr="00141A1D">
      <w:fldChar w:fldCharType="end"/>
    </w:r>
    <w:r w:rsidRPr="00141A1D">
      <w:instrText xml:space="preserve"> = 0 "</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50</w:instrText>
    </w:r>
    <w:r w:rsidRPr="00141A1D">
      <w:fldChar w:fldCharType="end"/>
    </w:r>
  </w:p>
  <w:p w:rsidR="0080157C" w:rsidRPr="00141A1D" w:rsidRDefault="0080157C">
    <w:pPr>
      <w:pStyle w:val="SidfotH"/>
      <w:framePr w:w="8732" w:h="284" w:hRule="exact" w:hSpace="0" w:vSpace="0" w:wrap="around" w:xAlign="inside" w:y="13042" w:anchorLock="0"/>
    </w:pPr>
    <w:r w:rsidRPr="00141A1D">
      <w:instrText>""</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51</w:instrText>
    </w:r>
    <w:r w:rsidRPr="00141A1D">
      <w:fldChar w:fldCharType="end"/>
    </w:r>
    <w:r w:rsidRPr="00141A1D">
      <w:instrText>"</w:instrText>
    </w:r>
    <w:r w:rsidRPr="00141A1D">
      <w:fldChar w:fldCharType="separate"/>
    </w:r>
    <w:r w:rsidRPr="00141A1D">
      <w:t>51</w:t>
    </w:r>
    <w:r w:rsidRPr="00141A1D">
      <w:fldChar w:fldCharType="end"/>
    </w:r>
  </w:p>
  <w:p w:rsidR="0080157C" w:rsidRPr="00141A1D" w:rsidRDefault="008015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if </w:instrText>
    </w:r>
    <w:r w:rsidRPr="00141A1D">
      <w:fldChar w:fldCharType="begin" w:fldLock="1"/>
    </w:r>
    <w:r w:rsidRPr="00141A1D">
      <w:instrText xml:space="preserve"> = </w:instrText>
    </w:r>
    <w:r w:rsidRPr="00141A1D">
      <w:fldChar w:fldCharType="begin" w:fldLock="1"/>
    </w:r>
    <w:r w:rsidRPr="00141A1D">
      <w:instrText xml:space="preserve"> = </w:instrText>
    </w:r>
    <w:r w:rsidRPr="00141A1D">
      <w:fldChar w:fldCharType="begin" w:fldLock="1"/>
    </w:r>
    <w:r w:rsidRPr="00141A1D">
      <w:instrText xml:space="preserve"> page</w:instrText>
    </w:r>
    <w:r w:rsidRPr="00141A1D">
      <w:fldChar w:fldCharType="separate"/>
    </w:r>
    <w:r w:rsidR="00141A1D">
      <w:rPr>
        <w:noProof/>
      </w:rPr>
      <w:instrText>1</w:instrText>
    </w:r>
    <w:r w:rsidRPr="00141A1D">
      <w:fldChar w:fldCharType="end"/>
    </w:r>
    <w:r w:rsidRPr="00141A1D">
      <w:instrText xml:space="preserve">/2 </w:instrText>
    </w:r>
    <w:r w:rsidRPr="00141A1D">
      <w:fldChar w:fldCharType="separate"/>
    </w:r>
    <w:r w:rsidR="00141A1D">
      <w:rPr>
        <w:noProof/>
      </w:rPr>
      <w:instrText>0,5</w:instrText>
    </w:r>
    <w:r w:rsidRPr="00141A1D">
      <w:fldChar w:fldCharType="end"/>
    </w:r>
    <w:r w:rsidRPr="00141A1D">
      <w:instrText xml:space="preserve"> - </w:instrText>
    </w:r>
    <w:r w:rsidRPr="00141A1D">
      <w:fldChar w:fldCharType="begin" w:fldLock="1"/>
    </w:r>
    <w:r w:rsidRPr="00141A1D">
      <w:instrText xml:space="preserve"> = int(</w:instrText>
    </w:r>
    <w:r w:rsidRPr="00141A1D">
      <w:fldChar w:fldCharType="begin" w:fldLock="1"/>
    </w:r>
    <w:r w:rsidRPr="00141A1D">
      <w:instrText xml:space="preserve"> page</w:instrText>
    </w:r>
    <w:r w:rsidRPr="00141A1D">
      <w:fldChar w:fldCharType="separate"/>
    </w:r>
    <w:r w:rsidR="00141A1D">
      <w:rPr>
        <w:noProof/>
      </w:rPr>
      <w:instrText>1</w:instrText>
    </w:r>
    <w:r w:rsidRPr="00141A1D">
      <w:fldChar w:fldCharType="end"/>
    </w:r>
    <w:r w:rsidRPr="00141A1D">
      <w:instrText xml:space="preserve">/2) </w:instrText>
    </w:r>
    <w:r w:rsidRPr="00141A1D">
      <w:fldChar w:fldCharType="separate"/>
    </w:r>
    <w:r w:rsidR="00141A1D">
      <w:rPr>
        <w:noProof/>
      </w:rPr>
      <w:instrText>0</w:instrText>
    </w:r>
    <w:r w:rsidRPr="00141A1D">
      <w:fldChar w:fldCharType="end"/>
    </w:r>
    <w:r w:rsidRPr="00141A1D">
      <w:fldChar w:fldCharType="separate"/>
    </w:r>
    <w:r w:rsidR="00141A1D">
      <w:rPr>
        <w:noProof/>
      </w:rPr>
      <w:instrText>0,5</w:instrText>
    </w:r>
    <w:r w:rsidRPr="00141A1D">
      <w:fldChar w:fldCharType="end"/>
    </w:r>
    <w:r w:rsidRPr="00141A1D">
      <w:instrText xml:space="preserve"> = 0 "</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14</w:instrText>
    </w:r>
    <w:r w:rsidRPr="00141A1D">
      <w:fldChar w:fldCharType="end"/>
    </w:r>
  </w:p>
  <w:p w:rsidR="0080157C" w:rsidRPr="00141A1D" w:rsidRDefault="0080157C">
    <w:pPr>
      <w:pStyle w:val="SidfotH"/>
      <w:framePr w:w="8732" w:h="284" w:hRule="exact" w:hSpace="0" w:vSpace="0" w:wrap="around" w:xAlign="inside" w:y="13042" w:anchorLock="0"/>
    </w:pPr>
    <w:r w:rsidRPr="00141A1D">
      <w:instrText>""</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00141A1D">
      <w:rPr>
        <w:noProof/>
      </w:rPr>
      <w:instrText>1</w:instrText>
    </w:r>
    <w:r w:rsidRPr="00141A1D">
      <w:fldChar w:fldCharType="end"/>
    </w:r>
    <w:r w:rsidRPr="00141A1D">
      <w:instrText>"</w:instrText>
    </w:r>
    <w:r w:rsidRPr="00141A1D">
      <w:fldChar w:fldCharType="separate"/>
    </w:r>
    <w:r w:rsidR="00141A1D">
      <w:rPr>
        <w:noProof/>
      </w:rPr>
      <w:t>1</w:t>
    </w:r>
    <w:r w:rsidRPr="00141A1D">
      <w:fldChar w:fldCharType="end"/>
    </w:r>
  </w:p>
  <w:p w:rsidR="0080157C" w:rsidRPr="00141A1D" w:rsidRDefault="0080157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4</w:t>
    </w:r>
    <w:r w:rsidRPr="00141A1D">
      <w:fldChar w:fldCharType="end"/>
    </w:r>
  </w:p>
  <w:p w:rsidR="0080157C" w:rsidRPr="00141A1D" w:rsidRDefault="0080157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H"/>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3</w:t>
    </w:r>
    <w:r w:rsidRPr="00141A1D">
      <w:fldChar w:fldCharType="end"/>
    </w:r>
  </w:p>
  <w:p w:rsidR="0080157C" w:rsidRPr="00141A1D" w:rsidRDefault="0080157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if </w:instrText>
    </w:r>
    <w:r w:rsidRPr="00141A1D">
      <w:fldChar w:fldCharType="begin" w:fldLock="1"/>
    </w:r>
    <w:r w:rsidRPr="00141A1D">
      <w:instrText xml:space="preserve"> = </w:instrText>
    </w:r>
    <w:r w:rsidRPr="00141A1D">
      <w:fldChar w:fldCharType="begin" w:fldLock="1"/>
    </w:r>
    <w:r w:rsidRPr="00141A1D">
      <w:instrText xml:space="preserve"> = </w:instrText>
    </w:r>
    <w:r w:rsidRPr="00141A1D">
      <w:fldChar w:fldCharType="begin" w:fldLock="1"/>
    </w:r>
    <w:r w:rsidRPr="00141A1D">
      <w:instrText xml:space="preserve"> page</w:instrText>
    </w:r>
    <w:r w:rsidRPr="00141A1D">
      <w:fldChar w:fldCharType="separate"/>
    </w:r>
    <w:r w:rsidRPr="00141A1D">
      <w:instrText>2</w:instrText>
    </w:r>
    <w:r w:rsidRPr="00141A1D">
      <w:fldChar w:fldCharType="end"/>
    </w:r>
    <w:r w:rsidRPr="00141A1D">
      <w:instrText xml:space="preserve">/2 </w:instrText>
    </w:r>
    <w:r w:rsidRPr="00141A1D">
      <w:fldChar w:fldCharType="separate"/>
    </w:r>
    <w:r w:rsidRPr="00141A1D">
      <w:instrText>1</w:instrText>
    </w:r>
    <w:r w:rsidRPr="00141A1D">
      <w:fldChar w:fldCharType="end"/>
    </w:r>
    <w:r w:rsidRPr="00141A1D">
      <w:instrText xml:space="preserve"> - </w:instrText>
    </w:r>
    <w:r w:rsidRPr="00141A1D">
      <w:fldChar w:fldCharType="begin" w:fldLock="1"/>
    </w:r>
    <w:r w:rsidRPr="00141A1D">
      <w:instrText xml:space="preserve"> = int(</w:instrText>
    </w:r>
    <w:r w:rsidRPr="00141A1D">
      <w:fldChar w:fldCharType="begin" w:fldLock="1"/>
    </w:r>
    <w:r w:rsidRPr="00141A1D">
      <w:instrText xml:space="preserve"> page</w:instrText>
    </w:r>
    <w:r w:rsidRPr="00141A1D">
      <w:fldChar w:fldCharType="separate"/>
    </w:r>
    <w:r w:rsidRPr="00141A1D">
      <w:instrText>2</w:instrText>
    </w:r>
    <w:r w:rsidRPr="00141A1D">
      <w:fldChar w:fldCharType="end"/>
    </w:r>
    <w:r w:rsidRPr="00141A1D">
      <w:instrText xml:space="preserve">/2) </w:instrText>
    </w:r>
    <w:r w:rsidRPr="00141A1D">
      <w:fldChar w:fldCharType="separate"/>
    </w:r>
    <w:r w:rsidRPr="00141A1D">
      <w:instrText>1</w:instrText>
    </w:r>
    <w:r w:rsidRPr="00141A1D">
      <w:fldChar w:fldCharType="end"/>
    </w:r>
    <w:r w:rsidRPr="00141A1D">
      <w:fldChar w:fldCharType="separate"/>
    </w:r>
    <w:r w:rsidRPr="00141A1D">
      <w:instrText>0</w:instrText>
    </w:r>
    <w:r w:rsidRPr="00141A1D">
      <w:fldChar w:fldCharType="end"/>
    </w:r>
    <w:r w:rsidRPr="00141A1D">
      <w:instrText xml:space="preserve"> = 0 "</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2</w:instrText>
    </w:r>
    <w:r w:rsidRPr="00141A1D">
      <w:fldChar w:fldCharType="end"/>
    </w:r>
  </w:p>
  <w:p w:rsidR="0080157C" w:rsidRPr="00141A1D" w:rsidRDefault="0080157C">
    <w:pPr>
      <w:pStyle w:val="SidfotV"/>
      <w:framePr w:w="8732" w:h="284" w:hRule="exact" w:hSpace="0" w:vSpace="0" w:wrap="around" w:xAlign="inside" w:y="13042" w:anchorLock="0"/>
    </w:pPr>
    <w:r w:rsidRPr="00141A1D">
      <w:instrText>""</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3</w:instrText>
    </w:r>
    <w:r w:rsidRPr="00141A1D">
      <w:fldChar w:fldCharType="end"/>
    </w:r>
    <w:r w:rsidRPr="00141A1D">
      <w:instrText>"</w:instrText>
    </w:r>
    <w:r w:rsidRPr="00141A1D">
      <w:fldChar w:fldCharType="separate"/>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2</w:t>
    </w:r>
    <w:r w:rsidRPr="00141A1D">
      <w:fldChar w:fldCharType="end"/>
    </w:r>
  </w:p>
  <w:p w:rsidR="0080157C" w:rsidRPr="00141A1D" w:rsidRDefault="0080157C">
    <w:pPr>
      <w:pStyle w:val="SidfotH"/>
      <w:framePr w:w="8732" w:h="284" w:hRule="exact" w:hSpace="0" w:vSpace="0" w:wrap="around" w:xAlign="inside" w:y="13042" w:anchorLock="0"/>
    </w:pPr>
    <w:r w:rsidRPr="00141A1D">
      <w:fldChar w:fldCharType="end"/>
    </w:r>
  </w:p>
  <w:p w:rsidR="0080157C" w:rsidRPr="00141A1D" w:rsidRDefault="0080157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6</w:t>
    </w:r>
    <w:r w:rsidRPr="00141A1D">
      <w:fldChar w:fldCharType="end"/>
    </w:r>
  </w:p>
  <w:p w:rsidR="0080157C" w:rsidRPr="00141A1D" w:rsidRDefault="0080157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H"/>
      <w:framePr w:w="8732" w:h="284" w:hRule="exact" w:hSpace="0" w:vSpace="0" w:wrap="around" w:xAlign="inside" w:y="13042" w:anchorLock="0"/>
    </w:pP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t>7</w:t>
    </w:r>
    <w:r w:rsidRPr="00141A1D">
      <w:fldChar w:fldCharType="end"/>
    </w:r>
  </w:p>
  <w:p w:rsidR="0080157C" w:rsidRPr="00141A1D" w:rsidRDefault="0080157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fotV"/>
      <w:framePr w:w="8732" w:h="284" w:hRule="exact" w:hSpace="0" w:vSpace="0" w:wrap="around" w:xAlign="inside" w:y="13042" w:anchorLock="0"/>
    </w:pPr>
    <w:r w:rsidRPr="00141A1D">
      <w:fldChar w:fldCharType="begin" w:fldLock="1"/>
    </w:r>
    <w:r w:rsidRPr="00141A1D">
      <w:instrText xml:space="preserve"> if </w:instrText>
    </w:r>
    <w:r w:rsidRPr="00141A1D">
      <w:fldChar w:fldCharType="begin" w:fldLock="1"/>
    </w:r>
    <w:r w:rsidRPr="00141A1D">
      <w:instrText xml:space="preserve"> = </w:instrText>
    </w:r>
    <w:r w:rsidRPr="00141A1D">
      <w:fldChar w:fldCharType="begin" w:fldLock="1"/>
    </w:r>
    <w:r w:rsidRPr="00141A1D">
      <w:instrText xml:space="preserve"> = </w:instrText>
    </w:r>
    <w:r w:rsidRPr="00141A1D">
      <w:fldChar w:fldCharType="begin" w:fldLock="1"/>
    </w:r>
    <w:r w:rsidRPr="00141A1D">
      <w:instrText xml:space="preserve"> page</w:instrText>
    </w:r>
    <w:r w:rsidRPr="00141A1D">
      <w:fldChar w:fldCharType="separate"/>
    </w:r>
    <w:r w:rsidRPr="00141A1D">
      <w:instrText>5</w:instrText>
    </w:r>
    <w:r w:rsidRPr="00141A1D">
      <w:fldChar w:fldCharType="end"/>
    </w:r>
    <w:r w:rsidRPr="00141A1D">
      <w:instrText xml:space="preserve">/2 </w:instrText>
    </w:r>
    <w:r w:rsidRPr="00141A1D">
      <w:fldChar w:fldCharType="separate"/>
    </w:r>
    <w:r w:rsidRPr="00141A1D">
      <w:instrText>2,5</w:instrText>
    </w:r>
    <w:r w:rsidRPr="00141A1D">
      <w:fldChar w:fldCharType="end"/>
    </w:r>
    <w:r w:rsidRPr="00141A1D">
      <w:instrText xml:space="preserve"> - </w:instrText>
    </w:r>
    <w:r w:rsidRPr="00141A1D">
      <w:fldChar w:fldCharType="begin" w:fldLock="1"/>
    </w:r>
    <w:r w:rsidRPr="00141A1D">
      <w:instrText xml:space="preserve"> = int(</w:instrText>
    </w:r>
    <w:r w:rsidRPr="00141A1D">
      <w:fldChar w:fldCharType="begin" w:fldLock="1"/>
    </w:r>
    <w:r w:rsidRPr="00141A1D">
      <w:instrText xml:space="preserve"> page</w:instrText>
    </w:r>
    <w:r w:rsidRPr="00141A1D">
      <w:fldChar w:fldCharType="separate"/>
    </w:r>
    <w:r w:rsidRPr="00141A1D">
      <w:instrText>5</w:instrText>
    </w:r>
    <w:r w:rsidRPr="00141A1D">
      <w:fldChar w:fldCharType="end"/>
    </w:r>
    <w:r w:rsidRPr="00141A1D">
      <w:instrText xml:space="preserve">/2) </w:instrText>
    </w:r>
    <w:r w:rsidRPr="00141A1D">
      <w:fldChar w:fldCharType="separate"/>
    </w:r>
    <w:r w:rsidRPr="00141A1D">
      <w:instrText>2</w:instrText>
    </w:r>
    <w:r w:rsidRPr="00141A1D">
      <w:fldChar w:fldCharType="end"/>
    </w:r>
    <w:r w:rsidRPr="00141A1D">
      <w:fldChar w:fldCharType="separate"/>
    </w:r>
    <w:r w:rsidRPr="00141A1D">
      <w:instrText>0,5</w:instrText>
    </w:r>
    <w:r w:rsidRPr="00141A1D">
      <w:fldChar w:fldCharType="end"/>
    </w:r>
    <w:r w:rsidRPr="00141A1D">
      <w:instrText xml:space="preserve"> = 0 "</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4</w:instrText>
    </w:r>
    <w:r w:rsidRPr="00141A1D">
      <w:fldChar w:fldCharType="end"/>
    </w:r>
  </w:p>
  <w:p w:rsidR="0080157C" w:rsidRPr="00141A1D" w:rsidRDefault="0080157C">
    <w:pPr>
      <w:pStyle w:val="SidfotH"/>
      <w:framePr w:w="8732" w:h="284" w:hRule="exact" w:hSpace="0" w:vSpace="0" w:wrap="around" w:xAlign="inside" w:y="13042" w:anchorLock="0"/>
    </w:pPr>
    <w:r w:rsidRPr="00141A1D">
      <w:instrText>""</w:instrText>
    </w:r>
    <w:r w:rsidRPr="00141A1D">
      <w:fldChar w:fldCharType="begin" w:fldLock="1"/>
    </w:r>
    <w:r w:rsidRPr="00141A1D">
      <w:instrText xml:space="preserve"> P</w:instrText>
    </w:r>
    <w:r w:rsidRPr="00141A1D">
      <w:instrText>A</w:instrText>
    </w:r>
    <w:r w:rsidRPr="00141A1D">
      <w:instrText xml:space="preserve">GE </w:instrText>
    </w:r>
    <w:r w:rsidRPr="00141A1D">
      <w:fldChar w:fldCharType="separate"/>
    </w:r>
    <w:r w:rsidRPr="00141A1D">
      <w:instrText>5</w:instrText>
    </w:r>
    <w:r w:rsidRPr="00141A1D">
      <w:fldChar w:fldCharType="end"/>
    </w:r>
    <w:r w:rsidRPr="00141A1D">
      <w:instrText>"</w:instrText>
    </w:r>
    <w:r w:rsidRPr="00141A1D">
      <w:fldChar w:fldCharType="separate"/>
    </w:r>
    <w:r w:rsidRPr="00141A1D">
      <w:t>5</w:t>
    </w:r>
    <w:r w:rsidRPr="00141A1D">
      <w:fldChar w:fldCharType="end"/>
    </w:r>
  </w:p>
  <w:p w:rsidR="0080157C" w:rsidRPr="00141A1D" w:rsidRDefault="00801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57C" w:rsidRPr="00141A1D" w:rsidRDefault="0080157C">
      <w:pPr>
        <w:pStyle w:val="Sidfot"/>
      </w:pPr>
    </w:p>
  </w:footnote>
  <w:footnote w:type="continuationSeparator" w:id="0">
    <w:p w:rsidR="0080157C" w:rsidRPr="00141A1D" w:rsidRDefault="0080157C">
      <w:pPr>
        <w:spacing w:before="0" w:line="240" w:lineRule="auto"/>
      </w:pPr>
      <w:r w:rsidRPr="00141A1D">
        <w:continuationSeparator/>
      </w:r>
    </w:p>
  </w:footnote>
  <w:footnote w:id="1">
    <w:p w:rsidR="0080157C" w:rsidRPr="00141A1D" w:rsidRDefault="0080157C">
      <w:pPr>
        <w:pStyle w:val="Fotnotstext"/>
      </w:pPr>
      <w:r w:rsidRPr="00141A1D">
        <w:rPr>
          <w:rStyle w:val="Fotnotsreferens"/>
        </w:rPr>
        <w:footnoteRef/>
      </w:r>
      <w:r w:rsidRPr="00141A1D">
        <w:t>Senaste lydelse 1997:1067.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fldChar w:fldCharType="begin" w:fldLock="1"/>
    </w:r>
    <w:r w:rsidRPr="00141A1D">
      <w:rPr>
        <w:rStyle w:val="SidhuvudUtskott"/>
      </w:rPr>
      <w:instrText xml:space="preserve"> DOCPROPERTY BetänkandeÅr</w:instrText>
    </w:r>
    <w:r w:rsidRPr="00141A1D">
      <w:rPr>
        <w:rStyle w:val="SidhuvudUtskott"/>
      </w:rPr>
      <w:fldChar w:fldCharType="separate"/>
    </w:r>
    <w:r w:rsidRPr="00141A1D">
      <w:rPr>
        <w:rStyle w:val="SidhuvudUtskott"/>
      </w:rPr>
      <w:t>2001/02</w:t>
    </w:r>
    <w:r w:rsidRPr="00141A1D">
      <w:rPr>
        <w:rStyle w:val="SidhuvudUtskott"/>
      </w:rPr>
      <w:fldChar w:fldCharType="end"/>
    </w:r>
    <w:r w:rsidRPr="00141A1D">
      <w:rPr>
        <w:rStyle w:val="SidhuvudUtskott"/>
      </w:rPr>
      <w:t>:</w:t>
    </w:r>
    <w:r w:rsidRPr="00141A1D">
      <w:rPr>
        <w:rStyle w:val="SidhuvudUtskott"/>
      </w:rPr>
      <w:fldChar w:fldCharType="begin" w:fldLock="1"/>
    </w:r>
    <w:r w:rsidRPr="00141A1D">
      <w:rPr>
        <w:rStyle w:val="SidhuvudUtskott"/>
      </w:rPr>
      <w:instrText xml:space="preserve"> DOCPROPERTY Utskott</w:instrText>
    </w:r>
    <w:r w:rsidRPr="00141A1D">
      <w:rPr>
        <w:rStyle w:val="SidhuvudUtskott"/>
      </w:rPr>
      <w:fldChar w:fldCharType="separate"/>
    </w:r>
    <w:r w:rsidRPr="00141A1D">
      <w:rPr>
        <w:rStyle w:val="SidhuvudUtskott"/>
      </w:rPr>
      <w:t>KU</w:t>
    </w:r>
    <w:r w:rsidRPr="00141A1D">
      <w:rPr>
        <w:rStyle w:val="SidhuvudUtskott"/>
      </w:rPr>
      <w:fldChar w:fldCharType="end"/>
    </w:r>
    <w:r w:rsidRPr="00141A1D">
      <w:rPr>
        <w:rStyle w:val="SidhuvudUtskott"/>
      </w:rPr>
      <w:fldChar w:fldCharType="begin" w:fldLock="1"/>
    </w:r>
    <w:r w:rsidRPr="00141A1D">
      <w:rPr>
        <w:rStyle w:val="SidhuvudUtskott"/>
      </w:rPr>
      <w:instrText xml:space="preserve"> DOCPROPERTY BetänkandeNr</w:instrText>
    </w:r>
    <w:r w:rsidRPr="00141A1D">
      <w:rPr>
        <w:rStyle w:val="SidhuvudUtskott"/>
      </w:rPr>
      <w:fldChar w:fldCharType="separate"/>
    </w:r>
    <w:r w:rsidRPr="00141A1D">
      <w:rPr>
        <w:rStyle w:val="SidhuvudUtskott"/>
      </w:rPr>
      <w:t>12</w:t>
    </w:r>
    <w:r w:rsidRPr="00141A1D">
      <w:rPr>
        <w:rStyle w:val="SidhuvudUtskott"/>
      </w:rPr>
      <w:fldChar w:fldCharType="end"/>
    </w:r>
    <w:r w:rsidRPr="00141A1D">
      <w:t xml:space="preserve">  </w:t>
    </w:r>
    <w:r w:rsidRPr="00141A1D">
      <w:rPr>
        <w:rStyle w:val="SidhuvudRubrikReferens"/>
      </w:rPr>
      <w:fldChar w:fldCharType="begin" w:fldLock="1"/>
    </w:r>
    <w:r w:rsidRPr="00141A1D">
      <w:rPr>
        <w:rStyle w:val="SidhuvudRubrikReferens"/>
      </w:rPr>
      <w:instrText xml:space="preserve"> StyleREF "Rubrik 1" </w:instrText>
    </w:r>
    <w:r w:rsidRPr="00141A1D">
      <w:rPr>
        <w:rStyle w:val="SidhuvudRubrikReferens"/>
      </w:rPr>
      <w:fldChar w:fldCharType="separate"/>
    </w:r>
    <w:r w:rsidRPr="00141A1D">
      <w:rPr>
        <w:rStyle w:val="SidhuvudRubrikReferens"/>
      </w:rPr>
      <w:t>Sammanfattning</w:t>
    </w:r>
    <w:r w:rsidRPr="00141A1D">
      <w:rPr>
        <w:rStyle w:val="SidhuvudRubrikReferens"/>
      </w:rPr>
      <w:fldChar w:fldCharType="end"/>
    </w:r>
  </w:p>
  <w:p w:rsidR="0080157C" w:rsidRPr="00141A1D" w:rsidRDefault="0080157C">
    <w:pPr>
      <w:pStyle w:val="SidhuvudKantJmn"/>
      <w:framePr w:w="8732" w:h="567" w:hRule="exact" w:vSpace="0" w:wrap="around" w:vAnchor="page" w:y="341" w:anchorLock="0"/>
    </w:pPr>
    <w:r w:rsidRPr="00141A1D">
      <w:rPr>
        <w:rStyle w:val="SidhuvudUtskott"/>
      </w:rPr>
      <w:fldChar w:fldCharType="begin" w:fldLock="1"/>
    </w:r>
    <w:r w:rsidRPr="00141A1D">
      <w:rPr>
        <w:rStyle w:val="SidhuvudUtskott"/>
      </w:rPr>
      <w:instrText xml:space="preserve"> DOCPROPERTY Status</w:instrText>
    </w:r>
    <w:r w:rsidRPr="00141A1D">
      <w:rPr>
        <w:rStyle w:val="SidhuvudUtskott"/>
      </w:rPr>
      <w:fldChar w:fldCharType="end"/>
    </w:r>
    <w:r w:rsidRPr="00141A1D">
      <w:rPr>
        <w:rStyle w:val="SidhuvudUtskott"/>
      </w:rPr>
      <w:fldChar w:fldCharType="begin" w:fldLock="1"/>
    </w:r>
    <w:r w:rsidRPr="00141A1D">
      <w:rPr>
        <w:rStyle w:val="SidhuvudUtskott"/>
      </w:rPr>
      <w:instrText xml:space="preserve"> if </w:instrText>
    </w:r>
    <w:r w:rsidRPr="00141A1D">
      <w:rPr>
        <w:rStyle w:val="SidhuvudUtskott"/>
      </w:rPr>
      <w:fldChar w:fldCharType="begin" w:fldLock="1"/>
    </w:r>
    <w:r w:rsidRPr="00141A1D">
      <w:rPr>
        <w:rStyle w:val="SidhuvudUtskott"/>
      </w:rPr>
      <w:instrText xml:space="preserve"> DOCPROPERTY "UtkastDatum"</w:instrText>
    </w:r>
    <w:r w:rsidRPr="00141A1D">
      <w:rPr>
        <w:rStyle w:val="SidhuvudUtskott"/>
      </w:rPr>
      <w:fldChar w:fldCharType="separate"/>
    </w:r>
    <w:r w:rsidRPr="00141A1D">
      <w:rPr>
        <w:rStyle w:val="SidhuvudUtskott"/>
      </w:rPr>
      <w:instrText>Nej</w:instrText>
    </w:r>
    <w:r w:rsidRPr="00141A1D">
      <w:rPr>
        <w:rStyle w:val="SidhuvudUtskott"/>
      </w:rPr>
      <w:fldChar w:fldCharType="end"/>
    </w:r>
    <w:r w:rsidRPr="00141A1D">
      <w:rPr>
        <w:rStyle w:val="SidhuvudUtskott"/>
      </w:rPr>
      <w:instrText xml:space="preserve"> = "Ja" "    </w:instrText>
    </w:r>
    <w:r w:rsidRPr="00141A1D">
      <w:rPr>
        <w:rStyle w:val="SidhuvudUtskott"/>
      </w:rPr>
      <w:fldChar w:fldCharType="begin" w:fldLock="1"/>
    </w:r>
    <w:r w:rsidRPr="00141A1D">
      <w:rPr>
        <w:rStyle w:val="SidhuvudUtskott"/>
      </w:rPr>
      <w:instrText xml:space="preserve"> PRINTDATE \@ "yyyy-MM-dd HH.mm" </w:instrText>
    </w:r>
    <w:r w:rsidRPr="00141A1D">
      <w:rPr>
        <w:rStyle w:val="SidhuvudUtskott"/>
      </w:rPr>
      <w:fldChar w:fldCharType="separate"/>
    </w:r>
    <w:r w:rsidRPr="00141A1D">
      <w:rPr>
        <w:rStyle w:val="SidhuvudUtskott"/>
      </w:rPr>
      <w:instrText>2000-08-11 16.42</w:instrText>
    </w:r>
    <w:r w:rsidRPr="00141A1D">
      <w:rPr>
        <w:rStyle w:val="SidhuvudUtskott"/>
      </w:rPr>
      <w:fldChar w:fldCharType="end"/>
    </w:r>
    <w:r w:rsidRPr="00141A1D">
      <w:rPr>
        <w:rStyle w:val="SidhuvudUtskott"/>
      </w:rPr>
      <w:instrText xml:space="preserve">" </w:instrText>
    </w:r>
    <w:r w:rsidRPr="00141A1D">
      <w:rPr>
        <w:rStyle w:val="SidhuvudUtskott"/>
      </w:rPr>
      <w:fldChar w:fldCharType="end"/>
    </w:r>
  </w:p>
  <w:p w:rsidR="0080157C" w:rsidRPr="00141A1D" w:rsidRDefault="0080157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2001/02:KU12</w:t>
    </w:r>
    <w:r w:rsidRPr="00141A1D">
      <w:t xml:space="preserve">  </w:t>
    </w:r>
    <w:r w:rsidRPr="00141A1D">
      <w:rPr>
        <w:rStyle w:val="SidhuvudRubrikReferens"/>
      </w:rPr>
      <w:t>Utskottets överväganden</w:t>
    </w:r>
  </w:p>
  <w:p w:rsidR="0080157C" w:rsidRPr="00141A1D" w:rsidRDefault="0080157C">
    <w:pPr>
      <w:pStyle w:val="SidhuvudKantJmn"/>
      <w:framePr w:w="8732" w:h="567" w:hRule="exact" w:vSpace="0" w:wrap="around" w:vAnchor="page" w:y="341" w:anchorLock="0"/>
    </w:pPr>
  </w:p>
  <w:p w:rsidR="0080157C" w:rsidRPr="00141A1D" w:rsidRDefault="0080157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rPr>
        <w:rStyle w:val="SidhuvudRubrikReferens"/>
      </w:rPr>
      <w:t>Utskottets överväganden</w:t>
    </w:r>
    <w:r w:rsidRPr="00141A1D">
      <w:rPr>
        <w:rStyle w:val="SidhuvudBilaga"/>
      </w:rPr>
      <w:t xml:space="preserve"> </w:t>
    </w: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2001/02:KU12</w:t>
    </w:r>
    <w:r w:rsidRPr="00141A1D">
      <w:t xml:space="preserve">    </w:t>
    </w:r>
  </w:p>
  <w:p w:rsidR="0080157C" w:rsidRPr="00141A1D" w:rsidRDefault="0080157C">
    <w:pPr>
      <w:pStyle w:val="SidhuvudKantJmn"/>
      <w:framePr w:w="8732" w:h="567" w:hRule="exact" w:vSpace="0" w:wrap="around" w:vAnchor="page" w:y="341" w:anchorLock="0"/>
    </w:pPr>
  </w:p>
  <w:p w:rsidR="0080157C" w:rsidRPr="00141A1D" w:rsidRDefault="0080157C">
    <w:pPr>
      <w:pStyle w:val="SidhuvudKantUdda"/>
      <w:framePr w:w="8732" w:h="567" w:hRule="exact" w:vSpace="0" w:wrap="around" w:vAnchor="page" w:y="341" w:anchorLock="0"/>
    </w:pPr>
    <w:r w:rsidRPr="00141A1D">
      <w:rPr>
        <w:rStyle w:val="SidhuvudRubrikReferens"/>
        <w:smallCaps w:val="0"/>
        <w:spacing w:val="0"/>
        <w:sz w:val="19"/>
      </w:rPr>
      <w:t xml:space="preserve"> </w:t>
    </w:r>
  </w:p>
  <w:p w:rsidR="0080157C" w:rsidRPr="00141A1D" w:rsidRDefault="0080157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2001/02:KU12</w:t>
    </w:r>
    <w:r w:rsidRPr="00141A1D">
      <w:t xml:space="preserve">  </w:t>
    </w:r>
    <w:r w:rsidRPr="00141A1D">
      <w:rPr>
        <w:rStyle w:val="SidhuvudRubrikReferens"/>
      </w:rPr>
      <w:t>Reservationer</w:t>
    </w:r>
  </w:p>
  <w:p w:rsidR="0080157C" w:rsidRPr="00141A1D" w:rsidRDefault="0080157C">
    <w:pPr>
      <w:pStyle w:val="SidhuvudKantJmn"/>
      <w:framePr w:w="8732" w:h="567" w:hRule="exact" w:vSpace="0" w:wrap="around" w:vAnchor="page" w:y="341" w:anchorLock="0"/>
    </w:pPr>
  </w:p>
  <w:p w:rsidR="0080157C" w:rsidRPr="00141A1D" w:rsidRDefault="0080157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rPr>
        <w:rStyle w:val="SidhuvudRubrikReferens"/>
      </w:rPr>
      <w:t>Reservationer</w:t>
    </w:r>
    <w:r w:rsidRPr="00141A1D">
      <w:rPr>
        <w:rStyle w:val="SidhuvudBilaga"/>
      </w:rPr>
      <w:t xml:space="preserve"> </w:t>
    </w: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2001/02:KU12</w:t>
    </w:r>
    <w:r w:rsidRPr="00141A1D">
      <w:t xml:space="preserve">    </w:t>
    </w:r>
  </w:p>
  <w:p w:rsidR="0080157C" w:rsidRPr="00141A1D" w:rsidRDefault="0080157C">
    <w:pPr>
      <w:pStyle w:val="SidhuvudKantJmn"/>
      <w:framePr w:w="8732" w:h="567" w:hRule="exact" w:vSpace="0" w:wrap="around" w:vAnchor="page" w:y="341" w:anchorLock="0"/>
    </w:pPr>
  </w:p>
  <w:p w:rsidR="0080157C" w:rsidRPr="00141A1D" w:rsidRDefault="0080157C">
    <w:pPr>
      <w:pStyle w:val="SidhuvudKantUdda"/>
      <w:framePr w:w="8732" w:h="567" w:hRule="exact" w:vSpace="0" w:wrap="around" w:vAnchor="page" w:y="341" w:anchorLock="0"/>
    </w:pPr>
    <w:r w:rsidRPr="00141A1D">
      <w:rPr>
        <w:rStyle w:val="SidhuvudRubrikReferens"/>
        <w:smallCaps w:val="0"/>
        <w:spacing w:val="0"/>
        <w:sz w:val="19"/>
      </w:rPr>
      <w:t xml:space="preserve"> </w:t>
    </w:r>
  </w:p>
  <w:p w:rsidR="0080157C" w:rsidRPr="00141A1D" w:rsidRDefault="0080157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fldChar w:fldCharType="begin" w:fldLock="1"/>
    </w:r>
    <w:r w:rsidRPr="00141A1D">
      <w:rPr>
        <w:rStyle w:val="SidhuvudUtskott"/>
      </w:rPr>
      <w:instrText xml:space="preserve"> DOCPROPERTY BetänkandeÅr</w:instrText>
    </w:r>
    <w:r w:rsidRPr="00141A1D">
      <w:rPr>
        <w:rStyle w:val="SidhuvudUtskott"/>
      </w:rPr>
      <w:fldChar w:fldCharType="separate"/>
    </w:r>
    <w:r w:rsidRPr="00141A1D">
      <w:rPr>
        <w:rStyle w:val="SidhuvudUtskott"/>
      </w:rPr>
      <w:t>2001/02</w:t>
    </w:r>
    <w:r w:rsidRPr="00141A1D">
      <w:rPr>
        <w:rStyle w:val="SidhuvudUtskott"/>
      </w:rPr>
      <w:fldChar w:fldCharType="end"/>
    </w:r>
    <w:r w:rsidRPr="00141A1D">
      <w:rPr>
        <w:rStyle w:val="SidhuvudUtskott"/>
      </w:rPr>
      <w:t>:</w:t>
    </w:r>
    <w:r w:rsidRPr="00141A1D">
      <w:rPr>
        <w:rStyle w:val="SidhuvudUtskott"/>
      </w:rPr>
      <w:fldChar w:fldCharType="begin" w:fldLock="1"/>
    </w:r>
    <w:r w:rsidRPr="00141A1D">
      <w:rPr>
        <w:rStyle w:val="SidhuvudUtskott"/>
      </w:rPr>
      <w:instrText xml:space="preserve"> DOCPROPERTY Utskott</w:instrText>
    </w:r>
    <w:r w:rsidRPr="00141A1D">
      <w:rPr>
        <w:rStyle w:val="SidhuvudUtskott"/>
      </w:rPr>
      <w:fldChar w:fldCharType="separate"/>
    </w:r>
    <w:r w:rsidRPr="00141A1D">
      <w:rPr>
        <w:rStyle w:val="SidhuvudUtskott"/>
      </w:rPr>
      <w:t>KU</w:t>
    </w:r>
    <w:r w:rsidRPr="00141A1D">
      <w:rPr>
        <w:rStyle w:val="SidhuvudUtskott"/>
      </w:rPr>
      <w:fldChar w:fldCharType="end"/>
    </w:r>
    <w:r w:rsidRPr="00141A1D">
      <w:rPr>
        <w:rStyle w:val="SidhuvudUtskott"/>
      </w:rPr>
      <w:fldChar w:fldCharType="begin" w:fldLock="1"/>
    </w:r>
    <w:r w:rsidRPr="00141A1D">
      <w:rPr>
        <w:rStyle w:val="SidhuvudUtskott"/>
      </w:rPr>
      <w:instrText xml:space="preserve"> DOCPROPERTY BetänkandeNr</w:instrText>
    </w:r>
    <w:r w:rsidRPr="00141A1D">
      <w:rPr>
        <w:rStyle w:val="SidhuvudUtskott"/>
      </w:rPr>
      <w:fldChar w:fldCharType="separate"/>
    </w:r>
    <w:r w:rsidRPr="00141A1D">
      <w:rPr>
        <w:rStyle w:val="SidhuvudUtskott"/>
      </w:rPr>
      <w:t>12</w:t>
    </w:r>
    <w:r w:rsidRPr="00141A1D">
      <w:rPr>
        <w:rStyle w:val="SidhuvudUtskott"/>
      </w:rPr>
      <w:fldChar w:fldCharType="end"/>
    </w:r>
    <w:r w:rsidRPr="00141A1D">
      <w:t xml:space="preserve">  </w:t>
    </w:r>
    <w:r w:rsidRPr="00141A1D">
      <w:rPr>
        <w:rStyle w:val="SidhuvudRubrikReferens"/>
      </w:rPr>
      <w:fldChar w:fldCharType="begin" w:fldLock="1"/>
    </w:r>
    <w:r w:rsidRPr="00141A1D">
      <w:rPr>
        <w:rStyle w:val="SidhuvudRubrikReferens"/>
      </w:rPr>
      <w:instrText xml:space="preserve"> StyleREF "Rubrik 1" </w:instrText>
    </w:r>
    <w:r w:rsidRPr="00141A1D">
      <w:rPr>
        <w:rStyle w:val="SidhuvudRubrikReferens"/>
      </w:rPr>
      <w:fldChar w:fldCharType="end"/>
    </w:r>
  </w:p>
  <w:p w:rsidR="0080157C" w:rsidRPr="00141A1D" w:rsidRDefault="0080157C">
    <w:pPr>
      <w:pStyle w:val="SidhuvudKantJmn"/>
      <w:framePr w:w="8732" w:h="567" w:hRule="exact" w:vSpace="0" w:wrap="around" w:vAnchor="page" w:y="341" w:anchorLock="0"/>
    </w:pPr>
    <w:r w:rsidRPr="00141A1D">
      <w:rPr>
        <w:rStyle w:val="SidhuvudUtskott"/>
      </w:rPr>
      <w:fldChar w:fldCharType="begin" w:fldLock="1"/>
    </w:r>
    <w:r w:rsidRPr="00141A1D">
      <w:rPr>
        <w:rStyle w:val="SidhuvudUtskott"/>
      </w:rPr>
      <w:instrText xml:space="preserve"> DOCPROPERTY Status</w:instrText>
    </w:r>
    <w:r w:rsidRPr="00141A1D">
      <w:rPr>
        <w:rStyle w:val="SidhuvudUtskott"/>
      </w:rPr>
      <w:fldChar w:fldCharType="end"/>
    </w:r>
    <w:r w:rsidRPr="00141A1D">
      <w:rPr>
        <w:rStyle w:val="SidhuvudUtskott"/>
      </w:rPr>
      <w:fldChar w:fldCharType="begin" w:fldLock="1"/>
    </w:r>
    <w:r w:rsidRPr="00141A1D">
      <w:rPr>
        <w:rStyle w:val="SidhuvudUtskott"/>
      </w:rPr>
      <w:instrText xml:space="preserve"> if </w:instrText>
    </w:r>
    <w:r w:rsidRPr="00141A1D">
      <w:rPr>
        <w:rStyle w:val="SidhuvudUtskott"/>
      </w:rPr>
      <w:fldChar w:fldCharType="begin" w:fldLock="1"/>
    </w:r>
    <w:r w:rsidRPr="00141A1D">
      <w:rPr>
        <w:rStyle w:val="SidhuvudUtskott"/>
      </w:rPr>
      <w:instrText xml:space="preserve"> DOCPROPERTY "UtkastDatum"</w:instrText>
    </w:r>
    <w:r w:rsidRPr="00141A1D">
      <w:rPr>
        <w:rStyle w:val="SidhuvudUtskott"/>
      </w:rPr>
      <w:fldChar w:fldCharType="separate"/>
    </w:r>
    <w:r w:rsidRPr="00141A1D">
      <w:rPr>
        <w:rStyle w:val="SidhuvudUtskott"/>
      </w:rPr>
      <w:instrText>Nej</w:instrText>
    </w:r>
    <w:r w:rsidRPr="00141A1D">
      <w:rPr>
        <w:rStyle w:val="SidhuvudUtskott"/>
      </w:rPr>
      <w:fldChar w:fldCharType="end"/>
    </w:r>
    <w:r w:rsidRPr="00141A1D">
      <w:rPr>
        <w:rStyle w:val="SidhuvudUtskott"/>
      </w:rPr>
      <w:instrText xml:space="preserve"> = "Ja" "    </w:instrText>
    </w:r>
    <w:r w:rsidRPr="00141A1D">
      <w:rPr>
        <w:rStyle w:val="SidhuvudUtskott"/>
      </w:rPr>
      <w:fldChar w:fldCharType="begin" w:fldLock="1"/>
    </w:r>
    <w:r w:rsidRPr="00141A1D">
      <w:rPr>
        <w:rStyle w:val="SidhuvudUtskott"/>
      </w:rPr>
      <w:instrText xml:space="preserve"> PRINTDATE \@ "yyyy-MM-dd HH.mm" </w:instrText>
    </w:r>
    <w:r w:rsidRPr="00141A1D">
      <w:rPr>
        <w:rStyle w:val="SidhuvudUtskott"/>
      </w:rPr>
      <w:fldChar w:fldCharType="separate"/>
    </w:r>
    <w:r w:rsidRPr="00141A1D">
      <w:rPr>
        <w:rStyle w:val="SidhuvudUtskott"/>
      </w:rPr>
      <w:instrText>2000-08-11 16.42</w:instrText>
    </w:r>
    <w:r w:rsidRPr="00141A1D">
      <w:rPr>
        <w:rStyle w:val="SidhuvudUtskott"/>
      </w:rPr>
      <w:fldChar w:fldCharType="end"/>
    </w:r>
    <w:r w:rsidRPr="00141A1D">
      <w:rPr>
        <w:rStyle w:val="SidhuvudUtskott"/>
      </w:rPr>
      <w:instrText xml:space="preserve">" </w:instrText>
    </w:r>
    <w:r w:rsidRPr="00141A1D">
      <w:rPr>
        <w:rStyle w:val="SidhuvudUtskott"/>
      </w:rPr>
      <w:fldChar w:fldCharType="end"/>
    </w:r>
  </w:p>
  <w:p w:rsidR="0080157C" w:rsidRPr="00141A1D" w:rsidRDefault="0080157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rPr>
        <w:rStyle w:val="SidhuvudRubrikReferens"/>
      </w:rPr>
      <w:fldChar w:fldCharType="begin" w:fldLock="1"/>
    </w:r>
    <w:r w:rsidRPr="00141A1D">
      <w:rPr>
        <w:rStyle w:val="SidhuvudRubrikReferens"/>
      </w:rPr>
      <w:instrText xml:space="preserve"> StyleREF "Rubrik 1" </w:instrText>
    </w:r>
    <w:r w:rsidRPr="00141A1D">
      <w:rPr>
        <w:rStyle w:val="SidhuvudRubrikReferens"/>
      </w:rPr>
      <w:fldChar w:fldCharType="end"/>
    </w:r>
    <w:r w:rsidRPr="00141A1D">
      <w:rPr>
        <w:rStyle w:val="SidhuvudBilaga"/>
      </w:rPr>
      <w:t xml:space="preserve">   Bilaga 2 </w:t>
    </w:r>
    <w:r w:rsidRPr="00141A1D">
      <w:t xml:space="preserve"> </w:t>
    </w:r>
    <w:r w:rsidRPr="00141A1D">
      <w:rPr>
        <w:rStyle w:val="SidhuvudUtskott"/>
      </w:rPr>
      <w:fldChar w:fldCharType="begin" w:fldLock="1"/>
    </w:r>
    <w:r w:rsidRPr="00141A1D">
      <w:rPr>
        <w:rStyle w:val="SidhuvudUtskott"/>
      </w:rPr>
      <w:instrText xml:space="preserve"> DOCPROPERTY BetänkandeÅr</w:instrText>
    </w:r>
    <w:r w:rsidRPr="00141A1D">
      <w:rPr>
        <w:rStyle w:val="SidhuvudUtskott"/>
      </w:rPr>
      <w:fldChar w:fldCharType="separate"/>
    </w:r>
    <w:r w:rsidRPr="00141A1D">
      <w:rPr>
        <w:rStyle w:val="SidhuvudUtskott"/>
      </w:rPr>
      <w:t>2001/02</w:t>
    </w:r>
    <w:r w:rsidRPr="00141A1D">
      <w:rPr>
        <w:rStyle w:val="SidhuvudUtskott"/>
      </w:rPr>
      <w:fldChar w:fldCharType="end"/>
    </w:r>
    <w:r w:rsidRPr="00141A1D">
      <w:rPr>
        <w:rStyle w:val="SidhuvudUtskott"/>
      </w:rPr>
      <w:t>:</w:t>
    </w:r>
    <w:r w:rsidRPr="00141A1D">
      <w:rPr>
        <w:rStyle w:val="SidhuvudUtskott"/>
      </w:rPr>
      <w:fldChar w:fldCharType="begin" w:fldLock="1"/>
    </w:r>
    <w:r w:rsidRPr="00141A1D">
      <w:rPr>
        <w:rStyle w:val="SidhuvudUtskott"/>
      </w:rPr>
      <w:instrText xml:space="preserve"> DOCPROPERTY</w:instrText>
    </w:r>
    <w:r w:rsidRPr="00141A1D">
      <w:instrText xml:space="preserve"> </w:instrText>
    </w:r>
    <w:r w:rsidRPr="00141A1D">
      <w:rPr>
        <w:rStyle w:val="SidhuvudUtskott"/>
      </w:rPr>
      <w:instrText>Utskott</w:instrText>
    </w:r>
    <w:r w:rsidRPr="00141A1D">
      <w:rPr>
        <w:rStyle w:val="SidhuvudUtskott"/>
      </w:rPr>
      <w:fldChar w:fldCharType="separate"/>
    </w:r>
    <w:r w:rsidRPr="00141A1D">
      <w:rPr>
        <w:rStyle w:val="SidhuvudUtskott"/>
      </w:rPr>
      <w:t>KU</w:t>
    </w:r>
    <w:r w:rsidRPr="00141A1D">
      <w:rPr>
        <w:rStyle w:val="SidhuvudUtskott"/>
      </w:rPr>
      <w:fldChar w:fldCharType="end"/>
    </w:r>
    <w:r w:rsidRPr="00141A1D">
      <w:rPr>
        <w:rStyle w:val="SidhuvudUtskott"/>
      </w:rPr>
      <w:fldChar w:fldCharType="begin" w:fldLock="1"/>
    </w:r>
    <w:r w:rsidRPr="00141A1D">
      <w:rPr>
        <w:rStyle w:val="SidhuvudUtskott"/>
      </w:rPr>
      <w:instrText xml:space="preserve"> DOCPR</w:instrText>
    </w:r>
    <w:r w:rsidRPr="00141A1D">
      <w:rPr>
        <w:rStyle w:val="SidhuvudUtskott"/>
      </w:rPr>
      <w:instrText>O</w:instrText>
    </w:r>
    <w:r w:rsidRPr="00141A1D">
      <w:rPr>
        <w:rStyle w:val="SidhuvudUtskott"/>
      </w:rPr>
      <w:instrText>PERTY Betä</w:instrText>
    </w:r>
    <w:r w:rsidRPr="00141A1D">
      <w:rPr>
        <w:rStyle w:val="SidhuvudUtskott"/>
      </w:rPr>
      <w:instrText>n</w:instrText>
    </w:r>
    <w:r w:rsidRPr="00141A1D">
      <w:rPr>
        <w:rStyle w:val="SidhuvudUtskott"/>
      </w:rPr>
      <w:instrText>kandeNr</w:instrText>
    </w:r>
    <w:r w:rsidRPr="00141A1D">
      <w:rPr>
        <w:rStyle w:val="SidhuvudUtskott"/>
      </w:rPr>
      <w:fldChar w:fldCharType="separate"/>
    </w:r>
    <w:r w:rsidRPr="00141A1D">
      <w:rPr>
        <w:rStyle w:val="SidhuvudUtskott"/>
      </w:rPr>
      <w:t>12</w:t>
    </w:r>
    <w:r w:rsidRPr="00141A1D">
      <w:rPr>
        <w:rStyle w:val="SidhuvudUtskott"/>
      </w:rPr>
      <w:fldChar w:fldCharType="end"/>
    </w:r>
  </w:p>
  <w:p w:rsidR="0080157C" w:rsidRPr="00141A1D" w:rsidRDefault="0080157C">
    <w:pPr>
      <w:pStyle w:val="SidhuvudKantUdda"/>
      <w:framePr w:w="8732" w:h="567" w:hRule="exact" w:vSpace="0" w:wrap="around" w:vAnchor="page" w:y="341" w:anchorLock="0"/>
    </w:pPr>
    <w:r w:rsidRPr="00141A1D">
      <w:rPr>
        <w:rStyle w:val="SidhuvudUtskott"/>
      </w:rPr>
      <w:fldChar w:fldCharType="begin" w:fldLock="1"/>
    </w:r>
    <w:r w:rsidRPr="00141A1D">
      <w:rPr>
        <w:rStyle w:val="SidhuvudUtskott"/>
      </w:rPr>
      <w:instrText xml:space="preserve"> if </w:instrText>
    </w:r>
    <w:r w:rsidRPr="00141A1D">
      <w:rPr>
        <w:rStyle w:val="SidhuvudUtskott"/>
      </w:rPr>
      <w:fldChar w:fldCharType="begin" w:fldLock="1"/>
    </w:r>
    <w:r w:rsidRPr="00141A1D">
      <w:rPr>
        <w:rStyle w:val="SidhuvudUtskott"/>
      </w:rPr>
      <w:instrText xml:space="preserve"> DOCPROPERTY "UtkastDatum"</w:instrText>
    </w:r>
    <w:r w:rsidRPr="00141A1D">
      <w:rPr>
        <w:rStyle w:val="SidhuvudUtskott"/>
      </w:rPr>
      <w:fldChar w:fldCharType="separate"/>
    </w:r>
    <w:r w:rsidRPr="00141A1D">
      <w:rPr>
        <w:rStyle w:val="SidhuvudUtskott"/>
      </w:rPr>
      <w:instrText>Nej</w:instrText>
    </w:r>
    <w:r w:rsidRPr="00141A1D">
      <w:rPr>
        <w:rStyle w:val="SidhuvudUtskott"/>
      </w:rPr>
      <w:fldChar w:fldCharType="end"/>
    </w:r>
    <w:r w:rsidRPr="00141A1D">
      <w:rPr>
        <w:rStyle w:val="SidhuvudUtskott"/>
      </w:rPr>
      <w:instrText xml:space="preserve"> = "Ja" "</w:instrText>
    </w:r>
    <w:r w:rsidRPr="00141A1D">
      <w:rPr>
        <w:rStyle w:val="SidhuvudUtskott"/>
      </w:rPr>
      <w:fldChar w:fldCharType="begin" w:fldLock="1"/>
    </w:r>
    <w:r w:rsidRPr="00141A1D">
      <w:rPr>
        <w:rStyle w:val="SidhuvudUtskott"/>
      </w:rPr>
      <w:instrText xml:space="preserve"> PRINTDATE \@ "yyyy-MM-dd HH.mm    " </w:instrText>
    </w:r>
    <w:r w:rsidRPr="00141A1D">
      <w:rPr>
        <w:rStyle w:val="SidhuvudUtskott"/>
      </w:rPr>
      <w:fldChar w:fldCharType="separate"/>
    </w:r>
    <w:r w:rsidRPr="00141A1D">
      <w:rPr>
        <w:rStyle w:val="SidhuvudUtskott"/>
      </w:rPr>
      <w:instrText>2000-08-11 16.42</w:instrText>
    </w:r>
    <w:r w:rsidRPr="00141A1D">
      <w:rPr>
        <w:rStyle w:val="SidhuvudUtskott"/>
      </w:rPr>
      <w:fldChar w:fldCharType="end"/>
    </w:r>
    <w:r w:rsidRPr="00141A1D">
      <w:rPr>
        <w:rStyle w:val="SidhuvudUtskott"/>
      </w:rPr>
      <w:instrText xml:space="preserve">" </w:instrText>
    </w:r>
    <w:r w:rsidRPr="00141A1D">
      <w:rPr>
        <w:rStyle w:val="SidhuvudUtskott"/>
      </w:rPr>
      <w:fldChar w:fldCharType="end"/>
    </w:r>
    <w:r w:rsidRPr="00141A1D">
      <w:rPr>
        <w:rStyle w:val="SidhuvudUtskott"/>
      </w:rPr>
      <w:fldChar w:fldCharType="begin" w:fldLock="1"/>
    </w:r>
    <w:r w:rsidRPr="00141A1D">
      <w:rPr>
        <w:rStyle w:val="SidhuvudUtskott"/>
      </w:rPr>
      <w:instrText xml:space="preserve"> DOCPR</w:instrText>
    </w:r>
    <w:r w:rsidRPr="00141A1D">
      <w:rPr>
        <w:rStyle w:val="SidhuvudUtskott"/>
      </w:rPr>
      <w:instrText>O</w:instrText>
    </w:r>
    <w:r w:rsidRPr="00141A1D">
      <w:rPr>
        <w:rStyle w:val="SidhuvudUtskott"/>
      </w:rPr>
      <w:instrText>PERTY Status</w:instrText>
    </w:r>
    <w:r w:rsidRPr="00141A1D">
      <w:rPr>
        <w:rStyle w:val="SidhuvudUtskott"/>
      </w:rPr>
      <w:fldChar w:fldCharType="end"/>
    </w:r>
  </w:p>
  <w:p w:rsidR="0080157C" w:rsidRPr="00141A1D" w:rsidRDefault="0080157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2001/02:KU12</w:t>
    </w:r>
    <w:r w:rsidRPr="00141A1D">
      <w:t xml:space="preserve">    </w:t>
    </w:r>
  </w:p>
  <w:p w:rsidR="0080157C" w:rsidRPr="00141A1D" w:rsidRDefault="0080157C">
    <w:pPr>
      <w:pStyle w:val="SidhuvudKantJmn"/>
      <w:framePr w:w="8732" w:h="567" w:hRule="exact" w:vSpace="0" w:wrap="around" w:vAnchor="page" w:y="341" w:anchorLock="0"/>
    </w:pPr>
  </w:p>
  <w:p w:rsidR="0080157C" w:rsidRPr="00141A1D" w:rsidRDefault="0080157C">
    <w:pPr>
      <w:pStyle w:val="SidhuvudKantUdda"/>
      <w:framePr w:w="8732" w:h="567" w:hRule="exact" w:vSpace="0" w:wrap="around" w:vAnchor="page" w:y="341" w:anchorLock="0"/>
    </w:pPr>
    <w:r w:rsidRPr="00141A1D">
      <w:rPr>
        <w:rStyle w:val="SidhuvudRubrikReferens"/>
        <w:smallCaps w:val="0"/>
        <w:spacing w:val="0"/>
        <w:sz w:val="19"/>
      </w:rPr>
      <w:t xml:space="preserve"> </w:t>
    </w:r>
  </w:p>
  <w:p w:rsidR="0080157C" w:rsidRPr="00141A1D" w:rsidRDefault="0080157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 xml:space="preserve">2001/02:KU12 </w:t>
    </w:r>
    <w:r w:rsidRPr="00141A1D">
      <w:t xml:space="preserve"> </w:t>
    </w:r>
    <w:r w:rsidRPr="00141A1D">
      <w:rPr>
        <w:rStyle w:val="SidhuvudBilaga"/>
      </w:rPr>
      <w:t xml:space="preserve">Bilaga 1 </w:t>
    </w:r>
    <w:r w:rsidRPr="00141A1D">
      <w:t xml:space="preserve">  </w:t>
    </w:r>
    <w:r w:rsidRPr="00141A1D">
      <w:rPr>
        <w:rStyle w:val="SidhuvudRubrikReferens"/>
      </w:rPr>
      <w:t>Förteckning över behandlade förslag</w:t>
    </w:r>
  </w:p>
  <w:p w:rsidR="0080157C" w:rsidRPr="00141A1D" w:rsidRDefault="0080157C">
    <w:pPr>
      <w:pStyle w:val="SidhuvudKantJmn"/>
      <w:framePr w:w="8732" w:h="567" w:hRule="exact" w:vSpace="0" w:wrap="around" w:vAnchor="page" w:y="341" w:anchorLock="0"/>
    </w:pPr>
  </w:p>
  <w:p w:rsidR="0080157C" w:rsidRPr="00141A1D" w:rsidRDefault="0080157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rPr>
        <w:rStyle w:val="SidhuvudRubrikReferens"/>
      </w:rPr>
      <w:fldChar w:fldCharType="begin" w:fldLock="1"/>
    </w:r>
    <w:r w:rsidRPr="00141A1D">
      <w:rPr>
        <w:rStyle w:val="SidhuvudRubrikReferens"/>
      </w:rPr>
      <w:instrText xml:space="preserve"> StyleREF "Rubrik 1" </w:instrText>
    </w:r>
    <w:r w:rsidRPr="00141A1D">
      <w:rPr>
        <w:rStyle w:val="SidhuvudRubrikReferens"/>
      </w:rPr>
      <w:fldChar w:fldCharType="separate"/>
    </w:r>
    <w:r w:rsidRPr="00141A1D">
      <w:rPr>
        <w:rStyle w:val="SidhuvudRubrikReferens"/>
      </w:rPr>
      <w:t>Sammanfattning</w:t>
    </w:r>
    <w:r w:rsidRPr="00141A1D">
      <w:rPr>
        <w:rStyle w:val="SidhuvudRubrikReferens"/>
      </w:rPr>
      <w:fldChar w:fldCharType="end"/>
    </w:r>
    <w:r w:rsidRPr="00141A1D">
      <w:rPr>
        <w:rStyle w:val="SidhuvudBilaga"/>
      </w:rPr>
      <w:t xml:space="preserve"> </w:t>
    </w:r>
    <w:r w:rsidRPr="00141A1D">
      <w:t xml:space="preserve"> </w:t>
    </w:r>
    <w:r w:rsidRPr="00141A1D">
      <w:rPr>
        <w:rStyle w:val="SidhuvudUtskott"/>
      </w:rPr>
      <w:fldChar w:fldCharType="begin" w:fldLock="1"/>
    </w:r>
    <w:r w:rsidRPr="00141A1D">
      <w:rPr>
        <w:rStyle w:val="SidhuvudUtskott"/>
      </w:rPr>
      <w:instrText xml:space="preserve"> DOCPROPERTY BetänkandeÅr</w:instrText>
    </w:r>
    <w:r w:rsidRPr="00141A1D">
      <w:rPr>
        <w:rStyle w:val="SidhuvudUtskott"/>
      </w:rPr>
      <w:fldChar w:fldCharType="separate"/>
    </w:r>
    <w:r w:rsidRPr="00141A1D">
      <w:rPr>
        <w:rStyle w:val="SidhuvudUtskott"/>
      </w:rPr>
      <w:t>2001/02</w:t>
    </w:r>
    <w:r w:rsidRPr="00141A1D">
      <w:rPr>
        <w:rStyle w:val="SidhuvudUtskott"/>
      </w:rPr>
      <w:fldChar w:fldCharType="end"/>
    </w:r>
    <w:r w:rsidRPr="00141A1D">
      <w:rPr>
        <w:rStyle w:val="SidhuvudUtskott"/>
      </w:rPr>
      <w:t>:</w:t>
    </w:r>
    <w:r w:rsidRPr="00141A1D">
      <w:rPr>
        <w:rStyle w:val="SidhuvudUtskott"/>
      </w:rPr>
      <w:fldChar w:fldCharType="begin" w:fldLock="1"/>
    </w:r>
    <w:r w:rsidRPr="00141A1D">
      <w:rPr>
        <w:rStyle w:val="SidhuvudUtskott"/>
      </w:rPr>
      <w:instrText xml:space="preserve"> DOCPROPERTY</w:instrText>
    </w:r>
    <w:r w:rsidRPr="00141A1D">
      <w:instrText xml:space="preserve"> </w:instrText>
    </w:r>
    <w:r w:rsidRPr="00141A1D">
      <w:rPr>
        <w:rStyle w:val="SidhuvudUtskott"/>
      </w:rPr>
      <w:instrText>Utskott</w:instrText>
    </w:r>
    <w:r w:rsidRPr="00141A1D">
      <w:rPr>
        <w:rStyle w:val="SidhuvudUtskott"/>
      </w:rPr>
      <w:fldChar w:fldCharType="separate"/>
    </w:r>
    <w:r w:rsidRPr="00141A1D">
      <w:rPr>
        <w:rStyle w:val="SidhuvudUtskott"/>
      </w:rPr>
      <w:t>KU</w:t>
    </w:r>
    <w:r w:rsidRPr="00141A1D">
      <w:rPr>
        <w:rStyle w:val="SidhuvudUtskott"/>
      </w:rPr>
      <w:fldChar w:fldCharType="end"/>
    </w:r>
    <w:r w:rsidRPr="00141A1D">
      <w:rPr>
        <w:rStyle w:val="SidhuvudUtskott"/>
      </w:rPr>
      <w:fldChar w:fldCharType="begin" w:fldLock="1"/>
    </w:r>
    <w:r w:rsidRPr="00141A1D">
      <w:rPr>
        <w:rStyle w:val="SidhuvudUtskott"/>
      </w:rPr>
      <w:instrText xml:space="preserve"> DOCPROPERTY Betä</w:instrText>
    </w:r>
    <w:r w:rsidRPr="00141A1D">
      <w:rPr>
        <w:rStyle w:val="SidhuvudUtskott"/>
      </w:rPr>
      <w:instrText>n</w:instrText>
    </w:r>
    <w:r w:rsidRPr="00141A1D">
      <w:rPr>
        <w:rStyle w:val="SidhuvudUtskott"/>
      </w:rPr>
      <w:instrText>kandeNr</w:instrText>
    </w:r>
    <w:r w:rsidRPr="00141A1D">
      <w:rPr>
        <w:rStyle w:val="SidhuvudUtskott"/>
      </w:rPr>
      <w:fldChar w:fldCharType="separate"/>
    </w:r>
    <w:r w:rsidRPr="00141A1D">
      <w:rPr>
        <w:rStyle w:val="SidhuvudUtskott"/>
      </w:rPr>
      <w:t>12</w:t>
    </w:r>
    <w:r w:rsidRPr="00141A1D">
      <w:rPr>
        <w:rStyle w:val="SidhuvudUtskott"/>
      </w:rPr>
      <w:fldChar w:fldCharType="end"/>
    </w:r>
  </w:p>
  <w:p w:rsidR="0080157C" w:rsidRPr="00141A1D" w:rsidRDefault="0080157C">
    <w:pPr>
      <w:pStyle w:val="SidhuvudKantUdda"/>
      <w:framePr w:w="8732" w:h="567" w:hRule="exact" w:vSpace="0" w:wrap="around" w:vAnchor="page" w:y="341" w:anchorLock="0"/>
    </w:pPr>
    <w:r w:rsidRPr="00141A1D">
      <w:rPr>
        <w:rStyle w:val="SidhuvudUtskott"/>
      </w:rPr>
      <w:fldChar w:fldCharType="begin" w:fldLock="1"/>
    </w:r>
    <w:r w:rsidRPr="00141A1D">
      <w:rPr>
        <w:rStyle w:val="SidhuvudUtskott"/>
      </w:rPr>
      <w:instrText xml:space="preserve"> if </w:instrText>
    </w:r>
    <w:r w:rsidRPr="00141A1D">
      <w:rPr>
        <w:rStyle w:val="SidhuvudUtskott"/>
      </w:rPr>
      <w:fldChar w:fldCharType="begin" w:fldLock="1"/>
    </w:r>
    <w:r w:rsidRPr="00141A1D">
      <w:rPr>
        <w:rStyle w:val="SidhuvudUtskott"/>
      </w:rPr>
      <w:instrText xml:space="preserve"> DOCPROPERTY "UtkastDatum"</w:instrText>
    </w:r>
    <w:r w:rsidRPr="00141A1D">
      <w:rPr>
        <w:rStyle w:val="SidhuvudUtskott"/>
      </w:rPr>
      <w:fldChar w:fldCharType="separate"/>
    </w:r>
    <w:r w:rsidRPr="00141A1D">
      <w:rPr>
        <w:rStyle w:val="SidhuvudUtskott"/>
      </w:rPr>
      <w:instrText>Nej</w:instrText>
    </w:r>
    <w:r w:rsidRPr="00141A1D">
      <w:rPr>
        <w:rStyle w:val="SidhuvudUtskott"/>
      </w:rPr>
      <w:fldChar w:fldCharType="end"/>
    </w:r>
    <w:r w:rsidRPr="00141A1D">
      <w:rPr>
        <w:rStyle w:val="SidhuvudUtskott"/>
      </w:rPr>
      <w:instrText xml:space="preserve"> = "Ja" "</w:instrText>
    </w:r>
    <w:r w:rsidRPr="00141A1D">
      <w:rPr>
        <w:rStyle w:val="SidhuvudUtskott"/>
      </w:rPr>
      <w:fldChar w:fldCharType="begin" w:fldLock="1"/>
    </w:r>
    <w:r w:rsidRPr="00141A1D">
      <w:rPr>
        <w:rStyle w:val="SidhuvudUtskott"/>
      </w:rPr>
      <w:instrText xml:space="preserve"> PRINTDATE \@ "yyyy-MM-dd HH.mm    " </w:instrText>
    </w:r>
    <w:r w:rsidRPr="00141A1D">
      <w:rPr>
        <w:rStyle w:val="SidhuvudUtskott"/>
      </w:rPr>
      <w:fldChar w:fldCharType="separate"/>
    </w:r>
    <w:r w:rsidRPr="00141A1D">
      <w:rPr>
        <w:rStyle w:val="SidhuvudUtskott"/>
      </w:rPr>
      <w:instrText>2000-08-11 16.42</w:instrText>
    </w:r>
    <w:r w:rsidRPr="00141A1D">
      <w:rPr>
        <w:rStyle w:val="SidhuvudUtskott"/>
      </w:rPr>
      <w:fldChar w:fldCharType="end"/>
    </w:r>
    <w:r w:rsidRPr="00141A1D">
      <w:rPr>
        <w:rStyle w:val="SidhuvudUtskott"/>
      </w:rPr>
      <w:instrText xml:space="preserve">" </w:instrText>
    </w:r>
    <w:r w:rsidRPr="00141A1D">
      <w:rPr>
        <w:rStyle w:val="SidhuvudUtskott"/>
      </w:rPr>
      <w:fldChar w:fldCharType="end"/>
    </w:r>
    <w:r w:rsidRPr="00141A1D">
      <w:rPr>
        <w:rStyle w:val="SidhuvudUtskott"/>
      </w:rPr>
      <w:fldChar w:fldCharType="begin" w:fldLock="1"/>
    </w:r>
    <w:r w:rsidRPr="00141A1D">
      <w:rPr>
        <w:rStyle w:val="SidhuvudUtskott"/>
      </w:rPr>
      <w:instrText xml:space="preserve"> DOCPR</w:instrText>
    </w:r>
    <w:r w:rsidRPr="00141A1D">
      <w:rPr>
        <w:rStyle w:val="SidhuvudUtskott"/>
      </w:rPr>
      <w:instrText>O</w:instrText>
    </w:r>
    <w:r w:rsidRPr="00141A1D">
      <w:rPr>
        <w:rStyle w:val="SidhuvudUtskott"/>
      </w:rPr>
      <w:instrText>PERTY Status</w:instrText>
    </w:r>
    <w:r w:rsidRPr="00141A1D">
      <w:rPr>
        <w:rStyle w:val="SidhuvudUtskott"/>
      </w:rPr>
      <w:fldChar w:fldCharType="end"/>
    </w:r>
  </w:p>
  <w:p w:rsidR="0080157C" w:rsidRPr="00141A1D" w:rsidRDefault="0080157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rPr>
        <w:rStyle w:val="SidhuvudRubrikReferens"/>
      </w:rPr>
      <w:t>Förteckning över behandlade förslag</w:t>
    </w:r>
    <w:r w:rsidRPr="00141A1D">
      <w:rPr>
        <w:rStyle w:val="SidhuvudBilaga"/>
      </w:rPr>
      <w:t xml:space="preserve">   Bilaga 1 </w:t>
    </w: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2001/02:KU12</w:t>
    </w:r>
    <w:r w:rsidRPr="00141A1D">
      <w:t xml:space="preserve">  </w:t>
    </w:r>
    <w:r w:rsidRPr="00141A1D">
      <w:rPr>
        <w:rStyle w:val="SidhuvudBilaga"/>
      </w:rPr>
      <w:t xml:space="preserve">Bilaga 2 </w:t>
    </w:r>
    <w:r w:rsidRPr="00141A1D">
      <w:t xml:space="preserve"> </w:t>
    </w:r>
    <w:r w:rsidRPr="00141A1D">
      <w:rPr>
        <w:rStyle w:val="SidhuvudRubrikReferens"/>
      </w:rPr>
      <w:t>Riksdagsstyrelsens lagförslag</w:t>
    </w:r>
  </w:p>
  <w:p w:rsidR="0080157C" w:rsidRPr="00141A1D" w:rsidRDefault="0080157C">
    <w:pPr>
      <w:pStyle w:val="SidhuvudKantJmn"/>
      <w:framePr w:w="8732" w:h="567" w:hRule="exact" w:vSpace="0" w:wrap="around" w:vAnchor="page" w:y="341" w:anchorLock="0"/>
    </w:pPr>
  </w:p>
  <w:p w:rsidR="0080157C" w:rsidRPr="00141A1D" w:rsidRDefault="0080157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rPr>
        <w:rStyle w:val="SidhuvudRubrikReferens"/>
      </w:rPr>
      <w:t>Riksdagsstyrelsens lagförslag</w:t>
    </w:r>
    <w:r w:rsidRPr="00141A1D">
      <w:rPr>
        <w:rStyle w:val="SidhuvudBilaga"/>
      </w:rPr>
      <w:t xml:space="preserve">   Bilaga 2 </w:t>
    </w: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fldChar w:fldCharType="begin" w:fldLock="1"/>
    </w:r>
    <w:r w:rsidRPr="00141A1D">
      <w:rPr>
        <w:rStyle w:val="SidhuvudUtskott"/>
      </w:rPr>
      <w:instrText xml:space="preserve"> DOCPROPERTY BetänkandeÅr</w:instrText>
    </w:r>
    <w:r w:rsidRPr="00141A1D">
      <w:rPr>
        <w:rStyle w:val="SidhuvudUtskott"/>
      </w:rPr>
      <w:fldChar w:fldCharType="separate"/>
    </w:r>
    <w:r w:rsidRPr="00141A1D">
      <w:rPr>
        <w:rStyle w:val="SidhuvudUtskott"/>
      </w:rPr>
      <w:t>2001/02</w:t>
    </w:r>
    <w:r w:rsidRPr="00141A1D">
      <w:rPr>
        <w:rStyle w:val="SidhuvudUtskott"/>
      </w:rPr>
      <w:fldChar w:fldCharType="end"/>
    </w:r>
    <w:r w:rsidRPr="00141A1D">
      <w:rPr>
        <w:rStyle w:val="SidhuvudUtskott"/>
      </w:rPr>
      <w:t>:</w:t>
    </w:r>
    <w:r w:rsidRPr="00141A1D">
      <w:rPr>
        <w:rStyle w:val="SidhuvudUtskott"/>
      </w:rPr>
      <w:fldChar w:fldCharType="begin" w:fldLock="1"/>
    </w:r>
    <w:r w:rsidRPr="00141A1D">
      <w:rPr>
        <w:rStyle w:val="SidhuvudUtskott"/>
      </w:rPr>
      <w:instrText xml:space="preserve"> DOCPROPERTY Utskott</w:instrText>
    </w:r>
    <w:r w:rsidRPr="00141A1D">
      <w:rPr>
        <w:rStyle w:val="SidhuvudUtskott"/>
      </w:rPr>
      <w:fldChar w:fldCharType="separate"/>
    </w:r>
    <w:r w:rsidRPr="00141A1D">
      <w:rPr>
        <w:rStyle w:val="SidhuvudUtskott"/>
      </w:rPr>
      <w:t>KU</w:t>
    </w:r>
    <w:r w:rsidRPr="00141A1D">
      <w:rPr>
        <w:rStyle w:val="SidhuvudUtskott"/>
      </w:rPr>
      <w:fldChar w:fldCharType="end"/>
    </w:r>
    <w:r w:rsidRPr="00141A1D">
      <w:rPr>
        <w:rStyle w:val="SidhuvudUtskott"/>
      </w:rPr>
      <w:fldChar w:fldCharType="begin" w:fldLock="1"/>
    </w:r>
    <w:r w:rsidRPr="00141A1D">
      <w:rPr>
        <w:rStyle w:val="SidhuvudUtskott"/>
      </w:rPr>
      <w:instrText xml:space="preserve"> DOCPROPERTY BetänkandeNr</w:instrText>
    </w:r>
    <w:r w:rsidRPr="00141A1D">
      <w:rPr>
        <w:rStyle w:val="SidhuvudUtskott"/>
      </w:rPr>
      <w:fldChar w:fldCharType="separate"/>
    </w:r>
    <w:r w:rsidRPr="00141A1D">
      <w:rPr>
        <w:rStyle w:val="SidhuvudUtskott"/>
      </w:rPr>
      <w:t>12</w:t>
    </w:r>
    <w:r w:rsidRPr="00141A1D">
      <w:rPr>
        <w:rStyle w:val="SidhuvudUtskott"/>
      </w:rPr>
      <w:fldChar w:fldCharType="end"/>
    </w:r>
    <w:r w:rsidRPr="00141A1D">
      <w:t xml:space="preserve">  </w:t>
    </w:r>
    <w:r w:rsidRPr="00141A1D">
      <w:rPr>
        <w:rStyle w:val="SidhuvudRubrikReferens"/>
      </w:rPr>
      <w:fldChar w:fldCharType="begin" w:fldLock="1"/>
    </w:r>
    <w:r w:rsidRPr="00141A1D">
      <w:rPr>
        <w:rStyle w:val="SidhuvudRubrikReferens"/>
      </w:rPr>
      <w:instrText xml:space="preserve"> StyleREF "Rubrik 1" </w:instrText>
    </w:r>
    <w:r w:rsidRPr="00141A1D">
      <w:rPr>
        <w:rStyle w:val="SidhuvudRubrikReferens"/>
      </w:rPr>
      <w:fldChar w:fldCharType="separate"/>
    </w:r>
    <w:r w:rsidRPr="00141A1D">
      <w:rPr>
        <w:rStyle w:val="SidhuvudRubrikReferens"/>
      </w:rPr>
      <w:t>Riksdagsstyrelsens lagförslag</w:t>
    </w:r>
    <w:r w:rsidRPr="00141A1D">
      <w:rPr>
        <w:rStyle w:val="SidhuvudRubrikReferens"/>
      </w:rPr>
      <w:fldChar w:fldCharType="end"/>
    </w:r>
  </w:p>
  <w:p w:rsidR="0080157C" w:rsidRPr="00141A1D" w:rsidRDefault="0080157C">
    <w:pPr>
      <w:pStyle w:val="SidhuvudKantJmn"/>
      <w:framePr w:w="8732" w:h="567" w:hRule="exact" w:vSpace="0" w:wrap="around" w:vAnchor="page" w:y="341" w:anchorLock="0"/>
    </w:pPr>
    <w:r w:rsidRPr="00141A1D">
      <w:rPr>
        <w:rStyle w:val="SidhuvudUtskott"/>
      </w:rPr>
      <w:fldChar w:fldCharType="begin" w:fldLock="1"/>
    </w:r>
    <w:r w:rsidRPr="00141A1D">
      <w:rPr>
        <w:rStyle w:val="SidhuvudUtskott"/>
      </w:rPr>
      <w:instrText xml:space="preserve"> DOCPROPERTY Status</w:instrText>
    </w:r>
    <w:r w:rsidRPr="00141A1D">
      <w:rPr>
        <w:rStyle w:val="SidhuvudUtskott"/>
      </w:rPr>
      <w:fldChar w:fldCharType="end"/>
    </w:r>
    <w:r w:rsidRPr="00141A1D">
      <w:rPr>
        <w:rStyle w:val="SidhuvudUtskott"/>
      </w:rPr>
      <w:fldChar w:fldCharType="begin" w:fldLock="1"/>
    </w:r>
    <w:r w:rsidRPr="00141A1D">
      <w:rPr>
        <w:rStyle w:val="SidhuvudUtskott"/>
      </w:rPr>
      <w:instrText xml:space="preserve"> if </w:instrText>
    </w:r>
    <w:r w:rsidRPr="00141A1D">
      <w:rPr>
        <w:rStyle w:val="SidhuvudUtskott"/>
      </w:rPr>
      <w:fldChar w:fldCharType="begin" w:fldLock="1"/>
    </w:r>
    <w:r w:rsidRPr="00141A1D">
      <w:rPr>
        <w:rStyle w:val="SidhuvudUtskott"/>
      </w:rPr>
      <w:instrText xml:space="preserve"> DOCPROPERTY "UtkastDatum"</w:instrText>
    </w:r>
    <w:r w:rsidRPr="00141A1D">
      <w:rPr>
        <w:rStyle w:val="SidhuvudUtskott"/>
      </w:rPr>
      <w:fldChar w:fldCharType="separate"/>
    </w:r>
    <w:r w:rsidRPr="00141A1D">
      <w:rPr>
        <w:rStyle w:val="SidhuvudUtskott"/>
      </w:rPr>
      <w:instrText>Nej</w:instrText>
    </w:r>
    <w:r w:rsidRPr="00141A1D">
      <w:rPr>
        <w:rStyle w:val="SidhuvudUtskott"/>
      </w:rPr>
      <w:fldChar w:fldCharType="end"/>
    </w:r>
    <w:r w:rsidRPr="00141A1D">
      <w:rPr>
        <w:rStyle w:val="SidhuvudUtskott"/>
      </w:rPr>
      <w:instrText xml:space="preserve"> = "Ja" "    </w:instrText>
    </w:r>
    <w:r w:rsidRPr="00141A1D">
      <w:rPr>
        <w:rStyle w:val="SidhuvudUtskott"/>
      </w:rPr>
      <w:fldChar w:fldCharType="begin" w:fldLock="1"/>
    </w:r>
    <w:r w:rsidRPr="00141A1D">
      <w:rPr>
        <w:rStyle w:val="SidhuvudUtskott"/>
      </w:rPr>
      <w:instrText xml:space="preserve"> PRINTDATE \@ "yyyy-MM-dd HH.mm" </w:instrText>
    </w:r>
    <w:r w:rsidRPr="00141A1D">
      <w:rPr>
        <w:rStyle w:val="SidhuvudUtskott"/>
      </w:rPr>
      <w:fldChar w:fldCharType="separate"/>
    </w:r>
    <w:r w:rsidRPr="00141A1D">
      <w:rPr>
        <w:rStyle w:val="SidhuvudUtskott"/>
      </w:rPr>
      <w:instrText>2000-08-11 16.42</w:instrText>
    </w:r>
    <w:r w:rsidRPr="00141A1D">
      <w:rPr>
        <w:rStyle w:val="SidhuvudUtskott"/>
      </w:rPr>
      <w:fldChar w:fldCharType="end"/>
    </w:r>
    <w:r w:rsidRPr="00141A1D">
      <w:rPr>
        <w:rStyle w:val="SidhuvudUtskott"/>
      </w:rPr>
      <w:instrText xml:space="preserve">" </w:instrText>
    </w:r>
    <w:r w:rsidRPr="00141A1D">
      <w:rPr>
        <w:rStyle w:val="SidhuvudUtskott"/>
      </w:rPr>
      <w:fldChar w:fldCharType="end"/>
    </w:r>
  </w:p>
  <w:p w:rsidR="0080157C" w:rsidRPr="00141A1D" w:rsidRDefault="0080157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rPr>
        <w:rStyle w:val="SidhuvudRubrikReferens"/>
      </w:rPr>
      <w:fldChar w:fldCharType="begin" w:fldLock="1"/>
    </w:r>
    <w:r w:rsidRPr="00141A1D">
      <w:rPr>
        <w:rStyle w:val="SidhuvudRubrikReferens"/>
      </w:rPr>
      <w:instrText xml:space="preserve"> StyleREF "Rubrik 1" </w:instrText>
    </w:r>
    <w:r w:rsidRPr="00141A1D">
      <w:rPr>
        <w:rStyle w:val="SidhuvudRubrikReferens"/>
      </w:rPr>
      <w:fldChar w:fldCharType="separate"/>
    </w:r>
    <w:r w:rsidRPr="00141A1D">
      <w:rPr>
        <w:rStyle w:val="SidhuvudRubrikReferens"/>
      </w:rPr>
      <w:t>Riksdagsstyrelsens lagförslag</w:t>
    </w:r>
    <w:r w:rsidRPr="00141A1D">
      <w:rPr>
        <w:rStyle w:val="SidhuvudRubrikReferens"/>
      </w:rPr>
      <w:fldChar w:fldCharType="end"/>
    </w:r>
    <w:r w:rsidRPr="00141A1D">
      <w:rPr>
        <w:rStyle w:val="SidhuvudBilaga"/>
      </w:rPr>
      <w:t xml:space="preserve">   Bilaga 3 </w:t>
    </w:r>
    <w:r w:rsidRPr="00141A1D">
      <w:t xml:space="preserve"> </w:t>
    </w:r>
    <w:r w:rsidRPr="00141A1D">
      <w:rPr>
        <w:rStyle w:val="SidhuvudUtskott"/>
      </w:rPr>
      <w:fldChar w:fldCharType="begin" w:fldLock="1"/>
    </w:r>
    <w:r w:rsidRPr="00141A1D">
      <w:rPr>
        <w:rStyle w:val="SidhuvudUtskott"/>
      </w:rPr>
      <w:instrText xml:space="preserve"> DOCPROPERTY BetänkandeÅr</w:instrText>
    </w:r>
    <w:r w:rsidRPr="00141A1D">
      <w:rPr>
        <w:rStyle w:val="SidhuvudUtskott"/>
      </w:rPr>
      <w:fldChar w:fldCharType="separate"/>
    </w:r>
    <w:r w:rsidRPr="00141A1D">
      <w:rPr>
        <w:rStyle w:val="SidhuvudUtskott"/>
      </w:rPr>
      <w:t>2001/02</w:t>
    </w:r>
    <w:r w:rsidRPr="00141A1D">
      <w:rPr>
        <w:rStyle w:val="SidhuvudUtskott"/>
      </w:rPr>
      <w:fldChar w:fldCharType="end"/>
    </w:r>
    <w:r w:rsidRPr="00141A1D">
      <w:rPr>
        <w:rStyle w:val="SidhuvudUtskott"/>
      </w:rPr>
      <w:t>:</w:t>
    </w:r>
    <w:r w:rsidRPr="00141A1D">
      <w:rPr>
        <w:rStyle w:val="SidhuvudUtskott"/>
      </w:rPr>
      <w:fldChar w:fldCharType="begin" w:fldLock="1"/>
    </w:r>
    <w:r w:rsidRPr="00141A1D">
      <w:rPr>
        <w:rStyle w:val="SidhuvudUtskott"/>
      </w:rPr>
      <w:instrText xml:space="preserve"> DOCPROPERTY</w:instrText>
    </w:r>
    <w:r w:rsidRPr="00141A1D">
      <w:instrText xml:space="preserve"> </w:instrText>
    </w:r>
    <w:r w:rsidRPr="00141A1D">
      <w:rPr>
        <w:rStyle w:val="SidhuvudUtskott"/>
      </w:rPr>
      <w:instrText>Utskott</w:instrText>
    </w:r>
    <w:r w:rsidRPr="00141A1D">
      <w:rPr>
        <w:rStyle w:val="SidhuvudUtskott"/>
      </w:rPr>
      <w:fldChar w:fldCharType="separate"/>
    </w:r>
    <w:r w:rsidRPr="00141A1D">
      <w:rPr>
        <w:rStyle w:val="SidhuvudUtskott"/>
      </w:rPr>
      <w:t>KU</w:t>
    </w:r>
    <w:r w:rsidRPr="00141A1D">
      <w:rPr>
        <w:rStyle w:val="SidhuvudUtskott"/>
      </w:rPr>
      <w:fldChar w:fldCharType="end"/>
    </w:r>
    <w:r w:rsidRPr="00141A1D">
      <w:rPr>
        <w:rStyle w:val="SidhuvudUtskott"/>
      </w:rPr>
      <w:fldChar w:fldCharType="begin" w:fldLock="1"/>
    </w:r>
    <w:r w:rsidRPr="00141A1D">
      <w:rPr>
        <w:rStyle w:val="SidhuvudUtskott"/>
      </w:rPr>
      <w:instrText xml:space="preserve"> DOCPR</w:instrText>
    </w:r>
    <w:r w:rsidRPr="00141A1D">
      <w:rPr>
        <w:rStyle w:val="SidhuvudUtskott"/>
      </w:rPr>
      <w:instrText>O</w:instrText>
    </w:r>
    <w:r w:rsidRPr="00141A1D">
      <w:rPr>
        <w:rStyle w:val="SidhuvudUtskott"/>
      </w:rPr>
      <w:instrText>PERTY Betä</w:instrText>
    </w:r>
    <w:r w:rsidRPr="00141A1D">
      <w:rPr>
        <w:rStyle w:val="SidhuvudUtskott"/>
      </w:rPr>
      <w:instrText>n</w:instrText>
    </w:r>
    <w:r w:rsidRPr="00141A1D">
      <w:rPr>
        <w:rStyle w:val="SidhuvudUtskott"/>
      </w:rPr>
      <w:instrText>kandeNr</w:instrText>
    </w:r>
    <w:r w:rsidRPr="00141A1D">
      <w:rPr>
        <w:rStyle w:val="SidhuvudUtskott"/>
      </w:rPr>
      <w:fldChar w:fldCharType="separate"/>
    </w:r>
    <w:r w:rsidRPr="00141A1D">
      <w:rPr>
        <w:rStyle w:val="SidhuvudUtskott"/>
      </w:rPr>
      <w:t>12</w:t>
    </w:r>
    <w:r w:rsidRPr="00141A1D">
      <w:rPr>
        <w:rStyle w:val="SidhuvudUtskott"/>
      </w:rPr>
      <w:fldChar w:fldCharType="end"/>
    </w:r>
  </w:p>
  <w:p w:rsidR="0080157C" w:rsidRPr="00141A1D" w:rsidRDefault="0080157C">
    <w:pPr>
      <w:pStyle w:val="SidhuvudKantUdda"/>
      <w:framePr w:w="8732" w:h="567" w:hRule="exact" w:vSpace="0" w:wrap="around" w:vAnchor="page" w:y="341" w:anchorLock="0"/>
    </w:pPr>
    <w:r w:rsidRPr="00141A1D">
      <w:rPr>
        <w:rStyle w:val="SidhuvudUtskott"/>
      </w:rPr>
      <w:fldChar w:fldCharType="begin" w:fldLock="1"/>
    </w:r>
    <w:r w:rsidRPr="00141A1D">
      <w:rPr>
        <w:rStyle w:val="SidhuvudUtskott"/>
      </w:rPr>
      <w:instrText xml:space="preserve"> if </w:instrText>
    </w:r>
    <w:r w:rsidRPr="00141A1D">
      <w:rPr>
        <w:rStyle w:val="SidhuvudUtskott"/>
      </w:rPr>
      <w:fldChar w:fldCharType="begin" w:fldLock="1"/>
    </w:r>
    <w:r w:rsidRPr="00141A1D">
      <w:rPr>
        <w:rStyle w:val="SidhuvudUtskott"/>
      </w:rPr>
      <w:instrText xml:space="preserve"> DOCPROPERTY "UtkastDatum"</w:instrText>
    </w:r>
    <w:r w:rsidRPr="00141A1D">
      <w:rPr>
        <w:rStyle w:val="SidhuvudUtskott"/>
      </w:rPr>
      <w:fldChar w:fldCharType="separate"/>
    </w:r>
    <w:r w:rsidRPr="00141A1D">
      <w:rPr>
        <w:rStyle w:val="SidhuvudUtskott"/>
      </w:rPr>
      <w:instrText>Nej</w:instrText>
    </w:r>
    <w:r w:rsidRPr="00141A1D">
      <w:rPr>
        <w:rStyle w:val="SidhuvudUtskott"/>
      </w:rPr>
      <w:fldChar w:fldCharType="end"/>
    </w:r>
    <w:r w:rsidRPr="00141A1D">
      <w:rPr>
        <w:rStyle w:val="SidhuvudUtskott"/>
      </w:rPr>
      <w:instrText xml:space="preserve"> = "Ja" "</w:instrText>
    </w:r>
    <w:r w:rsidRPr="00141A1D">
      <w:rPr>
        <w:rStyle w:val="SidhuvudUtskott"/>
      </w:rPr>
      <w:fldChar w:fldCharType="begin" w:fldLock="1"/>
    </w:r>
    <w:r w:rsidRPr="00141A1D">
      <w:rPr>
        <w:rStyle w:val="SidhuvudUtskott"/>
      </w:rPr>
      <w:instrText xml:space="preserve"> PRINTDATE \@ "yyyy-MM-dd HH.mm    " </w:instrText>
    </w:r>
    <w:r w:rsidRPr="00141A1D">
      <w:rPr>
        <w:rStyle w:val="SidhuvudUtskott"/>
      </w:rPr>
      <w:fldChar w:fldCharType="separate"/>
    </w:r>
    <w:r w:rsidRPr="00141A1D">
      <w:rPr>
        <w:rStyle w:val="SidhuvudUtskott"/>
      </w:rPr>
      <w:instrText>2000-08-11 16.42</w:instrText>
    </w:r>
    <w:r w:rsidRPr="00141A1D">
      <w:rPr>
        <w:rStyle w:val="SidhuvudUtskott"/>
      </w:rPr>
      <w:fldChar w:fldCharType="end"/>
    </w:r>
    <w:r w:rsidRPr="00141A1D">
      <w:rPr>
        <w:rStyle w:val="SidhuvudUtskott"/>
      </w:rPr>
      <w:instrText xml:space="preserve">" </w:instrText>
    </w:r>
    <w:r w:rsidRPr="00141A1D">
      <w:rPr>
        <w:rStyle w:val="SidhuvudUtskott"/>
      </w:rPr>
      <w:fldChar w:fldCharType="end"/>
    </w:r>
    <w:r w:rsidRPr="00141A1D">
      <w:rPr>
        <w:rStyle w:val="SidhuvudUtskott"/>
      </w:rPr>
      <w:fldChar w:fldCharType="begin" w:fldLock="1"/>
    </w:r>
    <w:r w:rsidRPr="00141A1D">
      <w:rPr>
        <w:rStyle w:val="SidhuvudUtskott"/>
      </w:rPr>
      <w:instrText xml:space="preserve"> DOCPR</w:instrText>
    </w:r>
    <w:r w:rsidRPr="00141A1D">
      <w:rPr>
        <w:rStyle w:val="SidhuvudUtskott"/>
      </w:rPr>
      <w:instrText>O</w:instrText>
    </w:r>
    <w:r w:rsidRPr="00141A1D">
      <w:rPr>
        <w:rStyle w:val="SidhuvudUtskott"/>
      </w:rPr>
      <w:instrText>PERTY Status</w:instrText>
    </w:r>
    <w:r w:rsidRPr="00141A1D">
      <w:rPr>
        <w:rStyle w:val="SidhuvudUtskott"/>
      </w:rPr>
      <w:fldChar w:fldCharType="end"/>
    </w:r>
  </w:p>
  <w:p w:rsidR="0080157C" w:rsidRPr="00141A1D" w:rsidRDefault="0080157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t xml:space="preserve"> </w:t>
    </w:r>
  </w:p>
  <w:p w:rsidR="0080157C" w:rsidRPr="00141A1D" w:rsidRDefault="0080157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2001/02:KU12</w:t>
    </w:r>
    <w:r w:rsidRPr="00141A1D">
      <w:t xml:space="preserve">  </w:t>
    </w:r>
    <w:r w:rsidRPr="00141A1D">
      <w:rPr>
        <w:rStyle w:val="SidhuvudRubrikReferens"/>
      </w:rPr>
      <w:t>Innehållsförteckning</w:t>
    </w:r>
  </w:p>
  <w:p w:rsidR="0080157C" w:rsidRPr="00141A1D" w:rsidRDefault="0080157C">
    <w:pPr>
      <w:pStyle w:val="SidhuvudKantJmn"/>
      <w:framePr w:w="8732" w:h="567" w:hRule="exact" w:vSpace="0" w:wrap="around" w:vAnchor="page" w:y="341" w:anchorLock="0"/>
    </w:pPr>
  </w:p>
  <w:p w:rsidR="0080157C" w:rsidRPr="00141A1D" w:rsidRDefault="0080157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rPr>
        <w:rStyle w:val="SidhuvudRubrikReferens"/>
      </w:rPr>
      <w:t>Innehållsförteckning</w:t>
    </w:r>
    <w:r w:rsidRPr="00141A1D">
      <w:rPr>
        <w:rStyle w:val="SidhuvudBilaga"/>
      </w:rPr>
      <w:t xml:space="preserve"> </w:t>
    </w: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2001/02:KU12</w:t>
    </w:r>
    <w:r w:rsidRPr="00141A1D">
      <w:t xml:space="preserve">    </w:t>
    </w:r>
  </w:p>
  <w:p w:rsidR="0080157C" w:rsidRPr="00141A1D" w:rsidRDefault="0080157C">
    <w:pPr>
      <w:pStyle w:val="SidhuvudKantJmn"/>
      <w:framePr w:w="8732" w:h="567" w:hRule="exact" w:vSpace="0" w:wrap="around" w:vAnchor="page" w:y="341" w:anchorLock="0"/>
    </w:pPr>
  </w:p>
  <w:p w:rsidR="0080157C" w:rsidRPr="00141A1D" w:rsidRDefault="0080157C">
    <w:pPr>
      <w:pStyle w:val="SidhuvudKantUdda"/>
      <w:framePr w:w="8732" w:h="567" w:hRule="exact" w:vSpace="0" w:wrap="around" w:vAnchor="page" w:y="341" w:anchorLock="0"/>
    </w:pPr>
    <w:r w:rsidRPr="00141A1D">
      <w:rPr>
        <w:rStyle w:val="SidhuvudRubrikReferens"/>
        <w:smallCaps w:val="0"/>
        <w:spacing w:val="0"/>
        <w:sz w:val="19"/>
      </w:rPr>
      <w:t xml:space="preserve"> </w:t>
    </w:r>
  </w:p>
  <w:p w:rsidR="0080157C" w:rsidRPr="00141A1D" w:rsidRDefault="0080157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Jmn"/>
      <w:framePr w:w="8732" w:h="567" w:hRule="exact" w:vSpace="0" w:wrap="around" w:vAnchor="page" w:y="341" w:anchorLock="0"/>
    </w:pPr>
    <w:r w:rsidRPr="00141A1D">
      <w:rPr>
        <w:rStyle w:val="SidhuvudUtskott"/>
      </w:rPr>
      <w:t>2001/02:KU12</w:t>
    </w:r>
    <w:r w:rsidRPr="00141A1D">
      <w:t xml:space="preserve">  </w:t>
    </w:r>
    <w:r w:rsidRPr="00141A1D">
      <w:rPr>
        <w:rStyle w:val="SidhuvudRubrikReferens"/>
      </w:rPr>
      <w:t>Utskottets förslag till riksdagsbeslut</w:t>
    </w:r>
  </w:p>
  <w:p w:rsidR="0080157C" w:rsidRPr="00141A1D" w:rsidRDefault="0080157C">
    <w:pPr>
      <w:pStyle w:val="SidhuvudKantJmn"/>
      <w:framePr w:w="8732" w:h="567" w:hRule="exact" w:vSpace="0" w:wrap="around" w:vAnchor="page" w:y="341" w:anchorLock="0"/>
    </w:pPr>
  </w:p>
  <w:p w:rsidR="0080157C" w:rsidRPr="00141A1D" w:rsidRDefault="0080157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rPr>
        <w:rStyle w:val="SidhuvudRubrikReferens"/>
      </w:rPr>
      <w:t>Utskottets förslag till riksdagsbeslut</w:t>
    </w:r>
    <w:r w:rsidRPr="00141A1D">
      <w:rPr>
        <w:rStyle w:val="SidhuvudBilaga"/>
      </w:rPr>
      <w:t xml:space="preserve"> </w:t>
    </w: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7C" w:rsidRPr="00141A1D" w:rsidRDefault="0080157C">
    <w:pPr>
      <w:pStyle w:val="SidhuvudKantUdda"/>
      <w:framePr w:w="8732" w:h="567" w:hRule="exact" w:vSpace="0" w:wrap="around" w:vAnchor="page" w:y="341" w:anchorLock="0"/>
    </w:pPr>
    <w:r w:rsidRPr="00141A1D">
      <w:t xml:space="preserve">  </w:t>
    </w:r>
    <w:r w:rsidRPr="00141A1D">
      <w:rPr>
        <w:rStyle w:val="SidhuvudUtskott"/>
      </w:rPr>
      <w:t>2001/02:KU12</w:t>
    </w:r>
  </w:p>
  <w:p w:rsidR="0080157C" w:rsidRPr="00141A1D" w:rsidRDefault="0080157C">
    <w:pPr>
      <w:pStyle w:val="SidhuvudKantUdda"/>
      <w:framePr w:w="8732" w:h="567" w:hRule="exact" w:vSpace="0" w:wrap="around" w:vAnchor="page" w:y="341" w:anchorLock="0"/>
    </w:pPr>
  </w:p>
  <w:p w:rsidR="0080157C" w:rsidRPr="00141A1D" w:rsidRDefault="0080157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548"/>
    <w:multiLevelType w:val="singleLevel"/>
    <w:tmpl w:val="012C6FD0"/>
    <w:lvl w:ilvl="0">
      <w:start w:val="4"/>
      <w:numFmt w:val="decimal"/>
      <w:lvlText w:val="%1."/>
      <w:lvlJc w:val="left"/>
      <w:pPr>
        <w:tabs>
          <w:tab w:val="num" w:pos="360"/>
        </w:tabs>
        <w:ind w:left="360" w:hanging="360"/>
      </w:pPr>
      <w:rPr>
        <w:rFonts w:hint="default"/>
      </w:rPr>
    </w:lvl>
  </w:abstractNum>
  <w:abstractNum w:abstractNumId="1" w15:restartNumberingAfterBreak="0">
    <w:nsid w:val="05D44EBC"/>
    <w:multiLevelType w:val="singleLevel"/>
    <w:tmpl w:val="012C6FD0"/>
    <w:lvl w:ilvl="0">
      <w:start w:val="3"/>
      <w:numFmt w:val="decimal"/>
      <w:lvlText w:val="%1."/>
      <w:lvlJc w:val="left"/>
      <w:pPr>
        <w:tabs>
          <w:tab w:val="num" w:pos="360"/>
        </w:tabs>
        <w:ind w:left="360" w:hanging="360"/>
      </w:pPr>
      <w:rPr>
        <w:rFonts w:hint="default"/>
      </w:rPr>
    </w:lvl>
  </w:abstractNum>
  <w:abstractNum w:abstractNumId="2" w15:restartNumberingAfterBreak="0">
    <w:nsid w:val="060801BE"/>
    <w:multiLevelType w:val="singleLevel"/>
    <w:tmpl w:val="FF121C7C"/>
    <w:lvl w:ilvl="0">
      <w:start w:val="1"/>
      <w:numFmt w:val="decimal"/>
      <w:lvlText w:val="%1."/>
      <w:lvlJc w:val="left"/>
      <w:pPr>
        <w:tabs>
          <w:tab w:val="num" w:pos="530"/>
        </w:tabs>
        <w:ind w:left="530" w:hanging="360"/>
      </w:pPr>
      <w:rPr>
        <w:rFonts w:hint="default"/>
        <w:sz w:val="19"/>
      </w:rPr>
    </w:lvl>
  </w:abstractNum>
  <w:abstractNum w:abstractNumId="3" w15:restartNumberingAfterBreak="0">
    <w:nsid w:val="10E83ABF"/>
    <w:multiLevelType w:val="singleLevel"/>
    <w:tmpl w:val="012C6FD0"/>
    <w:lvl w:ilvl="0">
      <w:start w:val="1"/>
      <w:numFmt w:val="decimal"/>
      <w:lvlText w:val="%1."/>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62536C0"/>
    <w:multiLevelType w:val="singleLevel"/>
    <w:tmpl w:val="012C6FD0"/>
    <w:lvl w:ilvl="0">
      <w:start w:val="7"/>
      <w:numFmt w:val="decimal"/>
      <w:lvlText w:val="%1."/>
      <w:lvlJc w:val="left"/>
      <w:pPr>
        <w:tabs>
          <w:tab w:val="num" w:pos="360"/>
        </w:tabs>
        <w:ind w:left="360" w:hanging="360"/>
      </w:pPr>
      <w:rPr>
        <w:rFonts w:hint="default"/>
      </w:rPr>
    </w:lvl>
  </w:abstractNum>
  <w:abstractNum w:abstractNumId="6" w15:restartNumberingAfterBreak="0">
    <w:nsid w:val="20C60B77"/>
    <w:multiLevelType w:val="singleLevel"/>
    <w:tmpl w:val="1D50E4D0"/>
    <w:lvl w:ilvl="0">
      <w:start w:val="1"/>
      <w:numFmt w:val="decimal"/>
      <w:lvlText w:val="%1."/>
      <w:lvlJc w:val="left"/>
      <w:pPr>
        <w:tabs>
          <w:tab w:val="num" w:pos="530"/>
        </w:tabs>
        <w:ind w:left="530" w:hanging="360"/>
      </w:pPr>
      <w:rPr>
        <w:rFonts w:hint="default"/>
      </w:rPr>
    </w:lvl>
  </w:abstractNum>
  <w:abstractNum w:abstractNumId="7" w15:restartNumberingAfterBreak="0">
    <w:nsid w:val="2E6922F9"/>
    <w:multiLevelType w:val="singleLevel"/>
    <w:tmpl w:val="012C6FD0"/>
    <w:lvl w:ilvl="0">
      <w:start w:val="7"/>
      <w:numFmt w:val="decimal"/>
      <w:lvlText w:val="%1."/>
      <w:lvlJc w:val="left"/>
      <w:pPr>
        <w:tabs>
          <w:tab w:val="num" w:pos="360"/>
        </w:tabs>
        <w:ind w:left="360" w:hanging="360"/>
      </w:pPr>
      <w:rPr>
        <w:rFonts w:hint="default"/>
      </w:rPr>
    </w:lvl>
  </w:abstractNum>
  <w:abstractNum w:abstractNumId="8" w15:restartNumberingAfterBreak="0">
    <w:nsid w:val="2FB86563"/>
    <w:multiLevelType w:val="singleLevel"/>
    <w:tmpl w:val="012C6FD0"/>
    <w:lvl w:ilvl="0">
      <w:start w:val="13"/>
      <w:numFmt w:val="decimal"/>
      <w:lvlText w:val="%1."/>
      <w:lvlJc w:val="left"/>
      <w:pPr>
        <w:tabs>
          <w:tab w:val="num" w:pos="360"/>
        </w:tabs>
        <w:ind w:left="360" w:hanging="360"/>
      </w:pPr>
      <w:rPr>
        <w:rFonts w:hint="default"/>
      </w:rPr>
    </w:lvl>
  </w:abstractNum>
  <w:abstractNum w:abstractNumId="9" w15:restartNumberingAfterBreak="0">
    <w:nsid w:val="33062B5F"/>
    <w:multiLevelType w:val="singleLevel"/>
    <w:tmpl w:val="012C6FD0"/>
    <w:lvl w:ilvl="0">
      <w:start w:val="3"/>
      <w:numFmt w:val="decimal"/>
      <w:lvlText w:val="%1."/>
      <w:lvlJc w:val="left"/>
      <w:pPr>
        <w:tabs>
          <w:tab w:val="num" w:pos="360"/>
        </w:tabs>
        <w:ind w:left="360" w:hanging="360"/>
      </w:pPr>
      <w:rPr>
        <w:rFonts w:hint="default"/>
      </w:rPr>
    </w:lvl>
  </w:abstractNum>
  <w:abstractNum w:abstractNumId="10" w15:restartNumberingAfterBreak="0">
    <w:nsid w:val="364358C6"/>
    <w:multiLevelType w:val="singleLevel"/>
    <w:tmpl w:val="012C6FD0"/>
    <w:lvl w:ilvl="0">
      <w:start w:val="3"/>
      <w:numFmt w:val="decimal"/>
      <w:lvlText w:val="%1."/>
      <w:lvlJc w:val="left"/>
      <w:pPr>
        <w:tabs>
          <w:tab w:val="num" w:pos="360"/>
        </w:tabs>
        <w:ind w:left="360" w:hanging="360"/>
      </w:pPr>
      <w:rPr>
        <w:rFonts w:hint="default"/>
      </w:rPr>
    </w:lvl>
  </w:abstractNum>
  <w:abstractNum w:abstractNumId="11" w15:restartNumberingAfterBreak="0">
    <w:nsid w:val="3D192DC6"/>
    <w:multiLevelType w:val="singleLevel"/>
    <w:tmpl w:val="012C6FD0"/>
    <w:lvl w:ilvl="0">
      <w:start w:val="1"/>
      <w:numFmt w:val="decimal"/>
      <w:lvlText w:val="%1."/>
      <w:lvlJc w:val="left"/>
      <w:pPr>
        <w:tabs>
          <w:tab w:val="num" w:pos="360"/>
        </w:tabs>
        <w:ind w:left="360" w:hanging="360"/>
      </w:pPr>
      <w:rPr>
        <w:rFonts w:hint="default"/>
      </w:rPr>
    </w:lvl>
  </w:abstractNum>
  <w:abstractNum w:abstractNumId="12" w15:restartNumberingAfterBreak="0">
    <w:nsid w:val="3EC70B75"/>
    <w:multiLevelType w:val="singleLevel"/>
    <w:tmpl w:val="012C6FD0"/>
    <w:lvl w:ilvl="0">
      <w:start w:val="13"/>
      <w:numFmt w:val="decimal"/>
      <w:lvlText w:val="%1."/>
      <w:lvlJc w:val="left"/>
      <w:pPr>
        <w:tabs>
          <w:tab w:val="num" w:pos="360"/>
        </w:tabs>
        <w:ind w:left="360" w:hanging="360"/>
      </w:pPr>
      <w:rPr>
        <w:rFonts w:hint="default"/>
      </w:rPr>
    </w:lvl>
  </w:abstractNum>
  <w:abstractNum w:abstractNumId="13" w15:restartNumberingAfterBreak="0">
    <w:nsid w:val="50B14D28"/>
    <w:multiLevelType w:val="singleLevel"/>
    <w:tmpl w:val="9E745E1C"/>
    <w:lvl w:ilvl="0">
      <w:start w:val="1"/>
      <w:numFmt w:val="decimal"/>
      <w:lvlText w:val="%1."/>
      <w:lvlJc w:val="left"/>
      <w:pPr>
        <w:tabs>
          <w:tab w:val="num" w:pos="587"/>
        </w:tabs>
        <w:ind w:left="587" w:hanging="360"/>
      </w:pPr>
      <w:rPr>
        <w:rFonts w:hint="default"/>
      </w:rPr>
    </w:lvl>
  </w:abstractNum>
  <w:abstractNum w:abstractNumId="14" w15:restartNumberingAfterBreak="0">
    <w:nsid w:val="5B3C4FBF"/>
    <w:multiLevelType w:val="singleLevel"/>
    <w:tmpl w:val="3FA06242"/>
    <w:lvl w:ilvl="0">
      <w:start w:val="6"/>
      <w:numFmt w:val="decimal"/>
      <w:lvlText w:val="%1"/>
      <w:lvlJc w:val="left"/>
      <w:pPr>
        <w:tabs>
          <w:tab w:val="num" w:pos="360"/>
        </w:tabs>
        <w:ind w:left="360" w:hanging="360"/>
      </w:pPr>
      <w:rPr>
        <w:rFonts w:hint="default"/>
      </w:rPr>
    </w:lvl>
  </w:abstractNum>
  <w:abstractNum w:abstractNumId="15" w15:restartNumberingAfterBreak="0">
    <w:nsid w:val="6C856F88"/>
    <w:multiLevelType w:val="singleLevel"/>
    <w:tmpl w:val="012C6FD0"/>
    <w:lvl w:ilvl="0">
      <w:start w:val="3"/>
      <w:numFmt w:val="decimal"/>
      <w:lvlText w:val="%1."/>
      <w:lvlJc w:val="left"/>
      <w:pPr>
        <w:tabs>
          <w:tab w:val="num" w:pos="360"/>
        </w:tabs>
        <w:ind w:left="360" w:hanging="360"/>
      </w:pPr>
      <w:rPr>
        <w:rFonts w:hint="default"/>
      </w:rPr>
    </w:lvl>
  </w:abstractNum>
  <w:abstractNum w:abstractNumId="16" w15:restartNumberingAfterBreak="0">
    <w:nsid w:val="6DA5121E"/>
    <w:multiLevelType w:val="singleLevel"/>
    <w:tmpl w:val="6E4E3BE8"/>
    <w:lvl w:ilvl="0">
      <w:start w:val="1"/>
      <w:numFmt w:val="decimal"/>
      <w:lvlText w:val="%1."/>
      <w:lvlJc w:val="left"/>
      <w:pPr>
        <w:tabs>
          <w:tab w:val="num" w:pos="587"/>
        </w:tabs>
        <w:ind w:left="587" w:hanging="360"/>
      </w:pPr>
      <w:rPr>
        <w:rFonts w:hint="default"/>
      </w:rPr>
    </w:lvl>
  </w:abstractNum>
  <w:abstractNum w:abstractNumId="17" w15:restartNumberingAfterBreak="0">
    <w:nsid w:val="72DA611B"/>
    <w:multiLevelType w:val="singleLevel"/>
    <w:tmpl w:val="012C6FD0"/>
    <w:lvl w:ilvl="0">
      <w:start w:val="7"/>
      <w:numFmt w:val="decimal"/>
      <w:lvlText w:val="%1."/>
      <w:lvlJc w:val="left"/>
      <w:pPr>
        <w:tabs>
          <w:tab w:val="num" w:pos="360"/>
        </w:tabs>
        <w:ind w:left="360" w:hanging="360"/>
      </w:pPr>
      <w:rPr>
        <w:rFonts w:hint="default"/>
      </w:rPr>
    </w:lvl>
  </w:abstractNum>
  <w:num w:numId="1" w16cid:durableId="854075093">
    <w:abstractNumId w:val="4"/>
  </w:num>
  <w:num w:numId="2" w16cid:durableId="1842698519">
    <w:abstractNumId w:val="13"/>
  </w:num>
  <w:num w:numId="3" w16cid:durableId="305399009">
    <w:abstractNumId w:val="16"/>
  </w:num>
  <w:num w:numId="4" w16cid:durableId="1439985690">
    <w:abstractNumId w:val="3"/>
  </w:num>
  <w:num w:numId="5" w16cid:durableId="1563100755">
    <w:abstractNumId w:val="11"/>
  </w:num>
  <w:num w:numId="6" w16cid:durableId="1243956494">
    <w:abstractNumId w:val="9"/>
  </w:num>
  <w:num w:numId="7" w16cid:durableId="1720663660">
    <w:abstractNumId w:val="15"/>
  </w:num>
  <w:num w:numId="8" w16cid:durableId="1731924152">
    <w:abstractNumId w:val="1"/>
  </w:num>
  <w:num w:numId="9" w16cid:durableId="567156940">
    <w:abstractNumId w:val="10"/>
  </w:num>
  <w:num w:numId="10" w16cid:durableId="1633829160">
    <w:abstractNumId w:val="12"/>
  </w:num>
  <w:num w:numId="11" w16cid:durableId="1670518778">
    <w:abstractNumId w:val="8"/>
  </w:num>
  <w:num w:numId="12" w16cid:durableId="348455208">
    <w:abstractNumId w:val="14"/>
  </w:num>
  <w:num w:numId="13" w16cid:durableId="2078047141">
    <w:abstractNumId w:val="0"/>
  </w:num>
  <w:num w:numId="14" w16cid:durableId="757755329">
    <w:abstractNumId w:val="7"/>
  </w:num>
  <w:num w:numId="15" w16cid:durableId="1686902787">
    <w:abstractNumId w:val="17"/>
  </w:num>
  <w:num w:numId="16" w16cid:durableId="1588415757">
    <w:abstractNumId w:val="5"/>
  </w:num>
  <w:num w:numId="17" w16cid:durableId="988630052">
    <w:abstractNumId w:val="2"/>
  </w:num>
  <w:num w:numId="18" w16cid:durableId="1443574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632577"/>
    <w:rsid w:val="00141A1D"/>
    <w:rsid w:val="00632577"/>
    <w:rsid w:val="008015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7CD68-A258-4E22-87DF-B48C5382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character" w:styleId="Hyperlnk">
    <w:name w:val="Hyperlink"/>
    <w:basedOn w:val="Standardstycketeckensnitt"/>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basedOn w:val="Normal"/>
    <w:semiHidden/>
    <w:rPr>
      <w:snapToGrid w:val="0"/>
      <w:color w:val="000000"/>
      <w:lang w:eastAsia="sv-SE"/>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14603</Words>
  <Characters>92150</Characters>
  <Application>Microsoft Office Word</Application>
  <DocSecurity>4</DocSecurity>
  <Lines>2047</Lines>
  <Paragraphs>802</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Konstitutionsutskottets betänkande</vt:lpstr>
      <vt:lpstr>Sammanfattning</vt:lpstr>
      <vt:lpstr>Innehållsförteckning</vt:lpstr>
      <vt:lpstr>Utskottets förslag till riksdagsbeslut</vt:lpstr>
      <vt:lpstr>Utskottets överväganden</vt:lpstr>
      <vt:lpstr>    Lagen (1994:1065) om ekonomiska villkor för riksdagens ledamöter, m.m.</vt:lpstr>
      <vt:lpstr>    Arvodet till ledamöter i vissa organ</vt:lpstr>
      <vt:lpstr>    Ersättningen till ersättare</vt:lpstr>
      <vt:lpstr>    Riksdagens arbetsår</vt:lpstr>
      <vt:lpstr>    Ledamöternas placering i plenisalen</vt:lpstr>
      <vt:lpstr>    Ideologiska debatter i riksdagen</vt:lpstr>
      <vt:lpstr>    Statsrådens deltagande i riksdagsarbetet</vt:lpstr>
      <vt:lpstr>    Europaparlamentarikers deltagande i riksdagsdebatter</vt:lpstr>
      <vt:lpstr>    Den allmänna motionstiden m.m.</vt:lpstr>
      <vt:lpstr>    Budgetprocessen</vt:lpstr>
      <vt:lpstr>    Utformningen av motioner</vt:lpstr>
      <vt:lpstr>    Utskottsorganisationen</vt:lpstr>
      <vt:lpstr>    Utskottens arbetsformer</vt:lpstr>
      <vt:lpstr>    Utskottens arbete med EU-frågor</vt:lpstr>
      <vt:lpstr>    Edgång vid utfrågningar i konstitutionsutskottet</vt:lpstr>
      <vt:lpstr>    Debattordningen vid frågestunder</vt:lpstr>
      <vt:lpstr>    Registrering av lobbare</vt:lpstr>
      <vt:lpstr>    Teknisk utrustning</vt:lpstr>
      <vt:lpstr>    Riksdagens IT-policy</vt:lpstr>
      <vt:lpstr>    Registrering av ledamöters ekonomiska intressen</vt:lpstr>
      <vt:lpstr>    Regionalt riksdagskontor i Göteborg</vt:lpstr>
      <vt:lpstr>    Högvakt vid riksdagen och Sagerska huset</vt:lpstr>
      <vt:lpstr>    Samordning av riksdagens informations- och dokumentationsverksamhet</vt:lpstr>
      <vt:lpstr>    Skolelevers besök i riksdagen</vt:lpstr>
      <vt:lpstr>Reservationer</vt:lpstr>
      <vt:lpstr>    1. Ledamöternas placering i plenisalen (punkt 5)</vt:lpstr>
      <vt:lpstr>    2. Europaparlamentarikers deltagande i riksdagsdebatter (punkt 8)</vt:lpstr>
      <vt:lpstr>    3. Budgetprocessen (punkt 10)</vt:lpstr>
      <vt:lpstr>    4. Utskottsorganisationen (punkt 12)</vt:lpstr>
      <vt:lpstr>    5. Försvarsberedningens roll (punkt 13 – motiveringen)</vt:lpstr>
      <vt:lpstr>    6. Registrering av ledamöters ekonomiska intressen (punkt 21)</vt:lpstr>
      <vt:lpstr>    7. Regionalt riksdagskontor i Göteborg (punkt 22) </vt:lpstr>
      <vt:lpstr/>
      <vt:lpstr>Särskilt yttrande</vt:lpstr>
      <vt:lpstr>        Budgetprocessen (punkt 10)</vt:lpstr>
      <vt:lpstr>Förteckning över behandlade förslag</vt:lpstr>
      <vt:lpstr>    Riksdagsstyrelsens förslag</vt:lpstr>
      <vt:lpstr>    Motioner från allmänna motionstiden</vt:lpstr>
      <vt:lpstr>Riksdagsstyrelsens lagförslag</vt:lpstr>
      <vt:lpstr>    1 Förslag till lag om ändring i lagen (1994:1065) om ekonomiska villkor för riks</vt:lpstr>
    </vt:vector>
  </TitlesOfParts>
  <Company>Riksdagen</Company>
  <LinksUpToDate>false</LinksUpToDate>
  <CharactersWithSpaces>105951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2002-01-29T07:46:00Z</cp:lastPrinted>
  <dcterms:created xsi:type="dcterms:W3CDTF">2025-12-16T00:17:00Z</dcterms:created>
  <dcterms:modified xsi:type="dcterms:W3CDTF">2025-12-16T00:17:00Z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