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810" w:rsidRPr="00D34821" w:rsidRDefault="00EF3810">
      <w:pPr>
        <w:pStyle w:val="Frslagsrubrik"/>
      </w:pPr>
      <w:r w:rsidRPr="00D34821">
        <w:t>Förslag till riksdagsbeslut</w:t>
      </w:r>
    </w:p>
    <w:p w:rsidR="00EF3810" w:rsidRPr="00D34821" w:rsidRDefault="00EF3810">
      <w:pPr>
        <w:pStyle w:val="Hemstlatt"/>
      </w:pPr>
      <w:r w:rsidRPr="00D34821">
        <w:t>Riksdagen tillkännager för regeringen som sin mening vad som anförs i motionen om differentierad avbrottsersät</w:t>
      </w:r>
      <w:r w:rsidRPr="00D34821">
        <w:t>t</w:t>
      </w:r>
      <w:r w:rsidRPr="00D34821">
        <w:t>ning.</w:t>
      </w:r>
    </w:p>
    <w:p w:rsidR="00EF3810" w:rsidRPr="00D34821" w:rsidRDefault="00EF3810">
      <w:pPr>
        <w:pStyle w:val="Rubrik1"/>
      </w:pPr>
      <w:r w:rsidRPr="00D34821">
        <w:t>Motivering</w:t>
      </w:r>
    </w:p>
    <w:p w:rsidR="00EF3810" w:rsidRPr="00D34821" w:rsidRDefault="00EF3810">
      <w:r w:rsidRPr="00D34821">
        <w:t>Regeringen har genomfört ett omfattande utrednings- och förslagsarbete inom området elnät. Tack vare detta är exempelvis nya regler om nättaxor under införande och reformer är på väg att genomföras i syfte att förbättra elnätsla</w:t>
      </w:r>
      <w:r w:rsidRPr="00D34821">
        <w:t>g</w:t>
      </w:r>
      <w:r w:rsidRPr="00D34821">
        <w:t>stiftningen så att förnybar elproduktion underlättas. Politikutvec</w:t>
      </w:r>
      <w:r w:rsidRPr="00D34821">
        <w:t>k</w:t>
      </w:r>
      <w:r w:rsidRPr="00D34821">
        <w:t>lingen när det gäller elnätsfrågor fortsätter, vilket är välkommet.</w:t>
      </w:r>
    </w:p>
    <w:p w:rsidR="00EF3810" w:rsidRPr="00D34821" w:rsidRDefault="00EF3810">
      <w:pPr>
        <w:pStyle w:val="Normaltindrag"/>
      </w:pPr>
      <w:r w:rsidRPr="00D34821">
        <w:t>I propositionen Förhandsprövning av nättariffer (prop. 2008/09:141) utt</w:t>
      </w:r>
      <w:r w:rsidRPr="00D34821">
        <w:t>a</w:t>
      </w:r>
      <w:r w:rsidRPr="00D34821">
        <w:t xml:space="preserve">las avsikten att följa upp den nuvarande regleringen om avbrottsersättning. Näringsutskottet konstaterar i betänkande 2010/11:NU21 </w:t>
      </w:r>
      <w:r w:rsidRPr="00D34821">
        <w:rPr>
          <w:i/>
        </w:rPr>
        <w:t>Tredje inre mar</w:t>
      </w:r>
      <w:r w:rsidRPr="00D34821">
        <w:rPr>
          <w:i/>
        </w:rPr>
        <w:t>k</w:t>
      </w:r>
      <w:r w:rsidRPr="00D34821">
        <w:rPr>
          <w:i/>
        </w:rPr>
        <w:t>nadspaketet för el och naturgas m.m.</w:t>
      </w:r>
      <w:r w:rsidRPr="00D34821">
        <w:t xml:space="preserve"> att denna uppföljning eventuellt kan leda till att regeringen låter utreda behovet av förändringar av bestämmelserna för avbrottsersättningen, varför motioner inom detta område tidigare avstyrkts av näringsutskottet. Ytterligare ansatser i den riktning som avses i betänkande 2010/11:NU21 för att genomlysa denna fråga tycks em</w:t>
      </w:r>
      <w:r w:rsidRPr="00D34821">
        <w:t>ellertid ej ha tagits och konkreta förslag på området återfinns inte heller i Nätanslutningsutredningens (SOU 2008:13) betänkande, där dock avbrottsersättning diskuteras.</w:t>
      </w:r>
    </w:p>
    <w:p w:rsidR="00EF3810" w:rsidRPr="00D34821" w:rsidRDefault="00EF3810">
      <w:pPr>
        <w:pStyle w:val="Normaltindrag"/>
      </w:pPr>
      <w:r w:rsidRPr="00D34821">
        <w:t>Det finns således fortfarande en brist i ellagen (1997:857) som inte har uppmärksammats tillräckligt, vilken berör skadestånd och ersättningar vid förluster som uppstått i samband med elavbrott. Rätten till avbrottsersättning tillfaller de kunder som enligt ellagen är att betrakta som elanvändare och är direkt anslutna till ett elnät. En k</w:t>
      </w:r>
      <w:r w:rsidRPr="00D34821">
        <w:t>und har rätt till avbrottsersättning om elöve</w:t>
      </w:r>
      <w:r w:rsidRPr="00D34821">
        <w:t>r</w:t>
      </w:r>
      <w:r w:rsidRPr="00D34821">
        <w:t>föringen avbrutits helt under en sammanhängande period om minst 12 ti</w:t>
      </w:r>
      <w:r w:rsidRPr="00D34821">
        <w:t>m</w:t>
      </w:r>
      <w:r w:rsidRPr="00D34821">
        <w:t>mar. Ersättningsbeloppets storlek står i direkt proportion till avbrottsperi</w:t>
      </w:r>
      <w:r w:rsidRPr="00D34821">
        <w:t>o</w:t>
      </w:r>
      <w:r w:rsidRPr="00D34821">
        <w:t>dens längd.</w:t>
      </w:r>
    </w:p>
    <w:p w:rsidR="00EF3810" w:rsidRPr="00D34821" w:rsidRDefault="00EF3810">
      <w:pPr>
        <w:pStyle w:val="Normaltindrag"/>
      </w:pPr>
      <w:r w:rsidRPr="00D34821">
        <w:lastRenderedPageBreak/>
        <w:t>I grunden gäller vid avbrott att regeln om rätt till ersättning inte kräver n</w:t>
      </w:r>
      <w:r w:rsidRPr="00D34821">
        <w:t>å</w:t>
      </w:r>
      <w:r w:rsidRPr="00D34821">
        <w:t>gon särskild felanmälan från kunderna. Ibland krävs det dock en felanmälan för att elbolaget ska få kännedom om avbrottet. Om exempelvis en elanvänd</w:t>
      </w:r>
      <w:r w:rsidRPr="00D34821">
        <w:t>a</w:t>
      </w:r>
      <w:r w:rsidRPr="00D34821">
        <w:t>re i ett ensligt fritidshus först ett år efter avbrottet underrättar nätföretaget om ett elavbrott och nätföretaget godtar elanvändarens anspråk på ersättning ska denna betalas ut utan oskäligt dröjsmål. Hur avbrottsersättningen ska berä</w:t>
      </w:r>
      <w:r w:rsidRPr="00D34821">
        <w:t>k</w:t>
      </w:r>
      <w:r w:rsidRPr="00D34821">
        <w:t>nas i dessa fall framgår dock inte av lagtexten.</w:t>
      </w:r>
    </w:p>
    <w:p w:rsidR="00EF3810" w:rsidRPr="00D34821" w:rsidRDefault="00EF3810">
      <w:pPr>
        <w:pStyle w:val="Normaltindrag"/>
      </w:pPr>
      <w:r w:rsidRPr="00D34821">
        <w:t>Lagstiftningen kan medföra en rad problematiska scenarion och snedvri</w:t>
      </w:r>
      <w:r w:rsidRPr="00D34821">
        <w:t>d</w:t>
      </w:r>
      <w:r w:rsidRPr="00D34821">
        <w:t>na gynnanden. Ibland kan den enligt lag reglerade ersättningen vara långt högre och helt sakna proportion mot den skada den drabbade elkonsumenten upplevt. I många områden i Sverige finns otaliga fritidshus som har en låg årlig elförbrukning och där till och med huvudströmbrytarna är avslagna vi</w:t>
      </w:r>
      <w:r w:rsidRPr="00D34821">
        <w:t>n</w:t>
      </w:r>
      <w:r w:rsidRPr="00D34821">
        <w:t>tertid. Det är även vanligt med elanslutna dansbanor och andra säsongsbet</w:t>
      </w:r>
      <w:r w:rsidRPr="00D34821">
        <w:t>o</w:t>
      </w:r>
      <w:r w:rsidRPr="00D34821">
        <w:t>nade anläggningar, vilka bara är i drift ett par månader om året. Att även dessa omfattas av ersättningarna och likställs med primära boende</w:t>
      </w:r>
      <w:r w:rsidRPr="00D34821">
        <w:t>n skapar en märklig situation där innehavarna får betalt för den tid elen var avstängd, även om de ej hade behov av att nyttja den. Vi anser att detta är fel. Det är inte rimligt att hela kundkollektivet ska betala avbrottsersättning till dessa när elavbrottet inte påverkar konsumenten i negativ bemärkelse.</w:t>
      </w:r>
    </w:p>
    <w:p w:rsidR="00EF3810" w:rsidRPr="00D34821" w:rsidRDefault="00EF3810">
      <w:pPr>
        <w:pStyle w:val="Normaltindrag"/>
      </w:pPr>
      <w:r w:rsidRPr="00D34821">
        <w:t>Denna överkompensation är givetvis ett ännu större problem för mindre nätföretag med stora andelar landsbygdskunder. Dessa bolag kan drabbas av avsevärda ersättningsutbetalningar i relation till bolagens</w:t>
      </w:r>
      <w:r w:rsidRPr="00D34821">
        <w:t xml:space="preserve"> intäkter. De nuv</w:t>
      </w:r>
      <w:r w:rsidRPr="00D34821">
        <w:t>a</w:t>
      </w:r>
      <w:r w:rsidRPr="00D34821">
        <w:t>rande bestämmelserna utgör ett hot mot många mindre elbolag och konku</w:t>
      </w:r>
      <w:r w:rsidRPr="00D34821">
        <w:t>r</w:t>
      </w:r>
      <w:r w:rsidRPr="00D34821">
        <w:t>rensen mellan elbolag på elmarknaden. Ett långsiktigt missgynnande av min</w:t>
      </w:r>
      <w:r w:rsidRPr="00D34821">
        <w:t>d</w:t>
      </w:r>
      <w:r w:rsidRPr="00D34821">
        <w:t>re bolag med många landsbygdskunder kan innebära att antalet sådana bolag minskar.</w:t>
      </w:r>
    </w:p>
    <w:p w:rsidR="00EF3810" w:rsidRPr="00D34821" w:rsidRDefault="00EF3810">
      <w:pPr>
        <w:pStyle w:val="Normaltindrag"/>
      </w:pPr>
      <w:r w:rsidRPr="00D34821">
        <w:t>Det återstår dessvärre fortfarande brister i den rådande lagstiftningen, trots det ambitiösa reformarbetet under senare år. Lagstiftningen är dels orättvis då den beviljar ersättningar till kunder som ej påverkats av elavbrotten, dels missgynnande gentemot vissa mind</w:t>
      </w:r>
      <w:r w:rsidRPr="00D34821">
        <w:t>re elnätsaktörer. Lagstiftningen bör dä</w:t>
      </w:r>
      <w:r w:rsidRPr="00D34821">
        <w:t>r</w:t>
      </w:r>
      <w:r w:rsidRPr="00D34821">
        <w:t>med ses över i syfte att den omarbetas så att inte effekter uppstår som slår orättvist och drabbar andra abonnenter hårt.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821">
        <w:trPr>
          <w:cantSplit/>
        </w:trPr>
        <w:tc>
          <w:tcPr>
            <w:tcW w:w="3046" w:type="dxa"/>
          </w:tcPr>
          <w:p w:rsidR="00EF3810" w:rsidRPr="00D34821" w:rsidRDefault="00EF3810">
            <w:pPr>
              <w:pStyle w:val="UnderskriftDatum"/>
              <w:spacing w:before="240"/>
            </w:pPr>
            <w:r w:rsidRPr="00D34821">
              <w:t>Stockholm den 4 oktober 2011</w:t>
            </w:r>
          </w:p>
        </w:tc>
        <w:tc>
          <w:tcPr>
            <w:tcW w:w="3047" w:type="dxa"/>
          </w:tcPr>
          <w:p w:rsidR="00EF3810" w:rsidRPr="00D34821" w:rsidRDefault="00EF3810">
            <w:pPr>
              <w:pStyle w:val="Underskrifter"/>
              <w:spacing w:before="240"/>
            </w:pPr>
          </w:p>
        </w:tc>
      </w:tr>
      <w:tr w:rsidR="00000000" w:rsidRPr="00D34821">
        <w:trPr>
          <w:cantSplit/>
        </w:trPr>
        <w:tc>
          <w:tcPr>
            <w:tcW w:w="3046" w:type="dxa"/>
          </w:tcPr>
          <w:p w:rsidR="00EF3810" w:rsidRPr="00D34821" w:rsidRDefault="00EF3810">
            <w:pPr>
              <w:pStyle w:val="Underskrifter"/>
            </w:pPr>
            <w:r w:rsidRPr="00D34821">
              <w:t>Gunnar Axén (M)</w:t>
            </w:r>
          </w:p>
        </w:tc>
        <w:tc>
          <w:tcPr>
            <w:tcW w:w="3046" w:type="dxa"/>
          </w:tcPr>
          <w:p w:rsidR="00EF3810" w:rsidRPr="00D34821" w:rsidRDefault="00EF3810">
            <w:pPr>
              <w:pStyle w:val="Underskrifter"/>
            </w:pPr>
            <w:r w:rsidRPr="00D34821">
              <w:t>Andreas Norlén (M)</w:t>
            </w:r>
          </w:p>
        </w:tc>
      </w:tr>
    </w:tbl>
    <w:p w:rsidR="00EF3810" w:rsidRPr="00D34821" w:rsidRDefault="00EF3810">
      <w:pPr>
        <w:pStyle w:val="Normaltindrag"/>
      </w:pPr>
    </w:p>
    <w:sectPr w:rsidR="00EF3810" w:rsidRPr="00D348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810" w:rsidRPr="00D34821" w:rsidRDefault="00EF3810">
      <w:r w:rsidRPr="00D34821">
        <w:separator/>
      </w:r>
    </w:p>
  </w:endnote>
  <w:endnote w:type="continuationSeparator" w:id="0">
    <w:p w:rsidR="00EF3810" w:rsidRPr="00D34821" w:rsidRDefault="00EF3810">
      <w:r w:rsidRPr="00D348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10" w:rsidRPr="00D34821" w:rsidRDefault="00D34821">
    <w:pPr>
      <w:pStyle w:val="Sidfot"/>
    </w:pPr>
    <w:r w:rsidRPr="00D348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239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10" w:rsidRDefault="00EF3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810" w:rsidRDefault="00EF3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10" w:rsidRPr="00D34821" w:rsidRDefault="00D34821">
    <w:pPr>
      <w:pStyle w:val="Sidfot"/>
    </w:pPr>
    <w:r w:rsidRPr="00D348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117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10" w:rsidRDefault="00EF38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810" w:rsidRDefault="00EF38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10" w:rsidRPr="00D34821" w:rsidRDefault="00D34821">
    <w:pPr>
      <w:pStyle w:val="Sidfot"/>
    </w:pPr>
    <w:r w:rsidRPr="00D348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582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10" w:rsidRDefault="00EF3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810" w:rsidRDefault="00EF3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810" w:rsidRPr="00D34821" w:rsidRDefault="00EF3810">
      <w:r w:rsidRPr="00D34821">
        <w:separator/>
      </w:r>
    </w:p>
  </w:footnote>
  <w:footnote w:type="continuationSeparator" w:id="0">
    <w:p w:rsidR="00EF3810" w:rsidRPr="00D34821" w:rsidRDefault="00EF3810">
      <w:r w:rsidRPr="00D348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10" w:rsidRPr="00D34821" w:rsidRDefault="00D34821">
    <w:pPr>
      <w:pStyle w:val="Sidhuvud"/>
    </w:pPr>
    <w:r w:rsidRPr="00D348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89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10" w:rsidRDefault="00EF38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810" w:rsidRDefault="00EF38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10" w:rsidRPr="00D34821" w:rsidRDefault="00D34821">
    <w:pPr>
      <w:pStyle w:val="Sidhuvud"/>
    </w:pPr>
    <w:r w:rsidRPr="00D348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229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10" w:rsidRDefault="00EF38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810" w:rsidRDefault="00EF38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10" w:rsidRPr="00D34821" w:rsidRDefault="00EF3810">
    <w:pPr>
      <w:pStyle w:val="FSHNormal"/>
      <w:tabs>
        <w:tab w:val="right" w:pos="5840"/>
      </w:tabs>
    </w:pPr>
    <w:r w:rsidRPr="00D34821">
      <w:br/>
    </w:r>
    <w:r w:rsidRPr="00D34821">
      <w:fldChar w:fldCharType="begin" w:fldLock="1"/>
    </w:r>
    <w:r w:rsidRPr="00D34821">
      <w:instrText xml:space="preserve"> DOCPROPERTY</w:instrText>
    </w:r>
    <w:r w:rsidRPr="00D34821">
      <w:rPr>
        <w:sz w:val="18"/>
      </w:rPr>
      <w:instrText xml:space="preserve"> "YearUser" *\charformat </w:instrText>
    </w:r>
    <w:r w:rsidRPr="00D34821">
      <w:fldChar w:fldCharType="separate"/>
    </w:r>
    <w:r w:rsidRPr="00D34821">
      <w:t>2011/12</w:t>
    </w:r>
    <w:r w:rsidRPr="00D34821">
      <w:fldChar w:fldCharType="end"/>
    </w:r>
    <w:r w:rsidRPr="00D34821">
      <w:t xml:space="preserve"> </w:t>
    </w:r>
    <w:r w:rsidRPr="00D34821">
      <w:tab/>
      <w:t xml:space="preserve">mnr: </w:t>
    </w:r>
    <w:r w:rsidRPr="00D34821">
      <w:fldChar w:fldCharType="begin" w:fldLock="1"/>
    </w:r>
    <w:r w:rsidRPr="00D34821">
      <w:instrText xml:space="preserve"> DOCPROPERTY</w:instrText>
    </w:r>
    <w:r w:rsidRPr="00D34821">
      <w:rPr>
        <w:sz w:val="18"/>
      </w:rPr>
      <w:instrText xml:space="preserve"> "Motionsnummer" *\charformat </w:instrText>
    </w:r>
    <w:r w:rsidRPr="00D34821">
      <w:fldChar w:fldCharType="separate"/>
    </w:r>
    <w:r w:rsidRPr="00D34821">
      <w:t>N309</w:t>
    </w:r>
    <w:r w:rsidRPr="00D34821">
      <w:fldChar w:fldCharType="end"/>
    </w:r>
    <w:r w:rsidRPr="00D34821">
      <w:br/>
    </w:r>
    <w:r w:rsidRPr="00D34821">
      <w:fldChar w:fldCharType="begin" w:fldLock="1"/>
    </w:r>
    <w:r w:rsidRPr="00D34821">
      <w:instrText xml:space="preserve"> DOCPROPERTY</w:instrText>
    </w:r>
    <w:r w:rsidRPr="00D34821">
      <w:rPr>
        <w:sz w:val="18"/>
      </w:rPr>
      <w:instrText xml:space="preserve"> "Samling" *\charformat </w:instrText>
    </w:r>
    <w:r w:rsidRPr="00D34821">
      <w:fldChar w:fldCharType="end"/>
    </w:r>
    <w:r w:rsidRPr="00D34821">
      <w:tab/>
      <w:t xml:space="preserve">pnr: </w:t>
    </w:r>
    <w:r w:rsidRPr="00D34821">
      <w:fldChar w:fldCharType="begin" w:fldLock="1"/>
    </w:r>
    <w:r w:rsidRPr="00D34821">
      <w:instrText xml:space="preserve"> DOCPROPERTY</w:instrText>
    </w:r>
    <w:r w:rsidRPr="00D34821">
      <w:rPr>
        <w:sz w:val="18"/>
      </w:rPr>
      <w:instrText xml:space="preserve"> "Partinummer" *\charformat </w:instrText>
    </w:r>
    <w:r w:rsidRPr="00D34821">
      <w:fldChar w:fldCharType="separate"/>
    </w:r>
    <w:r w:rsidRPr="00D34821">
      <w:t>M499</w:t>
    </w:r>
    <w:r w:rsidRPr="00D34821">
      <w:fldChar w:fldCharType="end"/>
    </w:r>
  </w:p>
  <w:p w:rsidR="00EF3810" w:rsidRPr="00D34821" w:rsidRDefault="00EF3810">
    <w:pPr>
      <w:pStyle w:val="FSHRub1"/>
    </w:pPr>
    <w:r w:rsidRPr="00D34821">
      <w:t>Motion till riksdagen</w:t>
    </w:r>
    <w:r w:rsidRPr="00D34821">
      <w:br/>
    </w:r>
    <w:r w:rsidRPr="00D34821">
      <w:fldChar w:fldCharType="begin" w:fldLock="1"/>
    </w:r>
    <w:r w:rsidRPr="00D34821">
      <w:instrText xml:space="preserve"> DOCPROPERTY "YearUser" *\charformat </w:instrText>
    </w:r>
    <w:r w:rsidRPr="00D34821">
      <w:fldChar w:fldCharType="separate"/>
    </w:r>
    <w:r w:rsidRPr="00D34821">
      <w:t>2011/12</w:t>
    </w:r>
    <w:r w:rsidRPr="00D34821">
      <w:fldChar w:fldCharType="end"/>
    </w:r>
    <w:r w:rsidRPr="00D34821">
      <w:t>:</w:t>
    </w:r>
    <w:r w:rsidRPr="00D34821">
      <w:fldChar w:fldCharType="begin" w:fldLock="1"/>
    </w:r>
    <w:r w:rsidRPr="00D34821">
      <w:instrText xml:space="preserve"> DOCPROPERTY "Motionsnummer" *\charformat </w:instrText>
    </w:r>
    <w:r w:rsidRPr="00D34821">
      <w:fldChar w:fldCharType="separate"/>
    </w:r>
    <w:r w:rsidRPr="00D34821">
      <w:t>N309</w:t>
    </w:r>
    <w:r w:rsidRPr="00D34821">
      <w:fldChar w:fldCharType="end"/>
    </w:r>
  </w:p>
  <w:p w:rsidR="00EF3810" w:rsidRPr="00D34821" w:rsidRDefault="00EF3810">
    <w:pPr>
      <w:pStyle w:val="FSHNormalS5"/>
    </w:pPr>
    <w:r w:rsidRPr="00D34821">
      <w:fldChar w:fldCharType="begin" w:fldLock="1"/>
    </w:r>
    <w:r w:rsidRPr="00D34821">
      <w:instrText xml:space="preserve"> DOCPROPERTY "MotionarText" *\charformat </w:instrText>
    </w:r>
    <w:r w:rsidRPr="00D34821">
      <w:fldChar w:fldCharType="separate"/>
    </w:r>
    <w:r w:rsidRPr="00D34821">
      <w:t>av Gunnar Axén och Andreas Norlén (M)</w:t>
    </w:r>
    <w:r w:rsidRPr="00D34821">
      <w:fldChar w:fldCharType="end"/>
    </w:r>
    <w:r w:rsidRPr="00D34821">
      <w:br/>
    </w:r>
    <w:r w:rsidRPr="00D34821">
      <w:fldChar w:fldCharType="begin" w:fldLock="1"/>
    </w:r>
    <w:r w:rsidRPr="00D34821">
      <w:instrText xml:space="preserve"> DOCPROPERTY "SvarFrasKort" *\charformat </w:instrText>
    </w:r>
    <w:r w:rsidRPr="00D34821">
      <w:fldChar w:fldCharType="end"/>
    </w:r>
  </w:p>
  <w:p w:rsidR="00EF3810" w:rsidRPr="00D34821" w:rsidRDefault="00EF3810">
    <w:pPr>
      <w:pStyle w:val="FSHTitel"/>
    </w:pPr>
    <w:r w:rsidRPr="00D34821">
      <w:fldChar w:fldCharType="begin" w:fldLock="1"/>
    </w:r>
    <w:r w:rsidRPr="00D34821">
      <w:instrText xml:space="preserve"> DOCPROPERTY</w:instrText>
    </w:r>
    <w:r w:rsidRPr="00D34821">
      <w:rPr>
        <w:sz w:val="18"/>
      </w:rPr>
      <w:instrText xml:space="preserve"> "RubrikSvar" *\charformat </w:instrText>
    </w:r>
    <w:r w:rsidRPr="00D34821">
      <w:fldChar w:fldCharType="separate"/>
    </w:r>
    <w:r w:rsidRPr="00D34821">
      <w:t>Avbrottsersättning</w:t>
    </w:r>
    <w:r w:rsidRPr="00D34821">
      <w:fldChar w:fldCharType="end"/>
    </w:r>
  </w:p>
  <w:p w:rsidR="00EF3810" w:rsidRPr="00D34821" w:rsidRDefault="00EF3810">
    <w:pPr>
      <w:pStyle w:val="Normal00"/>
    </w:pPr>
  </w:p>
  <w:p w:rsidR="00EF3810" w:rsidRPr="00D34821" w:rsidRDefault="00EF3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0717594">
    <w:abstractNumId w:val="3"/>
  </w:num>
  <w:num w:numId="2" w16cid:durableId="667101697">
    <w:abstractNumId w:val="2"/>
  </w:num>
  <w:num w:numId="3" w16cid:durableId="890768008">
    <w:abstractNumId w:val="1"/>
  </w:num>
  <w:num w:numId="4" w16cid:durableId="1186867609">
    <w:abstractNumId w:val="0"/>
  </w:num>
  <w:num w:numId="5" w16cid:durableId="348219198">
    <w:abstractNumId w:val="7"/>
  </w:num>
  <w:num w:numId="6" w16cid:durableId="254246135">
    <w:abstractNumId w:val="6"/>
  </w:num>
  <w:num w:numId="7" w16cid:durableId="1373772594">
    <w:abstractNumId w:val="5"/>
  </w:num>
  <w:num w:numId="8" w16cid:durableId="12077442">
    <w:abstractNumId w:val="4"/>
  </w:num>
  <w:num w:numId="9" w16cid:durableId="1311448238">
    <w:abstractNumId w:val="8"/>
  </w:num>
  <w:num w:numId="10" w16cid:durableId="1936357224">
    <w:abstractNumId w:val="9"/>
  </w:num>
  <w:num w:numId="11" w16cid:durableId="717825849">
    <w:abstractNumId w:val="10"/>
  </w:num>
  <w:num w:numId="12" w16cid:durableId="2018387717">
    <w:abstractNumId w:val="13"/>
  </w:num>
  <w:num w:numId="13" w16cid:durableId="882450811">
    <w:abstractNumId w:val="15"/>
  </w:num>
  <w:num w:numId="14" w16cid:durableId="372464721">
    <w:abstractNumId w:val="16"/>
  </w:num>
  <w:num w:numId="15" w16cid:durableId="1365407278">
    <w:abstractNumId w:val="11"/>
  </w:num>
  <w:num w:numId="16" w16cid:durableId="478545949">
    <w:abstractNumId w:val="18"/>
  </w:num>
  <w:num w:numId="17" w16cid:durableId="1890215820">
    <w:abstractNumId w:val="17"/>
  </w:num>
  <w:num w:numId="18" w16cid:durableId="790172627">
    <w:abstractNumId w:val="14"/>
  </w:num>
  <w:num w:numId="19" w16cid:durableId="1162234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54FCBD4-9235-4AE4-8205-6EA96CAF95DF},{0C0EA59F-6F6F-4D5D-BE37-EDB2147FB809}"/>
  </w:docVars>
  <w:rsids>
    <w:rsidRoot w:val="008C320E"/>
    <w:rsid w:val="008C320E"/>
    <w:rsid w:val="00D34821"/>
    <w:rsid w:val="00EF3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F1546F-AB3F-412E-BB0D-7657A665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3590</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M0499</vt:lpstr>
    </vt:vector>
  </TitlesOfParts>
  <Company>Riksdagen</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M0499</dc:title>
  <dc:subject>M0499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2011-12-09T13:27:00Z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Avbrottsersättning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Avbrottsersättning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Andreas Norlén (M)</vt:lpwstr>
  </property>
  <property fmtid="{D5CDD505-2E9C-101B-9397-08002B2CF9AE}" pid="26" name="MotionarLista">
    <vt:lpwstr>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20112012000000000077000004990069</vt:lpwstr>
  </property>
  <property fmtid="{D5CDD505-2E9C-101B-9397-08002B2CF9AE}" pid="47" name="datum">
    <vt:lpwstr>111004</vt:lpwstr>
  </property>
  <property fmtid="{D5CDD505-2E9C-101B-9397-08002B2CF9AE}" pid="48" name="avsändar-e-post">
    <vt:lpwstr>mattias.zackrisson@riksdagen.se</vt:lpwstr>
  </property>
  <property fmtid="{D5CDD505-2E9C-101B-9397-08002B2CF9AE}" pid="49" name="id">
    <vt:lpwstr>20112012000000000077000004990069</vt:lpwstr>
  </property>
  <property fmtid="{D5CDD505-2E9C-101B-9397-08002B2CF9AE}" pid="50" name="nummer">
    <vt:lpwstr>309</vt:lpwstr>
  </property>
  <property fmtid="{D5CDD505-2E9C-101B-9397-08002B2CF9AE}" pid="51" name="utskottsbeteckning">
    <vt:lpwstr>N</vt:lpwstr>
  </property>
  <property fmtid="{D5CDD505-2E9C-101B-9397-08002B2CF9AE}" pid="52" name="GlobalUID">
    <vt:lpwstr>{9A854E79-55E1-420B-BD63-382DAE97CC15}</vt:lpwstr>
  </property>
  <property fmtid="{D5CDD505-2E9C-101B-9397-08002B2CF9AE}" pid="53" name="Överföringar">
    <vt:i4>0</vt:i4>
  </property>
  <property fmtid="{D5CDD505-2E9C-101B-9397-08002B2CF9AE}" pid="54" name="Checksum">
    <vt:lpwstr>*1019429979360*</vt:lpwstr>
  </property>
  <property fmtid="{D5CDD505-2E9C-101B-9397-08002B2CF9AE}" pid="55" name="skuggnummer">
    <vt:lpwstr>1651</vt:lpwstr>
  </property>
  <property fmtid="{D5CDD505-2E9C-101B-9397-08002B2CF9AE}" pid="56" name="urixVersion">
    <vt:lpwstr>4.5.0.25</vt:lpwstr>
  </property>
  <property fmtid="{D5CDD505-2E9C-101B-9397-08002B2CF9AE}" pid="57" name="urixOrigin">
    <vt:lpwstr>111209 14:27:44.015</vt:lpwstr>
  </property>
  <property fmtid="{D5CDD505-2E9C-101B-9397-08002B2CF9AE}" pid="58" name="urixGuid">
    <vt:lpwstr>{776F7774-F67A-43B4-9908-FEF378DD45D5}</vt:lpwstr>
  </property>
</Properties>
</file>