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E94" w:rsidRPr="00CF56F0" w:rsidRDefault="00441E94" w:rsidP="001428E2">
      <w:pPr>
        <w:pStyle w:val="Hemstlrubrik"/>
      </w:pPr>
      <w:r w:rsidRPr="00CF56F0">
        <w:t>Förslag till riksdagsbeslut</w:t>
      </w:r>
    </w:p>
    <w:p w:rsidR="00441E94" w:rsidRPr="00CF56F0" w:rsidRDefault="00441E94" w:rsidP="00997B91">
      <w:pPr>
        <w:pStyle w:val="Hemstlatt"/>
        <w:spacing w:after="60"/>
      </w:pPr>
      <w:r w:rsidRPr="00CF56F0">
        <w:t xml:space="preserve">Riksdagen anvisar med följande ändringar i förhållande till regeringens förslag anslagen under utgiftsområde 4 </w:t>
      </w:r>
      <w:r w:rsidR="005F7EED" w:rsidRPr="00CF56F0">
        <w:t xml:space="preserve">Rättsväsendet </w:t>
      </w:r>
      <w:r w:rsidRPr="00CF56F0">
        <w:t>enligt uppstäl</w:t>
      </w:r>
      <w:r w:rsidRPr="00CF56F0">
        <w:t>l</w:t>
      </w:r>
      <w:r w:rsidRPr="00CF56F0">
        <w:t>ningen:</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1579"/>
      </w:tblGrid>
      <w:tr w:rsidR="00441E94" w:rsidRPr="00CF56F0">
        <w:tc>
          <w:tcPr>
            <w:tcW w:w="4318" w:type="dxa"/>
            <w:tcBorders>
              <w:top w:val="single" w:sz="4" w:space="0" w:color="auto"/>
            </w:tcBorders>
            <w:vAlign w:val="bottom"/>
          </w:tcPr>
          <w:p w:rsidR="00441E94" w:rsidRPr="00CF56F0" w:rsidRDefault="00441E94" w:rsidP="00907BE5">
            <w:pPr>
              <w:spacing w:before="60" w:after="0" w:line="200" w:lineRule="exact"/>
              <w:rPr>
                <w:sz w:val="16"/>
                <w:szCs w:val="16"/>
              </w:rPr>
            </w:pPr>
            <w:r w:rsidRPr="00CF56F0">
              <w:rPr>
                <w:sz w:val="16"/>
                <w:szCs w:val="16"/>
              </w:rPr>
              <w:t>A 4:1 Polisorganisationen</w:t>
            </w:r>
          </w:p>
        </w:tc>
        <w:tc>
          <w:tcPr>
            <w:tcW w:w="1579" w:type="dxa"/>
            <w:tcBorders>
              <w:top w:val="single" w:sz="4" w:space="0" w:color="auto"/>
            </w:tcBorders>
            <w:vAlign w:val="bottom"/>
          </w:tcPr>
          <w:p w:rsidR="00441E94" w:rsidRPr="00CF56F0" w:rsidRDefault="00441E94" w:rsidP="00907BE5">
            <w:pPr>
              <w:spacing w:before="60" w:after="0" w:line="200" w:lineRule="exact"/>
              <w:ind w:right="224"/>
              <w:jc w:val="right"/>
              <w:rPr>
                <w:sz w:val="16"/>
                <w:szCs w:val="16"/>
              </w:rPr>
            </w:pPr>
            <w:r w:rsidRPr="00CF56F0">
              <w:rPr>
                <w:sz w:val="16"/>
                <w:szCs w:val="16"/>
              </w:rPr>
              <w:t>700</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4:3 Åklagarorganisationen</w:t>
            </w:r>
          </w:p>
        </w:tc>
        <w:tc>
          <w:tcPr>
            <w:tcW w:w="1579" w:type="dxa"/>
            <w:vAlign w:val="bottom"/>
          </w:tcPr>
          <w:p w:rsidR="00441E94" w:rsidRPr="00CF56F0" w:rsidRDefault="00441E94" w:rsidP="00907BE5">
            <w:pPr>
              <w:spacing w:before="60" w:after="0" w:line="200" w:lineRule="exact"/>
              <w:ind w:right="224"/>
              <w:jc w:val="right"/>
              <w:rPr>
                <w:sz w:val="16"/>
                <w:szCs w:val="16"/>
              </w:rPr>
            </w:pPr>
            <w:r w:rsidRPr="00CF56F0">
              <w:rPr>
                <w:sz w:val="16"/>
                <w:szCs w:val="16"/>
              </w:rPr>
              <w:t>40</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4:5 Domstolsväsendet m.m.</w:t>
            </w:r>
          </w:p>
        </w:tc>
        <w:tc>
          <w:tcPr>
            <w:tcW w:w="1579" w:type="dxa"/>
            <w:vAlign w:val="bottom"/>
          </w:tcPr>
          <w:p w:rsidR="00441E94" w:rsidRPr="00CF56F0" w:rsidRDefault="00441E94" w:rsidP="00907BE5">
            <w:pPr>
              <w:spacing w:before="60" w:after="0" w:line="200" w:lineRule="exact"/>
              <w:ind w:right="224"/>
              <w:jc w:val="right"/>
              <w:rPr>
                <w:sz w:val="16"/>
                <w:szCs w:val="16"/>
              </w:rPr>
            </w:pPr>
            <w:r w:rsidRPr="00CF56F0">
              <w:rPr>
                <w:sz w:val="16"/>
                <w:szCs w:val="16"/>
              </w:rPr>
              <w:t>200</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4:6 Kriminalvården</w:t>
            </w:r>
          </w:p>
        </w:tc>
        <w:tc>
          <w:tcPr>
            <w:tcW w:w="1579" w:type="dxa"/>
            <w:vAlign w:val="bottom"/>
          </w:tcPr>
          <w:p w:rsidR="00441E94" w:rsidRPr="00CF56F0" w:rsidRDefault="00441E94" w:rsidP="00907BE5">
            <w:pPr>
              <w:spacing w:before="60" w:after="0" w:line="200" w:lineRule="exact"/>
              <w:ind w:right="224"/>
              <w:jc w:val="right"/>
              <w:rPr>
                <w:sz w:val="16"/>
                <w:szCs w:val="16"/>
              </w:rPr>
            </w:pPr>
            <w:r w:rsidRPr="00CF56F0">
              <w:rPr>
                <w:sz w:val="16"/>
                <w:szCs w:val="16"/>
              </w:rPr>
              <w:t>545</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4:7 Brottsförebyggande rådet</w:t>
            </w:r>
          </w:p>
        </w:tc>
        <w:tc>
          <w:tcPr>
            <w:tcW w:w="1579" w:type="dxa"/>
            <w:vAlign w:val="bottom"/>
          </w:tcPr>
          <w:p w:rsidR="00441E94" w:rsidRPr="00CF56F0" w:rsidRDefault="005F7EED" w:rsidP="00907BE5">
            <w:pPr>
              <w:spacing w:before="60" w:after="0" w:line="200" w:lineRule="exact"/>
              <w:ind w:right="224"/>
              <w:jc w:val="right"/>
              <w:rPr>
                <w:sz w:val="16"/>
                <w:szCs w:val="16"/>
              </w:rPr>
            </w:pPr>
            <w:r w:rsidRPr="00CF56F0">
              <w:rPr>
                <w:sz w:val="16"/>
                <w:szCs w:val="16"/>
              </w:rPr>
              <w:t>–</w:t>
            </w:r>
            <w:r w:rsidR="00441E94" w:rsidRPr="00CF56F0">
              <w:rPr>
                <w:sz w:val="16"/>
                <w:szCs w:val="16"/>
              </w:rPr>
              <w:t>10</w:t>
            </w:r>
            <w:r w:rsidRPr="00CF56F0">
              <w:rPr>
                <w:sz w:val="16"/>
                <w:szCs w:val="16"/>
              </w:rPr>
              <w:t xml:space="preserve"> </w:t>
            </w:r>
            <w:r w:rsidR="00441E94" w:rsidRPr="00CF56F0">
              <w:rPr>
                <w:sz w:val="16"/>
                <w:szCs w:val="16"/>
              </w:rPr>
              <w:t>000</w:t>
            </w:r>
            <w:r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4:8 Rättsmedicinalverket</w:t>
            </w:r>
          </w:p>
        </w:tc>
        <w:tc>
          <w:tcPr>
            <w:tcW w:w="1579" w:type="dxa"/>
            <w:vAlign w:val="bottom"/>
          </w:tcPr>
          <w:p w:rsidR="00441E94" w:rsidRPr="00CF56F0" w:rsidRDefault="00441E94" w:rsidP="00907BE5">
            <w:pPr>
              <w:spacing w:before="60" w:after="0" w:line="200" w:lineRule="exact"/>
              <w:ind w:right="224"/>
              <w:jc w:val="right"/>
              <w:rPr>
                <w:sz w:val="16"/>
                <w:szCs w:val="16"/>
              </w:rPr>
            </w:pPr>
            <w:r w:rsidRPr="00CF56F0">
              <w:rPr>
                <w:sz w:val="16"/>
                <w:szCs w:val="16"/>
              </w:rPr>
              <w:t>10</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vAlign w:val="bottom"/>
          </w:tcPr>
          <w:p w:rsidR="00441E94" w:rsidRPr="00CF56F0" w:rsidRDefault="00441E94" w:rsidP="00907BE5">
            <w:pPr>
              <w:spacing w:before="60" w:after="0" w:line="200" w:lineRule="exact"/>
              <w:rPr>
                <w:sz w:val="16"/>
                <w:szCs w:val="16"/>
              </w:rPr>
            </w:pPr>
            <w:r w:rsidRPr="00CF56F0">
              <w:rPr>
                <w:sz w:val="16"/>
                <w:szCs w:val="16"/>
              </w:rPr>
              <w:t>A 4:10 Brottsoffermyndigheten</w:t>
            </w:r>
          </w:p>
        </w:tc>
        <w:tc>
          <w:tcPr>
            <w:tcW w:w="1579" w:type="dxa"/>
            <w:vAlign w:val="bottom"/>
          </w:tcPr>
          <w:p w:rsidR="00441E94" w:rsidRPr="00CF56F0" w:rsidRDefault="00441E94" w:rsidP="00907BE5">
            <w:pPr>
              <w:spacing w:before="60" w:after="0" w:line="200" w:lineRule="exact"/>
              <w:ind w:right="224"/>
              <w:jc w:val="right"/>
              <w:rPr>
                <w:sz w:val="16"/>
                <w:szCs w:val="16"/>
              </w:rPr>
            </w:pPr>
            <w:r w:rsidRPr="00CF56F0">
              <w:rPr>
                <w:sz w:val="16"/>
                <w:szCs w:val="16"/>
              </w:rPr>
              <w:t>5</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r w:rsidR="00441E94" w:rsidRPr="00CF56F0">
        <w:tc>
          <w:tcPr>
            <w:tcW w:w="4318" w:type="dxa"/>
            <w:tcBorders>
              <w:bottom w:val="single" w:sz="4" w:space="0" w:color="auto"/>
            </w:tcBorders>
            <w:vAlign w:val="bottom"/>
          </w:tcPr>
          <w:p w:rsidR="00441E94" w:rsidRPr="00CF56F0" w:rsidRDefault="00441E94" w:rsidP="00907BE5">
            <w:pPr>
              <w:spacing w:before="60" w:after="0" w:line="200" w:lineRule="exact"/>
              <w:rPr>
                <w:sz w:val="16"/>
                <w:szCs w:val="16"/>
              </w:rPr>
            </w:pPr>
            <w:r w:rsidRPr="00CF56F0">
              <w:rPr>
                <w:sz w:val="16"/>
                <w:szCs w:val="16"/>
              </w:rPr>
              <w:t>A 4:12 Rättshjälpskostnader m.m.</w:t>
            </w:r>
          </w:p>
        </w:tc>
        <w:tc>
          <w:tcPr>
            <w:tcW w:w="1579" w:type="dxa"/>
            <w:tcBorders>
              <w:bottom w:val="single" w:sz="4" w:space="0" w:color="auto"/>
            </w:tcBorders>
            <w:vAlign w:val="bottom"/>
          </w:tcPr>
          <w:p w:rsidR="00441E94" w:rsidRPr="00CF56F0" w:rsidRDefault="00441E94" w:rsidP="00907BE5">
            <w:pPr>
              <w:spacing w:before="60" w:after="0" w:line="200" w:lineRule="exact"/>
              <w:ind w:right="224"/>
              <w:jc w:val="right"/>
              <w:rPr>
                <w:sz w:val="16"/>
                <w:szCs w:val="16"/>
              </w:rPr>
            </w:pPr>
            <w:r w:rsidRPr="00CF56F0">
              <w:rPr>
                <w:sz w:val="16"/>
                <w:szCs w:val="16"/>
              </w:rPr>
              <w:t>10</w:t>
            </w:r>
            <w:r w:rsidR="005F7EED" w:rsidRPr="00CF56F0">
              <w:rPr>
                <w:sz w:val="16"/>
                <w:szCs w:val="16"/>
              </w:rPr>
              <w:t xml:space="preserve"> </w:t>
            </w:r>
            <w:r w:rsidRPr="00CF56F0">
              <w:rPr>
                <w:sz w:val="16"/>
                <w:szCs w:val="16"/>
              </w:rPr>
              <w:t>000</w:t>
            </w:r>
            <w:r w:rsidR="005F7EED" w:rsidRPr="00CF56F0">
              <w:rPr>
                <w:sz w:val="16"/>
                <w:szCs w:val="16"/>
              </w:rPr>
              <w:t xml:space="preserve"> </w:t>
            </w:r>
            <w:r w:rsidR="001702EF" w:rsidRPr="00CF56F0">
              <w:rPr>
                <w:sz w:val="16"/>
                <w:szCs w:val="16"/>
              </w:rPr>
              <w:t>000</w:t>
            </w:r>
          </w:p>
        </w:tc>
      </w:tr>
    </w:tbl>
    <w:p w:rsidR="00441E94" w:rsidRPr="00CF56F0" w:rsidRDefault="00441E94" w:rsidP="005F7EED">
      <w:pPr>
        <w:pStyle w:val="Hemstlatt"/>
      </w:pPr>
      <w:bookmarkStart w:id="0" w:name="_Toc52596819"/>
      <w:bookmarkStart w:id="1" w:name="_Toc53281215"/>
      <w:bookmarkStart w:id="2" w:name="_Toc52596818"/>
      <w:bookmarkStart w:id="3" w:name="_Toc53281213"/>
      <w:r w:rsidRPr="00CF56F0">
        <w:t>Riksdagen tillkännager för regeringen som sin mening vad i motionen anförs om att ersättningen till nämndemän skall höjas.</w:t>
      </w:r>
    </w:p>
    <w:p w:rsidR="00441E94" w:rsidRPr="00CF56F0" w:rsidRDefault="00441E94" w:rsidP="005F7EED">
      <w:pPr>
        <w:pStyle w:val="Hemstlatt"/>
      </w:pPr>
      <w:r w:rsidRPr="00CF56F0">
        <w:t xml:space="preserve">Riksdagen tillkännager för regeringen som sin mening vad i motionen anförs om </w:t>
      </w:r>
      <w:r w:rsidR="00405F15" w:rsidRPr="00CF56F0">
        <w:t xml:space="preserve">utbetalning av </w:t>
      </w:r>
      <w:r w:rsidRPr="00CF56F0">
        <w:t>ersättning till brottsoffer i enlighet med vad som anges i lagakraf</w:t>
      </w:r>
      <w:r w:rsidRPr="00CF56F0">
        <w:t>t</w:t>
      </w:r>
      <w:r w:rsidRPr="00CF56F0">
        <w:t>vunnen dom.</w:t>
      </w:r>
    </w:p>
    <w:p w:rsidR="00441E94" w:rsidRPr="00CF56F0" w:rsidRDefault="00441E94" w:rsidP="00907BE5">
      <w:pPr>
        <w:pStyle w:val="Rubrik1"/>
        <w:spacing w:after="0"/>
      </w:pPr>
      <w:r w:rsidRPr="00CF56F0">
        <w:t xml:space="preserve">Moderata </w:t>
      </w:r>
      <w:r w:rsidR="00907BE5" w:rsidRPr="00CF56F0">
        <w:t xml:space="preserve">samlingspartiets </w:t>
      </w:r>
      <w:r w:rsidRPr="00CF56F0">
        <w:t>budgetförslag för rättsväsendet</w:t>
      </w:r>
      <w:bookmarkEnd w:id="2"/>
      <w:bookmarkEnd w:id="3"/>
    </w:p>
    <w:p w:rsidR="00441E94" w:rsidRPr="00CF56F0" w:rsidRDefault="00441E94" w:rsidP="00405F15">
      <w:pPr>
        <w:pStyle w:val="Rubrik1"/>
        <w:spacing w:before="240"/>
      </w:pPr>
      <w:r w:rsidRPr="00CF56F0">
        <w:t>Polisorganisationen</w:t>
      </w:r>
      <w:bookmarkEnd w:id="0"/>
      <w:bookmarkEnd w:id="1"/>
    </w:p>
    <w:p w:rsidR="00441E94" w:rsidRPr="00CF56F0" w:rsidRDefault="00732CB7" w:rsidP="00441E94">
      <w:r w:rsidRPr="00CF56F0">
        <w:t>Polisverksamheten</w:t>
      </w:r>
      <w:r w:rsidR="00441E94" w:rsidRPr="00CF56F0">
        <w:t xml:space="preserve"> får i regeringens budgetförslag inte de resurser som b</w:t>
      </w:r>
      <w:r w:rsidR="00441E94" w:rsidRPr="00CF56F0">
        <w:t>e</w:t>
      </w:r>
      <w:r w:rsidR="00441E94" w:rsidRPr="00CF56F0">
        <w:t>hövs i förhållande till angivna uppgifter och mål, en realitet som gör sig p</w:t>
      </w:r>
      <w:r w:rsidR="00441E94" w:rsidRPr="00CF56F0">
        <w:t>å</w:t>
      </w:r>
      <w:r w:rsidR="00441E94" w:rsidRPr="00CF56F0">
        <w:t>mind år efter år. Enskilda myndigheter kan tvingas till betydande nedskä</w:t>
      </w:r>
      <w:r w:rsidR="00441E94" w:rsidRPr="00CF56F0">
        <w:t>r</w:t>
      </w:r>
      <w:r w:rsidR="00441E94" w:rsidRPr="00CF56F0">
        <w:t>ningar. Den dåliga ekonomin gör sig påmind i snart sagt varje polisdistrikt, men slår hårdast på landsbygden där bristerna är som störst.</w:t>
      </w:r>
    </w:p>
    <w:p w:rsidR="00441E94" w:rsidRPr="00CF56F0" w:rsidRDefault="00441E94" w:rsidP="00441E94">
      <w:pPr>
        <w:pStyle w:val="Normaltindrag"/>
      </w:pPr>
      <w:r w:rsidRPr="00CF56F0">
        <w:lastRenderedPageBreak/>
        <w:t>Regeringen borde satsa på substantiella resursökningar, samt ett målme</w:t>
      </w:r>
      <w:r w:rsidRPr="00CF56F0">
        <w:t>d</w:t>
      </w:r>
      <w:r w:rsidRPr="00CF56F0">
        <w:t>vetet arbete för att effektivisera och renodla de rättsvårdande myndigheternas verksamhet.</w:t>
      </w:r>
    </w:p>
    <w:p w:rsidR="00441E94" w:rsidRPr="00CF56F0" w:rsidRDefault="00441E94" w:rsidP="00441E94">
      <w:pPr>
        <w:pStyle w:val="Normaltindrag"/>
      </w:pPr>
      <w:r w:rsidRPr="00CF56F0">
        <w:t>För att möta kraven på en effektiv brottsbekämpning och brottsföreby</w:t>
      </w:r>
      <w:r w:rsidRPr="00CF56F0">
        <w:t>g</w:t>
      </w:r>
      <w:r w:rsidRPr="00CF56F0">
        <w:t>gande arbete krävs att de poliser som utbildas anställs. Det anser även rege</w:t>
      </w:r>
      <w:r w:rsidRPr="00CF56F0">
        <w:t>r</w:t>
      </w:r>
      <w:r w:rsidRPr="00CF56F0">
        <w:t>ingen men anslår inte nya medel för att klara detta. Vi menar att de nya poli</w:t>
      </w:r>
      <w:r w:rsidRPr="00CF56F0">
        <w:t>s</w:t>
      </w:r>
      <w:r w:rsidRPr="00CF56F0">
        <w:t>tjänster som kan bli möjliga inte ska</w:t>
      </w:r>
      <w:r w:rsidR="00DE4655" w:rsidRPr="00CF56F0">
        <w:t>ll</w:t>
      </w:r>
      <w:r w:rsidRPr="00CF56F0">
        <w:t xml:space="preserve"> förverkligas genom </w:t>
      </w:r>
      <w:r w:rsidR="00D80B21" w:rsidRPr="00CF56F0">
        <w:t>förtidspension</w:t>
      </w:r>
      <w:r w:rsidR="00D80B21" w:rsidRPr="00CF56F0">
        <w:t>e</w:t>
      </w:r>
      <w:r w:rsidR="00D80B21" w:rsidRPr="00CF56F0">
        <w:t xml:space="preserve">ringar eller </w:t>
      </w:r>
      <w:r w:rsidRPr="00CF56F0">
        <w:t>att civilanställd personal avvecklas. Tvärtom behöver polisen ökade möjligheter att anställa såväl poliser som personal med annan komp</w:t>
      </w:r>
      <w:r w:rsidRPr="00CF56F0">
        <w:t>e</w:t>
      </w:r>
      <w:r w:rsidRPr="00CF56F0">
        <w:t>tens.</w:t>
      </w:r>
    </w:p>
    <w:p w:rsidR="00441E94" w:rsidRPr="00CF56F0" w:rsidRDefault="00441E94" w:rsidP="00441E94">
      <w:pPr>
        <w:pStyle w:val="Normaltindrag"/>
      </w:pPr>
      <w:r w:rsidRPr="00CF56F0">
        <w:t xml:space="preserve">Vi är allvarligt bekymrade över bristen på polisiär närvaro på många håll. </w:t>
      </w:r>
      <w:r w:rsidR="00D80B21" w:rsidRPr="00CF56F0">
        <w:t>D</w:t>
      </w:r>
      <w:r w:rsidRPr="00CF56F0">
        <w:t xml:space="preserve">en forcerade nedläggningen av polisstationer </w:t>
      </w:r>
      <w:r w:rsidR="00D80B21" w:rsidRPr="00CF56F0">
        <w:t>måste</w:t>
      </w:r>
      <w:r w:rsidRPr="00CF56F0">
        <w:t xml:space="preserve"> upphöra. Polisens för</w:t>
      </w:r>
      <w:r w:rsidRPr="00CF56F0">
        <w:t>e</w:t>
      </w:r>
      <w:r w:rsidRPr="00CF56F0">
        <w:t>byggande arbete och möjligheterna att utreda vardagliga brott</w:t>
      </w:r>
      <w:r w:rsidR="00DE4655" w:rsidRPr="00CF56F0">
        <w:t>,</w:t>
      </w:r>
      <w:r w:rsidRPr="00CF56F0">
        <w:t xml:space="preserve"> som berör medborgarna direkt</w:t>
      </w:r>
      <w:r w:rsidR="00DE4655" w:rsidRPr="00CF56F0">
        <w:t>,</w:t>
      </w:r>
      <w:r w:rsidRPr="00CF56F0">
        <w:t xml:space="preserve"> förutsätter att organisationen har viss lokal förankring och kompetens. </w:t>
      </w:r>
      <w:r w:rsidR="00D80B21" w:rsidRPr="00CF56F0">
        <w:t xml:space="preserve">På många håll är avstånden stora, vilket gör problematiken än större. Vi är </w:t>
      </w:r>
      <w:r w:rsidRPr="00CF56F0">
        <w:t xml:space="preserve">dock </w:t>
      </w:r>
      <w:r w:rsidR="00D80B21" w:rsidRPr="00CF56F0">
        <w:t xml:space="preserve">öppna för nya former </w:t>
      </w:r>
      <w:r w:rsidR="00DE4655" w:rsidRPr="00CF56F0">
        <w:t xml:space="preserve">av </w:t>
      </w:r>
      <w:r w:rsidR="00D80B21" w:rsidRPr="00CF56F0">
        <w:t xml:space="preserve">polisnärvaro, men vill markera att det inte bara handlar om en för polisiära insatser acceptabel utveckling. </w:t>
      </w:r>
      <w:r w:rsidRPr="00CF56F0">
        <w:t xml:space="preserve"> </w:t>
      </w:r>
      <w:r w:rsidR="00D80B21" w:rsidRPr="00CF56F0">
        <w:t>Ko</w:t>
      </w:r>
      <w:r w:rsidR="00D80B21" w:rsidRPr="00CF56F0">
        <w:t>n</w:t>
      </w:r>
      <w:r w:rsidR="00D80B21" w:rsidRPr="00CF56F0">
        <w:t xml:space="preserve">takten mellan polisen och allmänheten har betydelse för såväl verksamhetens legitimitet som medborgarnas trygghet. </w:t>
      </w:r>
      <w:r w:rsidRPr="00CF56F0">
        <w:t xml:space="preserve">Med den snabba centralisering som sker av organisationen och nödvändig specialisering </w:t>
      </w:r>
      <w:r w:rsidR="00D80B21" w:rsidRPr="00CF56F0">
        <w:t xml:space="preserve">ökar risken </w:t>
      </w:r>
      <w:r w:rsidRPr="00CF56F0">
        <w:t>för att många brott inte beivras. Den grova och organiserade brottsligheten kräver särskild kompetens och kraft</w:t>
      </w:r>
      <w:r w:rsidR="00D80B21" w:rsidRPr="00CF56F0">
        <w:t>,</w:t>
      </w:r>
      <w:r w:rsidRPr="00CF56F0">
        <w:t xml:space="preserve"> men ett rättssamhälle måste också ha förmåga att hålla de s.k. mängdbrotten nere. Det behövs </w:t>
      </w:r>
      <w:r w:rsidR="00D80B21" w:rsidRPr="00CF56F0">
        <w:t xml:space="preserve">vidare </w:t>
      </w:r>
      <w:r w:rsidRPr="00CF56F0">
        <w:t>ett bättre rustat polisväsende med bred kompetens, samt uppdaterad metodutveckling och teknik. Utbil</w:t>
      </w:r>
      <w:r w:rsidRPr="00CF56F0">
        <w:t>d</w:t>
      </w:r>
      <w:r w:rsidRPr="00CF56F0">
        <w:t>ningen måste reformeras och möjlighet till vidareutbildning ges. Nya pers</w:t>
      </w:r>
      <w:r w:rsidRPr="00CF56F0">
        <w:t>o</w:t>
      </w:r>
      <w:r w:rsidRPr="00CF56F0">
        <w:t>nalgrupper skall rekryteras för att frigöra uniformerad personal till yttre tjänst bland allmänheten. Därför föreslår vi, utöver regeringens förslag, att polisv</w:t>
      </w:r>
      <w:r w:rsidRPr="00CF56F0">
        <w:t>ä</w:t>
      </w:r>
      <w:r w:rsidRPr="00CF56F0">
        <w:t>sendets ekonomiska ram höjs med 700 miljoner kronor år 2006, 700 miljoner kronor år 2007 och 700 miljoner kronor år 2008.</w:t>
      </w:r>
    </w:p>
    <w:p w:rsidR="00441E94" w:rsidRPr="00CF56F0" w:rsidRDefault="00441E94" w:rsidP="00441E94">
      <w:pPr>
        <w:pStyle w:val="Rubrik1"/>
      </w:pPr>
      <w:bookmarkStart w:id="4" w:name="_Toc52596821"/>
      <w:bookmarkStart w:id="5" w:name="_Toc53281217"/>
      <w:r w:rsidRPr="00CF56F0">
        <w:t>Åklagarväsendet</w:t>
      </w:r>
      <w:bookmarkEnd w:id="4"/>
      <w:bookmarkEnd w:id="5"/>
    </w:p>
    <w:p w:rsidR="00441E94" w:rsidRPr="00CF56F0" w:rsidRDefault="00441E94" w:rsidP="00441E94">
      <w:r w:rsidRPr="00CF56F0">
        <w:t xml:space="preserve">En satsning på rättsväsendet kan inte inskränkas till en satsning </w:t>
      </w:r>
      <w:r w:rsidR="00D80B21" w:rsidRPr="00CF56F0">
        <w:t xml:space="preserve">på enbart ett led i rättskedjan. </w:t>
      </w:r>
      <w:r w:rsidRPr="00CF56F0">
        <w:t>Den ena myndighetens arbete ligger till grund för och ko</w:t>
      </w:r>
      <w:r w:rsidRPr="00CF56F0">
        <w:t>m</w:t>
      </w:r>
      <w:r w:rsidRPr="00CF56F0">
        <w:t>pletterar den andras. Särskilt tydligt är detta avseende sambandet mellan polis och åklagare. Åklagarna och polisen har den gemensamma uppgiften att svara för samhällets brottsbekämpning. Genom deras arbete grundläggs förverkl</w:t>
      </w:r>
      <w:r w:rsidRPr="00CF56F0">
        <w:t>i</w:t>
      </w:r>
      <w:r w:rsidRPr="00CF56F0">
        <w:t>gandet av den kriminalpolitiska satsningen. Polisen bedriver den utredande och klargörande delen av förundersökningen, som genom åklagarens försorg i förlängningen skall leda till en lagföring. Det är förvånande att regeringen inte heller i årets budget visar någon större förståelse för åklagarnas resursb</w:t>
      </w:r>
      <w:r w:rsidRPr="00CF56F0">
        <w:t>e</w:t>
      </w:r>
      <w:r w:rsidRPr="00CF56F0">
        <w:t xml:space="preserve">hov. </w:t>
      </w:r>
      <w:r w:rsidR="00D80B21" w:rsidRPr="00CF56F0">
        <w:t xml:space="preserve">Den omorganisation som nyligen har genomförts ändrar inte behovet. </w:t>
      </w:r>
      <w:r w:rsidRPr="00CF56F0">
        <w:t>Åklagarna arbetar under mycket hög arbetsbelastning, vilket leder till höga sjuktal och svårigheter med att hinna med arbetsbördan. Så kallade mäng</w:t>
      </w:r>
      <w:r w:rsidRPr="00CF56F0">
        <w:t>d</w:t>
      </w:r>
      <w:r w:rsidRPr="00CF56F0">
        <w:t xml:space="preserve">brott skrivs ofta av för att minska </w:t>
      </w:r>
      <w:r w:rsidR="00DE4655" w:rsidRPr="00CF56F0">
        <w:t>ärende</w:t>
      </w:r>
      <w:r w:rsidRPr="00CF56F0">
        <w:t xml:space="preserve">balanserna, vilket i förlängningen drabbar brottsoffret och sänder signalen att brott lönar sig. Risken </w:t>
      </w:r>
      <w:r w:rsidR="00DE4655" w:rsidRPr="00CF56F0">
        <w:t xml:space="preserve">kvarstår </w:t>
      </w:r>
      <w:r w:rsidRPr="00CF56F0">
        <w:t xml:space="preserve">för ökade </w:t>
      </w:r>
      <w:r w:rsidR="00DE4655" w:rsidRPr="00CF56F0">
        <w:t>ärende</w:t>
      </w:r>
      <w:r w:rsidRPr="00CF56F0">
        <w:t>balanser och att antalet ouppklarade ärenden kommer att växa om inte ytterligare resurser tillförs.</w:t>
      </w:r>
    </w:p>
    <w:p w:rsidR="00441E94" w:rsidRPr="00CF56F0" w:rsidRDefault="004C48BA" w:rsidP="00441E94">
      <w:pPr>
        <w:pStyle w:val="Normaltindrag"/>
      </w:pPr>
      <w:r w:rsidRPr="00CF56F0">
        <w:t>Förutom behov av personalförstärkningar behövs k</w:t>
      </w:r>
      <w:r w:rsidR="00441E94" w:rsidRPr="00CF56F0">
        <w:t>ontinuerlig kompeten</w:t>
      </w:r>
      <w:r w:rsidR="00441E94" w:rsidRPr="00CF56F0">
        <w:t>s</w:t>
      </w:r>
      <w:r w:rsidR="00441E94" w:rsidRPr="00CF56F0">
        <w:t>utveckling samt utbildning i och användande av moderna tekniska hjälpm</w:t>
      </w:r>
      <w:r w:rsidR="00441E94" w:rsidRPr="00CF56F0">
        <w:t>e</w:t>
      </w:r>
      <w:r w:rsidR="00441E94" w:rsidRPr="00CF56F0">
        <w:t xml:space="preserve">del. Vi föreslår därför att anslaget höjs med 40 miljoner kronor för vart och ett av budgetåren under den kommande </w:t>
      </w:r>
      <w:r w:rsidR="00DE4655" w:rsidRPr="00CF56F0">
        <w:t>treårs</w:t>
      </w:r>
      <w:r w:rsidR="00441E94" w:rsidRPr="00CF56F0">
        <w:t>perioden.</w:t>
      </w:r>
    </w:p>
    <w:p w:rsidR="00441E94" w:rsidRPr="00CF56F0" w:rsidRDefault="00441E94" w:rsidP="00441E94">
      <w:pPr>
        <w:pStyle w:val="Rubrik1"/>
      </w:pPr>
      <w:bookmarkStart w:id="6" w:name="_Toc52596822"/>
      <w:bookmarkStart w:id="7" w:name="_Toc53281218"/>
      <w:r w:rsidRPr="00CF56F0">
        <w:t>Ekobrottsmyndigheten</w:t>
      </w:r>
      <w:bookmarkEnd w:id="6"/>
      <w:bookmarkEnd w:id="7"/>
    </w:p>
    <w:p w:rsidR="00441E94" w:rsidRPr="00CF56F0" w:rsidRDefault="00441E94" w:rsidP="00441E94">
      <w:r w:rsidRPr="00CF56F0">
        <w:t>Den ekon</w:t>
      </w:r>
      <w:r w:rsidR="00907BE5" w:rsidRPr="00CF56F0">
        <w:t>omiska brottsligheten blir allt</w:t>
      </w:r>
      <w:r w:rsidRPr="00CF56F0">
        <w:t xml:space="preserve">mer kvalificerad och ingår inte sällan som ett led i annan brottslighet. Det ställer höga krav på den organisation som skall utreda och bekämpa brottsligheten. Ekobrottsmyndighetens (EBM) organisation har varit utsatt för kritik och det är nödvändigt att myndighetens resultat fortsätter att förbättras </w:t>
      </w:r>
      <w:r w:rsidR="00DE4655" w:rsidRPr="00CF56F0">
        <w:t>för</w:t>
      </w:r>
      <w:r w:rsidRPr="00CF56F0">
        <w:t xml:space="preserve"> att allmänhetens förtroende för EBM inte</w:t>
      </w:r>
      <w:r w:rsidR="00DE4655" w:rsidRPr="00CF56F0">
        <w:t xml:space="preserve"> skall</w:t>
      </w:r>
      <w:r w:rsidRPr="00CF56F0">
        <w:t xml:space="preserve"> urholkas. Vi välkomnar därför den översyn av organisationen som p</w:t>
      </w:r>
      <w:r w:rsidRPr="00CF56F0">
        <w:t>å</w:t>
      </w:r>
      <w:r w:rsidRPr="00CF56F0">
        <w:t>börjats.</w:t>
      </w:r>
    </w:p>
    <w:p w:rsidR="00441E94" w:rsidRPr="00CF56F0" w:rsidRDefault="00441E94" w:rsidP="00441E94">
      <w:pPr>
        <w:pStyle w:val="Normaltindrag"/>
      </w:pPr>
      <w:r w:rsidRPr="00CF56F0">
        <w:t>För att säkerställa hög kvalitet i utredningsarbetet och öka förutsättninga</w:t>
      </w:r>
      <w:r w:rsidRPr="00CF56F0">
        <w:t>r</w:t>
      </w:r>
      <w:r w:rsidRPr="00CF56F0">
        <w:t>na för framgång i domstol behövs det bl</w:t>
      </w:r>
      <w:r w:rsidR="00907BE5" w:rsidRPr="00CF56F0">
        <w:t>.</w:t>
      </w:r>
      <w:r w:rsidRPr="00CF56F0">
        <w:t>a</w:t>
      </w:r>
      <w:r w:rsidR="00907BE5" w:rsidRPr="00CF56F0">
        <w:t>.</w:t>
      </w:r>
      <w:r w:rsidRPr="00CF56F0">
        <w:t xml:space="preserve"> fler ekobrottsutredare och mer specialistkompetens. Det bör på Polishögskolan finnas en speciell vidareu</w:t>
      </w:r>
      <w:r w:rsidRPr="00CF56F0">
        <w:t>t</w:t>
      </w:r>
      <w:r w:rsidRPr="00CF56F0">
        <w:t>bildning inriktad mot ekobrott och ekobrottslighet bör ges större utrymme inom den ordinarie juristutbildningen. Vidare måste det finnas möjligheter att hyra in särskild spetskompetens som myndigheten kan behöva vid särskilt kvalificerad brottslighet. Mot bakgrund av detta ställer vi oss bakom de</w:t>
      </w:r>
      <w:r w:rsidR="00DE4655" w:rsidRPr="00CF56F0">
        <w:t>t</w:t>
      </w:r>
      <w:r w:rsidRPr="00CF56F0">
        <w:t xml:space="preserve"> av regeringen föreslagna anslage</w:t>
      </w:r>
      <w:r w:rsidR="00DE4655" w:rsidRPr="00CF56F0">
        <w:t>t</w:t>
      </w:r>
      <w:r w:rsidRPr="00CF56F0">
        <w:t xml:space="preserve"> till EBM.</w:t>
      </w:r>
    </w:p>
    <w:p w:rsidR="00441E94" w:rsidRPr="00CF56F0" w:rsidRDefault="00441E94" w:rsidP="00441E94">
      <w:pPr>
        <w:pStyle w:val="Rubrik1"/>
      </w:pPr>
      <w:bookmarkStart w:id="8" w:name="_Toc52596823"/>
      <w:bookmarkStart w:id="9" w:name="_Toc53281219"/>
      <w:r w:rsidRPr="00CF56F0">
        <w:t>Domstolsväsendet</w:t>
      </w:r>
      <w:bookmarkEnd w:id="8"/>
      <w:bookmarkEnd w:id="9"/>
    </w:p>
    <w:p w:rsidR="00441E94" w:rsidRPr="00CF56F0" w:rsidRDefault="00441E94" w:rsidP="00441E94">
      <w:r w:rsidRPr="00CF56F0">
        <w:t>Domstolarnas verksamhet är lagreglerad, vilket innebär att domstolarna själva inte har möjlighet att styra över vare sig måltilldelning eller arbetsformer. Det innebär att domstolarna måste förses med de resurser som krävs för att nå upp till samhällets krav på deras verksamhet.</w:t>
      </w:r>
    </w:p>
    <w:p w:rsidR="00441E94" w:rsidRPr="00CF56F0" w:rsidRDefault="00441E94" w:rsidP="00441E94">
      <w:pPr>
        <w:pStyle w:val="Normaltindrag"/>
      </w:pPr>
      <w:r w:rsidRPr="00CF56F0">
        <w:t>Domstolarna</w:t>
      </w:r>
      <w:r w:rsidR="004C48BA" w:rsidRPr="00CF56F0">
        <w:t>s</w:t>
      </w:r>
      <w:r w:rsidRPr="00CF56F0">
        <w:t xml:space="preserve"> måltillströmning påverkas av satsningar på polis- och åkl</w:t>
      </w:r>
      <w:r w:rsidRPr="00CF56F0">
        <w:t>a</w:t>
      </w:r>
      <w:r w:rsidRPr="00CF56F0">
        <w:t>garväsende. Därför bör en satsning på rättsväsendet</w:t>
      </w:r>
      <w:r w:rsidR="004C48BA" w:rsidRPr="00CF56F0">
        <w:t>,</w:t>
      </w:r>
      <w:r w:rsidRPr="00CF56F0">
        <w:t xml:space="preserve"> för att få </w:t>
      </w:r>
      <w:r w:rsidR="004C48BA" w:rsidRPr="00CF56F0">
        <w:t xml:space="preserve">positiva </w:t>
      </w:r>
      <w:r w:rsidRPr="00CF56F0">
        <w:t>effe</w:t>
      </w:r>
      <w:r w:rsidRPr="00CF56F0">
        <w:t>k</w:t>
      </w:r>
      <w:r w:rsidRPr="00CF56F0">
        <w:t>ter</w:t>
      </w:r>
      <w:r w:rsidR="004C48BA" w:rsidRPr="00CF56F0">
        <w:t>,</w:t>
      </w:r>
      <w:r w:rsidRPr="00CF56F0">
        <w:t xml:space="preserve"> också inkludera en satsning på domstolsväsendet.</w:t>
      </w:r>
    </w:p>
    <w:p w:rsidR="00441E94" w:rsidRPr="00CF56F0" w:rsidRDefault="00D0726E" w:rsidP="00441E94">
      <w:pPr>
        <w:pStyle w:val="Normaltindrag"/>
      </w:pPr>
      <w:r w:rsidRPr="00CF56F0">
        <w:t>Domstolarnas verksamhet har under många år varit underfinansierad. Många domstolar</w:t>
      </w:r>
      <w:r w:rsidR="00441E94" w:rsidRPr="00CF56F0">
        <w:t xml:space="preserve"> kommer på grund av budgetsituationen att tvingas till ore</w:t>
      </w:r>
      <w:r w:rsidR="00441E94" w:rsidRPr="00CF56F0">
        <w:t>a</w:t>
      </w:r>
      <w:r w:rsidR="00441E94" w:rsidRPr="00CF56F0">
        <w:t>listiska sparkrav. Resultatet kommer att bli ytterligare belastning på de a</w:t>
      </w:r>
      <w:r w:rsidR="00441E94" w:rsidRPr="00CF56F0">
        <w:t>n</w:t>
      </w:r>
      <w:r w:rsidR="00441E94" w:rsidRPr="00CF56F0">
        <w:t>ställda och minskad produktionsvolym. Personalens situation är redan a</w:t>
      </w:r>
      <w:r w:rsidR="00441E94" w:rsidRPr="00CF56F0">
        <w:t>n</w:t>
      </w:r>
      <w:r w:rsidR="00441E94" w:rsidRPr="00CF56F0">
        <w:t>strängd bl.a. med hänsyn till osäkerheten i reformarbetet. Rättssäkerhetskr</w:t>
      </w:r>
      <w:r w:rsidR="00441E94" w:rsidRPr="00CF56F0">
        <w:t>a</w:t>
      </w:r>
      <w:r w:rsidR="00441E94" w:rsidRPr="00CF56F0">
        <w:t>ven blir allt svårare att upprätthålla då sparkraven ökar</w:t>
      </w:r>
      <w:r w:rsidR="004C48BA" w:rsidRPr="00CF56F0">
        <w:t xml:space="preserve">, </w:t>
      </w:r>
      <w:r w:rsidR="00441E94" w:rsidRPr="00CF56F0">
        <w:t>samtidigt som måltil</w:t>
      </w:r>
      <w:r w:rsidR="00441E94" w:rsidRPr="00CF56F0">
        <w:t>l</w:t>
      </w:r>
      <w:r w:rsidR="00441E94" w:rsidRPr="00CF56F0">
        <w:t>strömningen</w:t>
      </w:r>
      <w:r w:rsidR="004C48BA" w:rsidRPr="00CF56F0">
        <w:t xml:space="preserve"> ökar</w:t>
      </w:r>
      <w:r w:rsidR="00441E94" w:rsidRPr="00CF56F0">
        <w:t>.</w:t>
      </w:r>
    </w:p>
    <w:p w:rsidR="00441E94" w:rsidRPr="00CF56F0" w:rsidRDefault="00441E94" w:rsidP="00441E94">
      <w:pPr>
        <w:pStyle w:val="Normaltindrag"/>
      </w:pPr>
      <w:r w:rsidRPr="00CF56F0">
        <w:t>De</w:t>
      </w:r>
      <w:r w:rsidR="004C48BA" w:rsidRPr="00CF56F0">
        <w:t>n</w:t>
      </w:r>
      <w:r w:rsidRPr="00CF56F0">
        <w:t xml:space="preserve"> pågående reformeringen av domstolsväsendet </w:t>
      </w:r>
      <w:r w:rsidR="004C48BA" w:rsidRPr="00CF56F0">
        <w:t>måste</w:t>
      </w:r>
      <w:r w:rsidRPr="00CF56F0">
        <w:t xml:space="preserve"> baseras på en långsiktig vision </w:t>
      </w:r>
      <w:r w:rsidR="00DE4655" w:rsidRPr="00CF56F0">
        <w:t>om</w:t>
      </w:r>
      <w:r w:rsidRPr="00CF56F0">
        <w:t xml:space="preserve"> ett rättssäkert och tillgängligt domstolsväsende. Stor hänsyn bör tas till medborgarnas närhet till rättsväsendet.</w:t>
      </w:r>
    </w:p>
    <w:p w:rsidR="00441E94" w:rsidRPr="00CF56F0" w:rsidRDefault="00441E94" w:rsidP="00441E94">
      <w:pPr>
        <w:pStyle w:val="Normaltindrag"/>
      </w:pPr>
      <w:r w:rsidRPr="00CF56F0">
        <w:t>Personalförsörjningen inom domstolsväsendet måste säkras. Idag är arbet</w:t>
      </w:r>
      <w:r w:rsidRPr="00CF56F0">
        <w:t>s</w:t>
      </w:r>
      <w:r w:rsidRPr="00CF56F0">
        <w:t>förhållandena sådana att många unga domare väljer att lämna domstolsväse</w:t>
      </w:r>
      <w:r w:rsidRPr="00CF56F0">
        <w:t>n</w:t>
      </w:r>
      <w:r w:rsidRPr="00CF56F0">
        <w:t>det till förmån för åklagarväsendet, advokatbyråer m.m. Av de som anställts vid Åklagarmyndigheten i Stockholm under 2004 kommer en fjärdedel från domstolsväsendet. En stor brist i sammanhanget är att domstolsväsendet sa</w:t>
      </w:r>
      <w:r w:rsidRPr="00CF56F0">
        <w:t>k</w:t>
      </w:r>
      <w:r w:rsidRPr="00CF56F0">
        <w:t>nar attraktiva fortbildningsalternativ varför resurser måste tillskjutas för att möjliggöra bra utbildningsmöjligheter.</w:t>
      </w:r>
    </w:p>
    <w:p w:rsidR="00441E94" w:rsidRPr="00CF56F0" w:rsidRDefault="00441E94" w:rsidP="00441E94">
      <w:pPr>
        <w:pStyle w:val="Normaltindrag"/>
      </w:pPr>
      <w:r w:rsidRPr="00CF56F0">
        <w:t>Säkerheten vid landets domstolar måste höjas. Det kan befaras att det e</w:t>
      </w:r>
      <w:r w:rsidRPr="00CF56F0">
        <w:t>n</w:t>
      </w:r>
      <w:r w:rsidRPr="00CF56F0">
        <w:t xml:space="preserve">dast är en tidsfråga innan ovälkomna händelser kommer att inträffa såsom fritagningar och hämndaktioner. Härvid måste stor vikt </w:t>
      </w:r>
      <w:r w:rsidR="00DE4655" w:rsidRPr="00CF56F0">
        <w:t xml:space="preserve">läggas </w:t>
      </w:r>
      <w:r w:rsidRPr="00CF56F0">
        <w:t>vid vittnens och målsägandens utsatta situation. Frågan om domstolarnas skalskydd bör uppmärksammas.</w:t>
      </w:r>
    </w:p>
    <w:p w:rsidR="00441E94" w:rsidRPr="00CF56F0" w:rsidRDefault="00441E94" w:rsidP="00441E94">
      <w:pPr>
        <w:pStyle w:val="Normaltindrag"/>
      </w:pPr>
      <w:r w:rsidRPr="00CF56F0">
        <w:t>Nämndemännen fyller en viktig funktion i våra domstolar. Ersättningen till nämndemännen har inte höjts på femton år. En höjning av ersättningen är nödvändig för att säkerställa fortsatt rekrytering till nämndemannauppdragen.</w:t>
      </w:r>
    </w:p>
    <w:p w:rsidR="00441E94" w:rsidRPr="00CF56F0" w:rsidRDefault="00441E94" w:rsidP="00441E94">
      <w:pPr>
        <w:pStyle w:val="Normaltindrag"/>
      </w:pPr>
      <w:r w:rsidRPr="00CF56F0">
        <w:t>Vi föreslår att domstolsväsendet därför, utöver regeringens resursökning, förstärks med ytterligare 200 miljoner kronor per år under den kommande budgetperioden. En del av medlen är en följd av att vi vill överföra Arbet</w:t>
      </w:r>
      <w:r w:rsidRPr="00CF56F0">
        <w:t>s</w:t>
      </w:r>
      <w:r w:rsidRPr="00CF56F0">
        <w:t>domstolens verksamhet till det allmänna domstolsväsendet.</w:t>
      </w:r>
    </w:p>
    <w:p w:rsidR="00441E94" w:rsidRPr="00CF56F0" w:rsidRDefault="00441E94" w:rsidP="00441E94">
      <w:pPr>
        <w:pStyle w:val="Rubrik1"/>
      </w:pPr>
      <w:bookmarkStart w:id="10" w:name="_Toc52596824"/>
      <w:bookmarkStart w:id="11" w:name="_Toc53281220"/>
      <w:r w:rsidRPr="00CF56F0">
        <w:t>Kriminalvården</w:t>
      </w:r>
      <w:bookmarkEnd w:id="10"/>
      <w:bookmarkEnd w:id="11"/>
    </w:p>
    <w:p w:rsidR="00441E94" w:rsidRPr="00CF56F0" w:rsidRDefault="00441E94" w:rsidP="00441E94">
      <w:r w:rsidRPr="00CF56F0">
        <w:t>En stram kriminalpolitik som inriktas på att motverka brott och ge brottsof</w:t>
      </w:r>
      <w:r w:rsidRPr="00CF56F0">
        <w:t>f</w:t>
      </w:r>
      <w:r w:rsidRPr="00CF56F0">
        <w:t>ren upprättelse står inte i motsats till att låta en fängelsevistelse användas för att rehabilitera eller behandla missbrukande intagna eller intagna med en speciell problematik. Tvärtom innebär en effektiv kriminalpolitik också en hu</w:t>
      </w:r>
      <w:r w:rsidR="00907BE5" w:rsidRPr="00CF56F0">
        <w:t>man kriminalvård – dvs.</w:t>
      </w:r>
      <w:r w:rsidRPr="00CF56F0">
        <w:t xml:space="preserve"> en kriminalvård med ett tydligt och fungerande innehåll.</w:t>
      </w:r>
    </w:p>
    <w:p w:rsidR="00441E94" w:rsidRPr="00CF56F0" w:rsidRDefault="00441E94" w:rsidP="00441E94">
      <w:pPr>
        <w:pStyle w:val="Normaltindrag"/>
      </w:pPr>
      <w:r w:rsidRPr="00CF56F0">
        <w:t>Kriminalvården konfronteras med en rad problem. Det råder överbeläg</w:t>
      </w:r>
      <w:r w:rsidRPr="00CF56F0">
        <w:t>g</w:t>
      </w:r>
      <w:r w:rsidRPr="00CF56F0">
        <w:t>ning på anstalterna, vilket ger eko i hela systemet, ända till häktesnivå. Plat</w:t>
      </w:r>
      <w:r w:rsidRPr="00CF56F0">
        <w:t>s</w:t>
      </w:r>
      <w:r w:rsidRPr="00CF56F0">
        <w:t xml:space="preserve">bristen på fängelserna är mycket allvarlig. Anhållna och häktade får inte plats därför att frihetsberövade som inte kunnat påbörja sin verkställighetstid sitter fast i ett överbelastat system. På många anstalter ligger </w:t>
      </w:r>
      <w:r w:rsidR="00907BE5" w:rsidRPr="00CF56F0">
        <w:t>beläggningen på över 100 %</w:t>
      </w:r>
      <w:r w:rsidRPr="00CF56F0">
        <w:t>. För att systemet skall fungera bör belägg</w:t>
      </w:r>
      <w:r w:rsidR="00907BE5" w:rsidRPr="00CF56F0">
        <w:t>ningen inte överstiga 90 %</w:t>
      </w:r>
      <w:r w:rsidRPr="00CF56F0">
        <w:t>. De intagnas vård blir eftersatt och deras rättigheter och behov kan inte tillg</w:t>
      </w:r>
      <w:r w:rsidRPr="00CF56F0">
        <w:t>o</w:t>
      </w:r>
      <w:r w:rsidRPr="00CF56F0">
        <w:t>doses. Den höga beläggningen och de hårda besparingskraven har lett till oro och i förlängningen upplopp och rymningar.</w:t>
      </w:r>
    </w:p>
    <w:p w:rsidR="00441E94" w:rsidRPr="00CF56F0" w:rsidRDefault="00441E94" w:rsidP="00441E94">
      <w:pPr>
        <w:pStyle w:val="Normaltindrag"/>
      </w:pPr>
      <w:r w:rsidRPr="00CF56F0">
        <w:t>Antalet platser på häkten och anstalter måste således öka. Det är en grun</w:t>
      </w:r>
      <w:r w:rsidRPr="00CF56F0">
        <w:t>d</w:t>
      </w:r>
      <w:r w:rsidRPr="00CF56F0">
        <w:t>läggande förutsättning för att kriminalvården skall ha en chans att förbättras och utvecklas från ren förvaring till effektiv vård. En utvecklad programver</w:t>
      </w:r>
      <w:r w:rsidRPr="00CF56F0">
        <w:t>k</w:t>
      </w:r>
      <w:r w:rsidRPr="00CF56F0">
        <w:t>samhet för de intagna och kraven på en bättre farlighetsbedömning kräver omfattande utbildningsinsatser för kriminalvårdens personal. Vi anser att man i högre utsträckning bör öppna för fler utomstående utförare. Genom att han</w:t>
      </w:r>
      <w:r w:rsidRPr="00CF56F0">
        <w:t>d</w:t>
      </w:r>
      <w:r w:rsidRPr="00CF56F0">
        <w:t>la upp extern kompetens bör det vara möjligt för kriminalvården att förbättra och utveckla verksamheten samtidigt som kostnaderna pressas. Huvudma</w:t>
      </w:r>
      <w:r w:rsidRPr="00CF56F0">
        <w:t>n</w:t>
      </w:r>
      <w:r w:rsidRPr="00CF56F0">
        <w:t>nen för viss verksamhet bör vara av underordnad betydelse. Tvärtom skall innehåll, resultat och kostnadseffekt</w:t>
      </w:r>
      <w:r w:rsidR="00907BE5" w:rsidRPr="00CF56F0">
        <w:t>i</w:t>
      </w:r>
      <w:r w:rsidRPr="00CF56F0">
        <w:t>vitet styra kriminalvårdens verksamhet.</w:t>
      </w:r>
    </w:p>
    <w:p w:rsidR="00441E94" w:rsidRPr="00CF56F0" w:rsidRDefault="00441E94" w:rsidP="00441E94">
      <w:pPr>
        <w:pStyle w:val="Normaltindrag"/>
      </w:pPr>
      <w:r w:rsidRPr="00CF56F0">
        <w:t xml:space="preserve">Många intagna saknar individuella behandlingsplaner. Mer än hälften av de intagna klassas som narkotikamissbrukare, vilket </w:t>
      </w:r>
      <w:r w:rsidR="00D0726E" w:rsidRPr="00CF56F0">
        <w:t>försvårar</w:t>
      </w:r>
      <w:r w:rsidRPr="00CF56F0">
        <w:t xml:space="preserve"> effektiv rehab</w:t>
      </w:r>
      <w:r w:rsidRPr="00CF56F0">
        <w:t>i</w:t>
      </w:r>
      <w:r w:rsidRPr="00CF56F0">
        <w:t>litering. Problemen leder till att säkerheten för såväl intagna som personalen äventyras, och att kriminalvårdens möjligheter att hjälpa de dömda till ett ändrat liv drastiskt minskar.</w:t>
      </w:r>
    </w:p>
    <w:p w:rsidR="00441E94" w:rsidRPr="00CF56F0" w:rsidRDefault="00441E94" w:rsidP="00441E94">
      <w:pPr>
        <w:pStyle w:val="Normaltindrag"/>
      </w:pPr>
      <w:r w:rsidRPr="00CF56F0">
        <w:t>Regeringen har ändrat uppfattning och delvis tillmötesgått krav</w:t>
      </w:r>
      <w:r w:rsidR="004C48BA" w:rsidRPr="00CF56F0">
        <w:t>en</w:t>
      </w:r>
      <w:r w:rsidRPr="00CF56F0">
        <w:t xml:space="preserve"> om mer resurser till kriminalvården. Emellertid saknas en långsiktig strategi för hur kriminalv</w:t>
      </w:r>
      <w:r w:rsidR="004C48BA" w:rsidRPr="00CF56F0">
        <w:t xml:space="preserve">ården skall fungera i framtiden, exempelvis </w:t>
      </w:r>
      <w:r w:rsidRPr="00CF56F0">
        <w:t>om hur personalsitu</w:t>
      </w:r>
      <w:r w:rsidRPr="00CF56F0">
        <w:t>a</w:t>
      </w:r>
      <w:r w:rsidRPr="00CF56F0">
        <w:t>tionen</w:t>
      </w:r>
      <w:r w:rsidR="004C48BA" w:rsidRPr="00CF56F0">
        <w:t xml:space="preserve"> långsiktigt </w:t>
      </w:r>
      <w:r w:rsidRPr="00CF56F0">
        <w:t>skall förbättras. Personalens situation är mycket ansträngd vilket går ut över verksamheten.</w:t>
      </w:r>
    </w:p>
    <w:p w:rsidR="00441E94" w:rsidRPr="00CF56F0" w:rsidRDefault="00441E94" w:rsidP="00441E94">
      <w:pPr>
        <w:pStyle w:val="Normaltindrag"/>
      </w:pPr>
      <w:r w:rsidRPr="00CF56F0">
        <w:t xml:space="preserve">Vi föreslår därför att </w:t>
      </w:r>
      <w:r w:rsidR="00907BE5" w:rsidRPr="00CF56F0">
        <w:t>kriminalvården</w:t>
      </w:r>
      <w:r w:rsidRPr="00CF56F0">
        <w:t>, utöver regeringens resursökning, fö</w:t>
      </w:r>
      <w:r w:rsidRPr="00CF56F0">
        <w:t>r</w:t>
      </w:r>
      <w:r w:rsidRPr="00CF56F0">
        <w:t>stärks med ytterligare 545 miljoner kronor per år under den kommande bu</w:t>
      </w:r>
      <w:r w:rsidRPr="00CF56F0">
        <w:t>d</w:t>
      </w:r>
      <w:r w:rsidRPr="00CF56F0">
        <w:t xml:space="preserve">getperioden. Inom ramen för vår övriga kriminalpolitik föreslår vi </w:t>
      </w:r>
      <w:r w:rsidR="00D0726E" w:rsidRPr="00CF56F0">
        <w:t xml:space="preserve">att ansvaret för den slutna ungdomsvården flyttas över från Statens institutionsstyrelse till </w:t>
      </w:r>
      <w:r w:rsidR="00907BE5" w:rsidRPr="00CF56F0">
        <w:t>kriminalvården</w:t>
      </w:r>
      <w:r w:rsidRPr="00CF56F0">
        <w:t>. I konsekvens med detta tillför vi kriminalvården ytterligare 151 miljoner kronor vart och ett av åren under den kommande budgetperi</w:t>
      </w:r>
      <w:r w:rsidRPr="00CF56F0">
        <w:t>o</w:t>
      </w:r>
      <w:r w:rsidRPr="00CF56F0">
        <w:t>den.</w:t>
      </w:r>
    </w:p>
    <w:p w:rsidR="00441E94" w:rsidRPr="00CF56F0" w:rsidRDefault="00441E94" w:rsidP="00441E94">
      <w:pPr>
        <w:pStyle w:val="Rubrik1"/>
      </w:pPr>
      <w:bookmarkStart w:id="12" w:name="_Toc52596825"/>
      <w:bookmarkStart w:id="13" w:name="_Toc53281221"/>
      <w:r w:rsidRPr="00CF56F0">
        <w:t>Brottsförebyggande rådet</w:t>
      </w:r>
      <w:bookmarkEnd w:id="12"/>
      <w:bookmarkEnd w:id="13"/>
    </w:p>
    <w:p w:rsidR="00441E94" w:rsidRPr="00CF56F0" w:rsidRDefault="00441E94" w:rsidP="00441E94">
      <w:r w:rsidRPr="00CF56F0">
        <w:t>Brottsförebyggande rådet (BRÅ) skall fungera som kunskapscentrum i ka</w:t>
      </w:r>
      <w:r w:rsidRPr="00CF56F0">
        <w:t>m</w:t>
      </w:r>
      <w:r w:rsidRPr="00CF56F0">
        <w:t>pen mot brottsligheten. BRÅ:s viktigaste uppgifter har sedan starten varit att kartlägga orsakerna till brottsutvecklingen och bidra med kunskaper om ver</w:t>
      </w:r>
      <w:r w:rsidRPr="00CF56F0">
        <w:t>k</w:t>
      </w:r>
      <w:r w:rsidRPr="00CF56F0">
        <w:t>ningsfulla åtgärder mot brott. Åsikterna på detta område är många och fors</w:t>
      </w:r>
      <w:r w:rsidRPr="00CF56F0">
        <w:t>k</w:t>
      </w:r>
      <w:r w:rsidRPr="00CF56F0">
        <w:t>ningen spretar märkbart både vad avser metod och resultat.</w:t>
      </w:r>
    </w:p>
    <w:p w:rsidR="00441E94" w:rsidRPr="00CF56F0" w:rsidRDefault="00441E94" w:rsidP="00441E94">
      <w:pPr>
        <w:pStyle w:val="Normaltindrag"/>
      </w:pPr>
      <w:r w:rsidRPr="00CF56F0">
        <w:t>Genom regleringsbrev ger regeringen direktiv för verksamhetsinriktningen och utifrån detta initierar BRÅ sina projekt. BRÅ är ett stabsorgan till rege</w:t>
      </w:r>
      <w:r w:rsidRPr="00CF56F0">
        <w:t>r</w:t>
      </w:r>
      <w:r w:rsidRPr="00CF56F0">
        <w:t>ingen och det är därmed naturligt att myndighetens verksamhet är starkt styrd av regeringen.</w:t>
      </w:r>
    </w:p>
    <w:p w:rsidR="00441E94" w:rsidRPr="00CF56F0" w:rsidRDefault="00441E94" w:rsidP="00441E94">
      <w:pPr>
        <w:pStyle w:val="Normaltindrag"/>
      </w:pPr>
      <w:r w:rsidRPr="00CF56F0">
        <w:t xml:space="preserve">BRÅ:s integritet och oberoende har blivit kraftigt ifrågasatt, både </w:t>
      </w:r>
      <w:r w:rsidR="00DE4655" w:rsidRPr="00CF56F0">
        <w:t>vad gäl</w:t>
      </w:r>
      <w:r w:rsidR="00DE4655" w:rsidRPr="00CF56F0">
        <w:t>l</w:t>
      </w:r>
      <w:r w:rsidR="00DE4655" w:rsidRPr="00CF56F0">
        <w:t xml:space="preserve">er </w:t>
      </w:r>
      <w:r w:rsidRPr="00CF56F0">
        <w:t xml:space="preserve">interna processer </w:t>
      </w:r>
      <w:r w:rsidR="00DE4655" w:rsidRPr="00CF56F0">
        <w:t>och</w:t>
      </w:r>
      <w:r w:rsidRPr="00CF56F0">
        <w:t xml:space="preserve"> forskningens kvalitet. Med tanke på BRÅ:s ställning som expertorgan under regeringen och utförare av lejonparten av den krim</w:t>
      </w:r>
      <w:r w:rsidRPr="00CF56F0">
        <w:t>i</w:t>
      </w:r>
      <w:r w:rsidRPr="00CF56F0">
        <w:t>nalpolitiska forskningen i Sverige är anklagelserna utomordentligt oroande även om situationen synes ha blivit något bättre.</w:t>
      </w:r>
    </w:p>
    <w:p w:rsidR="00441E94" w:rsidRPr="00CF56F0" w:rsidRDefault="00441E94" w:rsidP="00441E94">
      <w:pPr>
        <w:pStyle w:val="Normaltindrag"/>
      </w:pPr>
      <w:r w:rsidRPr="00CF56F0">
        <w:t xml:space="preserve">Med tanke på vikten av en objektiv, kvalitetssäkrad och gedigen forskning inom det kriminalpolitiska området förordar vi en tydligare akademisk frihet och ett bredare perspektiv. Vi vill mobilisera fler akademiska discipliner inom brottsforskningen och separera den opinionsbildande verksamheten från den forskande och utvärderande. Vi föreslår att anslaget till BRÅ minskas med sammanlagt tio miljoner kronor </w:t>
      </w:r>
      <w:r w:rsidR="00084C2D" w:rsidRPr="00CF56F0">
        <w:t>per</w:t>
      </w:r>
      <w:r w:rsidRPr="00CF56F0">
        <w:t xml:space="preserve"> år under den kommande </w:t>
      </w:r>
      <w:r w:rsidR="00084C2D" w:rsidRPr="00CF56F0">
        <w:t>treårs</w:t>
      </w:r>
      <w:r w:rsidRPr="00CF56F0">
        <w:t>perioden.</w:t>
      </w:r>
    </w:p>
    <w:p w:rsidR="00441E94" w:rsidRPr="00CF56F0" w:rsidRDefault="00441E94" w:rsidP="00441E94">
      <w:pPr>
        <w:pStyle w:val="Rubrik1"/>
      </w:pPr>
      <w:r w:rsidRPr="00CF56F0">
        <w:t>Rättsmedicinalverket</w:t>
      </w:r>
    </w:p>
    <w:p w:rsidR="00441E94" w:rsidRPr="00CF56F0" w:rsidRDefault="00441E94" w:rsidP="00441E94">
      <w:r w:rsidRPr="00CF56F0">
        <w:t>Rättsmedicinalverket (RMV) utgör en viktig del i det brottsutredande arbetet och det är önskvärt att RMV i högre grad ges tillfälle att genomföra rättsm</w:t>
      </w:r>
      <w:r w:rsidRPr="00CF56F0">
        <w:t>e</w:t>
      </w:r>
      <w:r w:rsidRPr="00CF56F0">
        <w:t>dicinska undersökningar och lämna utlåta</w:t>
      </w:r>
      <w:r w:rsidR="00907BE5" w:rsidRPr="00CF56F0">
        <w:t>nden. Det finns i</w:t>
      </w:r>
      <w:r w:rsidR="00405F15" w:rsidRPr="00CF56F0">
        <w:t xml:space="preserve"> </w:t>
      </w:r>
      <w:r w:rsidR="00907BE5" w:rsidRPr="00CF56F0">
        <w:t>dag endast c</w:t>
      </w:r>
      <w:r w:rsidRPr="00CF56F0">
        <w:t>a 20 helårsarbetande rättsläkare i hela landet. I dag utfärdas de flesta rättsintyg av behandlande läkare på akutmottagningar. Många läkare har begränsad utbil</w:t>
      </w:r>
      <w:r w:rsidRPr="00CF56F0">
        <w:t>d</w:t>
      </w:r>
      <w:r w:rsidRPr="00CF56F0">
        <w:t>ning i rättsmedicin och det är tyvärr alltför vanligt att skador inte beskrivs på ett korrekt sätt</w:t>
      </w:r>
      <w:r w:rsidR="00084C2D" w:rsidRPr="00CF56F0">
        <w:t>,</w:t>
      </w:r>
      <w:r w:rsidRPr="00CF56F0">
        <w:t xml:space="preserve"> eller i vissa fall överhuvudtaget nämns i intygen</w:t>
      </w:r>
      <w:r w:rsidR="00084C2D" w:rsidRPr="00CF56F0">
        <w:t>, vilket me</w:t>
      </w:r>
      <w:r w:rsidR="00084C2D" w:rsidRPr="00CF56F0">
        <w:t>d</w:t>
      </w:r>
      <w:r w:rsidR="00084C2D" w:rsidRPr="00CF56F0">
        <w:t xml:space="preserve">för </w:t>
      </w:r>
      <w:r w:rsidRPr="00CF56F0">
        <w:t xml:space="preserve">risk för stora rättsförluster. Tillgängligheten </w:t>
      </w:r>
      <w:r w:rsidR="00084C2D" w:rsidRPr="00CF56F0">
        <w:t>av</w:t>
      </w:r>
      <w:r w:rsidRPr="00CF56F0">
        <w:t xml:space="preserve"> korrekta rättsmedicinska undersökningar och utlåtanden måste öka. Det stöd och den utbildning som RMV kan tillhandahålla måste således förbättras. Vi välkomnar därför den av riksdagen beslutade reformen om en ny ordning för hanteringen av rättsintyg. RMV måste dock ges tillräckliga resurser för att fullt ut kunna genomföra reformen.</w:t>
      </w:r>
    </w:p>
    <w:p w:rsidR="00441E94" w:rsidRPr="00CF56F0" w:rsidRDefault="00441E94" w:rsidP="00441E94">
      <w:pPr>
        <w:pStyle w:val="Normaltindrag"/>
      </w:pPr>
      <w:r w:rsidRPr="00CF56F0">
        <w:t>En betydande del av RMV</w:t>
      </w:r>
      <w:r w:rsidR="00907BE5" w:rsidRPr="00CF56F0">
        <w:t>:</w:t>
      </w:r>
      <w:r w:rsidRPr="00CF56F0">
        <w:t>s verksamhet är hänförlig till den rättspsykia</w:t>
      </w:r>
      <w:r w:rsidRPr="00CF56F0">
        <w:t>t</w:t>
      </w:r>
      <w:r w:rsidRPr="00CF56F0">
        <w:t>riska verksamheten. Rättspsykiatrin är ofta föremål för debatt och det är abs</w:t>
      </w:r>
      <w:r w:rsidRPr="00CF56F0">
        <w:t>o</w:t>
      </w:r>
      <w:r w:rsidRPr="00CF56F0">
        <w:t>lut nödvändigt att hög kompetens upprätthålls</w:t>
      </w:r>
      <w:r w:rsidR="00907BE5" w:rsidRPr="00CF56F0">
        <w:t>,</w:t>
      </w:r>
      <w:r w:rsidRPr="00CF56F0">
        <w:t xml:space="preserve"> bl.a. med hänsyn till allmänh</w:t>
      </w:r>
      <w:r w:rsidRPr="00CF56F0">
        <w:t>e</w:t>
      </w:r>
      <w:r w:rsidRPr="00CF56F0">
        <w:t>tens förtroende för verksamheten. Vidare är det nödvändigt att forskningen på området kan bedrivas på ett ändamålsenligt och kvalitativt sätt.</w:t>
      </w:r>
    </w:p>
    <w:p w:rsidR="00441E94" w:rsidRPr="00CF56F0" w:rsidRDefault="00441E94" w:rsidP="00441E94">
      <w:pPr>
        <w:pStyle w:val="Normaltindrag"/>
      </w:pPr>
      <w:r w:rsidRPr="00CF56F0">
        <w:t xml:space="preserve">Vi tillför därför ytterligare tio miljoner kronor </w:t>
      </w:r>
      <w:r w:rsidR="00084C2D" w:rsidRPr="00CF56F0">
        <w:t>per år</w:t>
      </w:r>
      <w:r w:rsidRPr="00CF56F0">
        <w:t xml:space="preserve"> under den kommande </w:t>
      </w:r>
      <w:r w:rsidR="00084C2D" w:rsidRPr="00CF56F0">
        <w:t>treårs</w:t>
      </w:r>
      <w:r w:rsidRPr="00CF56F0">
        <w:t>perioden.</w:t>
      </w:r>
    </w:p>
    <w:p w:rsidR="00441E94" w:rsidRPr="00CF56F0" w:rsidRDefault="00441E94" w:rsidP="00441E94">
      <w:pPr>
        <w:pStyle w:val="Rubrik1"/>
      </w:pPr>
      <w:r w:rsidRPr="00CF56F0">
        <w:t>Brottsoffermyndigheten och ersättning för skador på grund av brott</w:t>
      </w:r>
    </w:p>
    <w:p w:rsidR="00441E94" w:rsidRPr="00CF56F0" w:rsidRDefault="00441E94" w:rsidP="004C48BA">
      <w:pPr>
        <w:spacing w:before="240"/>
      </w:pPr>
      <w:r w:rsidRPr="00CF56F0">
        <w:t>Brottsoffermyndigheten</w:t>
      </w:r>
      <w:r w:rsidR="004C48BA" w:rsidRPr="00CF56F0">
        <w:t>s</w:t>
      </w:r>
      <w:r w:rsidRPr="00CF56F0">
        <w:t xml:space="preserve"> kärnverksamhet är att besluta i ärenden om brott</w:t>
      </w:r>
      <w:r w:rsidRPr="00CF56F0">
        <w:t>s</w:t>
      </w:r>
      <w:r w:rsidRPr="00CF56F0">
        <w:t xml:space="preserve">skadeersättning, frågor </w:t>
      </w:r>
      <w:r w:rsidR="00084C2D" w:rsidRPr="00CF56F0">
        <w:t>gällande</w:t>
      </w:r>
      <w:r w:rsidRPr="00CF56F0">
        <w:t xml:space="preserve"> Brottsofferfonden och att fungera som ett kunskapscentrum i frågor som rör brottsoffer. Myndighetens uppgifter har ökat och tillströmningen av ärenden likaså. En viktig del av myndighetens arbete är att informera om brottsoffers rätt till ersättning vid brott. Härvid kan </w:t>
      </w:r>
      <w:r w:rsidR="00907BE5" w:rsidRPr="00CF56F0">
        <w:t xml:space="preserve">Brottsoffermyndigheten </w:t>
      </w:r>
      <w:r w:rsidRPr="00CF56F0">
        <w:t>utgöra ett betydelsefullt stöd till målsägandebiträden och stödpersoner</w:t>
      </w:r>
      <w:r w:rsidR="00084C2D" w:rsidRPr="00CF56F0">
        <w:t>,</w:t>
      </w:r>
      <w:r w:rsidRPr="00CF56F0">
        <w:t xml:space="preserve"> inte minst vad gäller utbildning, för att ge brottsoffret bästa och mesta möjlig</w:t>
      </w:r>
      <w:r w:rsidR="004C48BA" w:rsidRPr="00CF56F0">
        <w:t>a</w:t>
      </w:r>
      <w:r w:rsidRPr="00CF56F0">
        <w:t xml:space="preserve"> hjälp.</w:t>
      </w:r>
      <w:r w:rsidR="004C48BA" w:rsidRPr="00CF56F0">
        <w:t xml:space="preserve"> V</w:t>
      </w:r>
      <w:r w:rsidRPr="00CF56F0">
        <w:t xml:space="preserve">i </w:t>
      </w:r>
      <w:r w:rsidR="004C48BA" w:rsidRPr="00CF56F0">
        <w:t xml:space="preserve">ställer </w:t>
      </w:r>
      <w:r w:rsidRPr="00CF56F0">
        <w:t>oss bakom de av regeringen föreslagna anslagen till Brottsoffermyndigheten.</w:t>
      </w:r>
    </w:p>
    <w:p w:rsidR="00441E94" w:rsidRPr="00CF56F0" w:rsidRDefault="004C48BA" w:rsidP="00441E94">
      <w:pPr>
        <w:pStyle w:val="Normaltindrag"/>
      </w:pPr>
      <w:r w:rsidRPr="00CF56F0">
        <w:t>Emellertid g</w:t>
      </w:r>
      <w:r w:rsidR="00441E94" w:rsidRPr="00CF56F0">
        <w:t xml:space="preserve">ör </w:t>
      </w:r>
      <w:r w:rsidR="00907BE5" w:rsidRPr="00CF56F0">
        <w:t xml:space="preserve">Brottsoffermyndigheten </w:t>
      </w:r>
      <w:r w:rsidR="00441E94" w:rsidRPr="00CF56F0">
        <w:t>en självständig prövning av brott</w:t>
      </w:r>
      <w:r w:rsidR="00441E94" w:rsidRPr="00CF56F0">
        <w:t>s</w:t>
      </w:r>
      <w:r w:rsidR="00441E94" w:rsidRPr="00CF56F0">
        <w:t>skadeersättningens storlek oberoende av vad domstolen dömt ut i sk</w:t>
      </w:r>
      <w:r w:rsidR="00441E94" w:rsidRPr="00CF56F0">
        <w:t>a</w:t>
      </w:r>
      <w:r w:rsidR="00441E94" w:rsidRPr="00CF56F0">
        <w:t xml:space="preserve">deståndsfrågan. Vi anser att </w:t>
      </w:r>
      <w:r w:rsidR="00907BE5" w:rsidRPr="00CF56F0">
        <w:t xml:space="preserve">Brottsoffermyndigheten </w:t>
      </w:r>
      <w:r w:rsidR="00441E94" w:rsidRPr="00CF56F0">
        <w:t>skall vara bunden av domstolens beslut i de fall en lagakraftvunnen dom föreligger. Domstolarna skall i högre grad bidra till praxis på skadeståndsområdet. I de fall den tillt</w:t>
      </w:r>
      <w:r w:rsidR="00441E94" w:rsidRPr="00CF56F0">
        <w:t>a</w:t>
      </w:r>
      <w:r w:rsidR="00441E94" w:rsidRPr="00CF56F0">
        <w:t xml:space="preserve">lade har medgivit ett skadeståndsbelopp skall dock </w:t>
      </w:r>
      <w:r w:rsidR="00907BE5" w:rsidRPr="00CF56F0">
        <w:t xml:space="preserve">Brottsoffermyndigheten </w:t>
      </w:r>
      <w:r w:rsidR="00441E94" w:rsidRPr="00CF56F0">
        <w:t xml:space="preserve">ges utrymme till en självständig prövning för att undvika missbruk av rätten till ersättning. För att klara av de högre utgifter som initialt kommer att uppstå tillför vi till utgiftsområde 4:11 </w:t>
      </w:r>
      <w:r w:rsidR="00907BE5" w:rsidRPr="00CF56F0">
        <w:t xml:space="preserve">Ersättning </w:t>
      </w:r>
      <w:r w:rsidR="00441E94" w:rsidRPr="00CF56F0">
        <w:t>för skador på grund av brott ytte</w:t>
      </w:r>
      <w:r w:rsidR="00441E94" w:rsidRPr="00CF56F0">
        <w:t>r</w:t>
      </w:r>
      <w:r w:rsidR="00441E94" w:rsidRPr="00CF56F0">
        <w:t xml:space="preserve">ligare fem miljoner kronor </w:t>
      </w:r>
      <w:r w:rsidR="00084C2D" w:rsidRPr="00CF56F0">
        <w:t>per år</w:t>
      </w:r>
      <w:r w:rsidR="00441E94" w:rsidRPr="00CF56F0">
        <w:t xml:space="preserve"> under den kommande </w:t>
      </w:r>
      <w:r w:rsidR="00084C2D" w:rsidRPr="00CF56F0">
        <w:t>treårs</w:t>
      </w:r>
      <w:r w:rsidR="00441E94" w:rsidRPr="00CF56F0">
        <w:t>perioden.</w:t>
      </w:r>
    </w:p>
    <w:p w:rsidR="00441E94" w:rsidRPr="00CF56F0" w:rsidRDefault="00441E94" w:rsidP="00441E94">
      <w:pPr>
        <w:pStyle w:val="Rubrik1"/>
      </w:pPr>
      <w:r w:rsidRPr="00CF56F0">
        <w:t>Rättshjälpskostnader m.m</w:t>
      </w:r>
      <w:r w:rsidR="00907BE5" w:rsidRPr="00CF56F0">
        <w:t>.</w:t>
      </w:r>
    </w:p>
    <w:p w:rsidR="008F78BE" w:rsidRPr="00CF56F0" w:rsidRDefault="00441E94" w:rsidP="00907BE5">
      <w:r w:rsidRPr="00CF56F0">
        <w:t>Då rättsprocesser generellt s</w:t>
      </w:r>
      <w:r w:rsidR="00D0726E" w:rsidRPr="00CF56F0">
        <w:t>e</w:t>
      </w:r>
      <w:r w:rsidRPr="00CF56F0">
        <w:t>tt är påfrestande och mer eller mindre obehagl</w:t>
      </w:r>
      <w:r w:rsidRPr="00CF56F0">
        <w:t>i</w:t>
      </w:r>
      <w:r w:rsidRPr="00CF56F0">
        <w:t>ga är det av stor vikt att brottsoffer och andra bemöts på ett korrekt och pr</w:t>
      </w:r>
      <w:r w:rsidRPr="00CF56F0">
        <w:t>o</w:t>
      </w:r>
      <w:r w:rsidRPr="00CF56F0">
        <w:t>fessionellt sätt. Vi moderater har därför föreslagit att målsägandebiträden skall förordnas i alla de mål där brottsoffret varit utsatt för ett våldsbrott. För att finansiera denna utvidgning och för att inblandade parter i en rättsprocess även fortsättningsvis skall känna förtroende för rättsväsendet tillför vi utgift</w:t>
      </w:r>
      <w:r w:rsidRPr="00CF56F0">
        <w:t>s</w:t>
      </w:r>
      <w:r w:rsidRPr="00CF56F0">
        <w:t xml:space="preserve">området ytterligare tio miljoner kronor </w:t>
      </w:r>
      <w:r w:rsidR="00084C2D" w:rsidRPr="00CF56F0">
        <w:t>per år</w:t>
      </w:r>
      <w:r w:rsidRPr="00CF56F0">
        <w:t xml:space="preserve"> under den kommande </w:t>
      </w:r>
      <w:r w:rsidR="00084C2D" w:rsidRPr="00CF56F0">
        <w:t>treårs</w:t>
      </w:r>
      <w:r w:rsidRPr="00CF56F0">
        <w:t>p</w:t>
      </w:r>
      <w:r w:rsidRPr="00CF56F0">
        <w:t>e</w:t>
      </w:r>
      <w:r w:rsidRPr="00CF56F0">
        <w:t>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7BE5" w:rsidRPr="00CF56F0">
        <w:tblPrEx>
          <w:tblCellMar>
            <w:top w:w="0" w:type="dxa"/>
            <w:bottom w:w="0" w:type="dxa"/>
          </w:tblCellMar>
        </w:tblPrEx>
        <w:trPr>
          <w:cantSplit/>
        </w:trPr>
        <w:tc>
          <w:tcPr>
            <w:tcW w:w="3046" w:type="dxa"/>
          </w:tcPr>
          <w:p w:rsidR="00907BE5" w:rsidRPr="00CF56F0" w:rsidRDefault="00907BE5" w:rsidP="00907BE5">
            <w:pPr>
              <w:pStyle w:val="UnderskriftDatum"/>
              <w:spacing w:before="240"/>
            </w:pPr>
            <w:r w:rsidRPr="00CF56F0">
              <w:t>Stockholm den 4 oktober 2005</w:t>
            </w:r>
          </w:p>
        </w:tc>
        <w:tc>
          <w:tcPr>
            <w:tcW w:w="3047" w:type="dxa"/>
          </w:tcPr>
          <w:p w:rsidR="00907BE5" w:rsidRPr="00CF56F0" w:rsidRDefault="00907BE5" w:rsidP="00907BE5">
            <w:pPr>
              <w:pStyle w:val="Underskrifter"/>
              <w:spacing w:before="240"/>
            </w:pPr>
          </w:p>
        </w:tc>
      </w:tr>
      <w:tr w:rsidR="00907BE5" w:rsidRPr="00CF56F0">
        <w:tblPrEx>
          <w:tblCellMar>
            <w:top w:w="0" w:type="dxa"/>
            <w:bottom w:w="0" w:type="dxa"/>
          </w:tblCellMar>
        </w:tblPrEx>
        <w:trPr>
          <w:cantSplit/>
        </w:trPr>
        <w:tc>
          <w:tcPr>
            <w:tcW w:w="3046" w:type="dxa"/>
          </w:tcPr>
          <w:p w:rsidR="00907BE5" w:rsidRPr="00CF56F0" w:rsidRDefault="00907BE5" w:rsidP="00907BE5">
            <w:pPr>
              <w:pStyle w:val="Underskrifter"/>
            </w:pPr>
            <w:r w:rsidRPr="00CF56F0">
              <w:t>Beatrice Ask (m)</w:t>
            </w:r>
          </w:p>
        </w:tc>
        <w:tc>
          <w:tcPr>
            <w:tcW w:w="3047" w:type="dxa"/>
          </w:tcPr>
          <w:p w:rsidR="00907BE5" w:rsidRPr="00CF56F0" w:rsidRDefault="00907BE5" w:rsidP="00907BE5">
            <w:pPr>
              <w:pStyle w:val="Underskrifter"/>
            </w:pPr>
          </w:p>
        </w:tc>
      </w:tr>
      <w:tr w:rsidR="00907BE5" w:rsidRPr="00CF56F0">
        <w:tblPrEx>
          <w:tblCellMar>
            <w:top w:w="0" w:type="dxa"/>
            <w:bottom w:w="0" w:type="dxa"/>
          </w:tblCellMar>
        </w:tblPrEx>
        <w:trPr>
          <w:cantSplit/>
        </w:trPr>
        <w:tc>
          <w:tcPr>
            <w:tcW w:w="3046" w:type="dxa"/>
          </w:tcPr>
          <w:p w:rsidR="00907BE5" w:rsidRPr="00CF56F0" w:rsidRDefault="00907BE5" w:rsidP="00907BE5">
            <w:pPr>
              <w:pStyle w:val="Underskrifter"/>
            </w:pPr>
            <w:r w:rsidRPr="00CF56F0">
              <w:t>Jeppe Johnsson (m)</w:t>
            </w:r>
          </w:p>
        </w:tc>
        <w:tc>
          <w:tcPr>
            <w:tcW w:w="3047" w:type="dxa"/>
          </w:tcPr>
          <w:p w:rsidR="00907BE5" w:rsidRPr="00CF56F0" w:rsidRDefault="00907BE5" w:rsidP="00907BE5">
            <w:pPr>
              <w:pStyle w:val="Underskrifter"/>
            </w:pPr>
            <w:r w:rsidRPr="00CF56F0">
              <w:t>Cecilia Magnusson (m)</w:t>
            </w:r>
          </w:p>
        </w:tc>
      </w:tr>
      <w:tr w:rsidR="00907BE5" w:rsidRPr="00CF56F0">
        <w:tblPrEx>
          <w:tblCellMar>
            <w:top w:w="0" w:type="dxa"/>
            <w:bottom w:w="0" w:type="dxa"/>
          </w:tblCellMar>
        </w:tblPrEx>
        <w:trPr>
          <w:cantSplit/>
        </w:trPr>
        <w:tc>
          <w:tcPr>
            <w:tcW w:w="3046" w:type="dxa"/>
          </w:tcPr>
          <w:p w:rsidR="00907BE5" w:rsidRPr="00CF56F0" w:rsidRDefault="00907BE5" w:rsidP="00907BE5">
            <w:pPr>
              <w:pStyle w:val="Underskrifter"/>
            </w:pPr>
            <w:r w:rsidRPr="00CF56F0">
              <w:t>Hillevi Engström (m)</w:t>
            </w:r>
          </w:p>
        </w:tc>
        <w:tc>
          <w:tcPr>
            <w:tcW w:w="3047" w:type="dxa"/>
          </w:tcPr>
          <w:p w:rsidR="00907BE5" w:rsidRPr="00CF56F0" w:rsidRDefault="00907BE5" w:rsidP="00907BE5">
            <w:pPr>
              <w:pStyle w:val="Underskrifter"/>
            </w:pPr>
            <w:r w:rsidRPr="00CF56F0">
              <w:t>Bengt-Anders Johansson (m)</w:t>
            </w:r>
          </w:p>
        </w:tc>
      </w:tr>
      <w:tr w:rsidR="00907BE5" w:rsidRPr="00CF56F0">
        <w:tblPrEx>
          <w:tblCellMar>
            <w:top w:w="0" w:type="dxa"/>
            <w:bottom w:w="0" w:type="dxa"/>
          </w:tblCellMar>
        </w:tblPrEx>
        <w:trPr>
          <w:cantSplit/>
        </w:trPr>
        <w:tc>
          <w:tcPr>
            <w:tcW w:w="3046" w:type="dxa"/>
          </w:tcPr>
          <w:p w:rsidR="00907BE5" w:rsidRPr="00CF56F0" w:rsidRDefault="00907BE5" w:rsidP="00907BE5">
            <w:pPr>
              <w:pStyle w:val="Underskrifter"/>
            </w:pPr>
            <w:r w:rsidRPr="00CF56F0">
              <w:t>Anita Sidén (m)</w:t>
            </w:r>
          </w:p>
        </w:tc>
        <w:tc>
          <w:tcPr>
            <w:tcW w:w="3047" w:type="dxa"/>
          </w:tcPr>
          <w:p w:rsidR="00907BE5" w:rsidRPr="00CF56F0" w:rsidRDefault="00907BE5" w:rsidP="00907BE5">
            <w:pPr>
              <w:pStyle w:val="Underskrifter"/>
            </w:pPr>
            <w:r w:rsidRPr="00CF56F0">
              <w:t>Bertil Kjellberg (m)</w:t>
            </w:r>
          </w:p>
        </w:tc>
      </w:tr>
    </w:tbl>
    <w:p w:rsidR="00441E94" w:rsidRPr="00CF56F0" w:rsidRDefault="00441E94" w:rsidP="00907BE5">
      <w:pPr>
        <w:pStyle w:val="Normaltindrag"/>
      </w:pPr>
    </w:p>
    <w:sectPr w:rsidR="00441E94" w:rsidRPr="00CF56F0" w:rsidSect="00907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06F" w:rsidRPr="00CF56F0" w:rsidRDefault="00EC406F">
      <w:r w:rsidRPr="00CF56F0">
        <w:separator/>
      </w:r>
    </w:p>
  </w:endnote>
  <w:endnote w:type="continuationSeparator" w:id="0">
    <w:p w:rsidR="00EC406F" w:rsidRPr="00CF56F0" w:rsidRDefault="00EC406F">
      <w:r w:rsidRPr="00CF5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CF56F0" w:rsidP="00907BE5">
    <w:pPr>
      <w:pStyle w:val="Sidfot"/>
    </w:pPr>
    <w:r w:rsidRPr="00CF56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261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DF" w:rsidRDefault="00D361DF">
                          <w:pPr>
                            <w:pStyle w:val="NormalS5sidnrV"/>
                          </w:pPr>
                          <w:r>
                            <w:fldChar w:fldCharType="begin"/>
                          </w:r>
                          <w:r>
                            <w:instrText xml:space="preserve"> PAGE *\charformat</w:instrText>
                          </w:r>
                          <w:r>
                            <w:fldChar w:fldCharType="separate"/>
                          </w:r>
                          <w:r w:rsidR="008E63A4">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1DF" w:rsidRDefault="00D361DF">
                    <w:pPr>
                      <w:pStyle w:val="NormalS5sidnrV"/>
                    </w:pPr>
                    <w:r>
                      <w:fldChar w:fldCharType="begin"/>
                    </w:r>
                    <w:r>
                      <w:instrText xml:space="preserve"> PAGE *\charformat</w:instrText>
                    </w:r>
                    <w:r>
                      <w:fldChar w:fldCharType="separate"/>
                    </w:r>
                    <w:r w:rsidR="008E63A4">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CF56F0" w:rsidP="00907BE5">
    <w:pPr>
      <w:pStyle w:val="Sidfot"/>
    </w:pPr>
    <w:r w:rsidRPr="00CF56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572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DF" w:rsidRDefault="00D361DF">
                          <w:pPr>
                            <w:pStyle w:val="NormalS5sidnrH"/>
                            <w:ind w:right="0"/>
                          </w:pPr>
                          <w:r>
                            <w:fldChar w:fldCharType="begin"/>
                          </w:r>
                          <w:r>
                            <w:instrText xml:space="preserve"> PAGE *\charformat</w:instrText>
                          </w:r>
                          <w:r>
                            <w:fldChar w:fldCharType="separate"/>
                          </w:r>
                          <w:r w:rsidR="008E63A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1DF" w:rsidRDefault="00D361DF">
                    <w:pPr>
                      <w:pStyle w:val="NormalS5sidnrH"/>
                      <w:ind w:right="0"/>
                    </w:pPr>
                    <w:r>
                      <w:fldChar w:fldCharType="begin"/>
                    </w:r>
                    <w:r>
                      <w:instrText xml:space="preserve"> PAGE *\charformat</w:instrText>
                    </w:r>
                    <w:r>
                      <w:fldChar w:fldCharType="separate"/>
                    </w:r>
                    <w:r w:rsidR="008E63A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CF56F0" w:rsidP="00907BE5">
    <w:pPr>
      <w:pStyle w:val="Sidfot"/>
    </w:pPr>
    <w:r w:rsidRPr="00CF56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643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DF" w:rsidRDefault="00D361DF">
                          <w:pPr>
                            <w:pStyle w:val="NormalS5sidnrH"/>
                            <w:ind w:right="0"/>
                          </w:pPr>
                          <w:r>
                            <w:fldChar w:fldCharType="begin"/>
                          </w:r>
                          <w:r>
                            <w:instrText xml:space="preserve"> PAGE *\charformat</w:instrText>
                          </w:r>
                          <w:r>
                            <w:fldChar w:fldCharType="separate"/>
                          </w:r>
                          <w:r w:rsidR="008E63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1DF" w:rsidRDefault="00D361DF">
                    <w:pPr>
                      <w:pStyle w:val="NormalS5sidnrH"/>
                      <w:ind w:right="0"/>
                    </w:pPr>
                    <w:r>
                      <w:fldChar w:fldCharType="begin"/>
                    </w:r>
                    <w:r>
                      <w:instrText xml:space="preserve"> PAGE *\charformat</w:instrText>
                    </w:r>
                    <w:r>
                      <w:fldChar w:fldCharType="separate"/>
                    </w:r>
                    <w:r w:rsidR="008E63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06F" w:rsidRPr="00CF56F0" w:rsidRDefault="00EC406F">
      <w:r w:rsidRPr="00CF56F0">
        <w:separator/>
      </w:r>
    </w:p>
  </w:footnote>
  <w:footnote w:type="continuationSeparator" w:id="0">
    <w:p w:rsidR="00EC406F" w:rsidRPr="00CF56F0" w:rsidRDefault="00EC406F">
      <w:r w:rsidRPr="00CF5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CF56F0" w:rsidP="00907BE5">
    <w:pPr>
      <w:pStyle w:val="Sidhuvud"/>
    </w:pPr>
    <w:r w:rsidRPr="00CF56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355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DF" w:rsidRDefault="00D361DF">
                          <w:pPr>
                            <w:pStyle w:val="KantRubrikS5V"/>
                          </w:pPr>
                          <w:r>
                            <w:fldChar w:fldCharType="begin"/>
                          </w:r>
                          <w:r>
                            <w:instrText xml:space="preserve"> DOCPROPERTY "YearUser" *\charformat </w:instrText>
                          </w:r>
                          <w:r>
                            <w:fldChar w:fldCharType="separate"/>
                          </w:r>
                          <w:r w:rsidR="008E63A4">
                            <w:t>2005/06</w:t>
                          </w:r>
                          <w:r>
                            <w:fldChar w:fldCharType="end"/>
                          </w:r>
                          <w:r>
                            <w:t>:</w:t>
                          </w:r>
                          <w:r>
                            <w:fldChar w:fldCharType="begin"/>
                          </w:r>
                          <w:r>
                            <w:instrText xml:space="preserve"> DOCPROPERTY "Motionsnummer" *\charformat </w:instrText>
                          </w:r>
                          <w:r>
                            <w:fldChar w:fldCharType="separate"/>
                          </w:r>
                          <w:r w:rsidR="008E63A4">
                            <w:t>Ju559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1DF" w:rsidRDefault="00D361DF">
                    <w:pPr>
                      <w:pStyle w:val="KantRubrikS5V"/>
                    </w:pPr>
                    <w:r>
                      <w:fldChar w:fldCharType="begin"/>
                    </w:r>
                    <w:r>
                      <w:instrText xml:space="preserve"> DOCPROPERTY "YearUser" *\charformat </w:instrText>
                    </w:r>
                    <w:r>
                      <w:fldChar w:fldCharType="separate"/>
                    </w:r>
                    <w:r w:rsidR="008E63A4">
                      <w:t>2005/06</w:t>
                    </w:r>
                    <w:r>
                      <w:fldChar w:fldCharType="end"/>
                    </w:r>
                    <w:r>
                      <w:t>:</w:t>
                    </w:r>
                    <w:r>
                      <w:fldChar w:fldCharType="begin"/>
                    </w:r>
                    <w:r>
                      <w:instrText xml:space="preserve"> DOCPROPERTY "Motionsnummer" *\charformat </w:instrText>
                    </w:r>
                    <w:r>
                      <w:fldChar w:fldCharType="separate"/>
                    </w:r>
                    <w:r w:rsidR="008E63A4">
                      <w:t>Ju559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CF56F0" w:rsidP="00907BE5">
    <w:pPr>
      <w:pStyle w:val="Sidhuvud"/>
    </w:pPr>
    <w:r w:rsidRPr="00CF56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892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DF" w:rsidRDefault="00D361DF">
                          <w:pPr>
                            <w:pStyle w:val="KantRubrikS5H"/>
                            <w:ind w:right="0"/>
                          </w:pPr>
                          <w:r>
                            <w:fldChar w:fldCharType="begin"/>
                          </w:r>
                          <w:r>
                            <w:instrText xml:space="preserve"> DOCPROPERTY "YearUser" *\charformat </w:instrText>
                          </w:r>
                          <w:r>
                            <w:fldChar w:fldCharType="separate"/>
                          </w:r>
                          <w:r w:rsidR="008E63A4">
                            <w:t>2005/06</w:t>
                          </w:r>
                          <w:r>
                            <w:fldChar w:fldCharType="end"/>
                          </w:r>
                          <w:r>
                            <w:t>:</w:t>
                          </w:r>
                          <w:r>
                            <w:fldChar w:fldCharType="begin"/>
                          </w:r>
                          <w:r>
                            <w:instrText xml:space="preserve"> DOCPROPERTY "Motionsnummer" *\charformat </w:instrText>
                          </w:r>
                          <w:r>
                            <w:fldChar w:fldCharType="separate"/>
                          </w:r>
                          <w:r w:rsidR="008E63A4">
                            <w:t>Ju559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1DF" w:rsidRDefault="00D361DF">
                    <w:pPr>
                      <w:pStyle w:val="KantRubrikS5H"/>
                      <w:ind w:right="0"/>
                    </w:pPr>
                    <w:r>
                      <w:fldChar w:fldCharType="begin"/>
                    </w:r>
                    <w:r>
                      <w:instrText xml:space="preserve"> DOCPROPERTY "YearUser" *\charformat </w:instrText>
                    </w:r>
                    <w:r>
                      <w:fldChar w:fldCharType="separate"/>
                    </w:r>
                    <w:r w:rsidR="008E63A4">
                      <w:t>2005/06</w:t>
                    </w:r>
                    <w:r>
                      <w:fldChar w:fldCharType="end"/>
                    </w:r>
                    <w:r>
                      <w:t>:</w:t>
                    </w:r>
                    <w:r>
                      <w:fldChar w:fldCharType="begin"/>
                    </w:r>
                    <w:r>
                      <w:instrText xml:space="preserve"> DOCPROPERTY "Motionsnummer" *\charformat </w:instrText>
                    </w:r>
                    <w:r>
                      <w:fldChar w:fldCharType="separate"/>
                    </w:r>
                    <w:r w:rsidR="008E63A4">
                      <w:t>Ju559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DF" w:rsidRPr="00CF56F0" w:rsidRDefault="00D361DF">
    <w:pPr>
      <w:pStyle w:val="FSHNormal"/>
      <w:tabs>
        <w:tab w:val="right" w:pos="5840"/>
      </w:tabs>
    </w:pPr>
    <w:r w:rsidRPr="00CF56F0">
      <w:br/>
    </w:r>
    <w:r w:rsidRPr="00CF56F0">
      <w:fldChar w:fldCharType="begin" w:fldLock="1"/>
    </w:r>
    <w:r w:rsidRPr="00CF56F0">
      <w:instrText xml:space="preserve"> DOCPROPERTY</w:instrText>
    </w:r>
    <w:r w:rsidRPr="00CF56F0">
      <w:rPr>
        <w:sz w:val="18"/>
      </w:rPr>
      <w:instrText xml:space="preserve"> "YearUser" *\charformat </w:instrText>
    </w:r>
    <w:r w:rsidRPr="00CF56F0">
      <w:fldChar w:fldCharType="separate"/>
    </w:r>
    <w:r w:rsidR="008E63A4" w:rsidRPr="00CF56F0">
      <w:t>2005/06</w:t>
    </w:r>
    <w:r w:rsidRPr="00CF56F0">
      <w:fldChar w:fldCharType="end"/>
    </w:r>
    <w:r w:rsidRPr="00CF56F0">
      <w:t xml:space="preserve"> </w:t>
    </w:r>
    <w:r w:rsidRPr="00CF56F0">
      <w:tab/>
      <w:t xml:space="preserve">mnr: </w:t>
    </w:r>
    <w:r w:rsidRPr="00CF56F0">
      <w:fldChar w:fldCharType="begin" w:fldLock="1"/>
    </w:r>
    <w:r w:rsidRPr="00CF56F0">
      <w:instrText xml:space="preserve"> DOCPROPERTY</w:instrText>
    </w:r>
    <w:r w:rsidRPr="00CF56F0">
      <w:rPr>
        <w:sz w:val="18"/>
      </w:rPr>
      <w:instrText xml:space="preserve"> "Motionsnummer" *\charformat </w:instrText>
    </w:r>
    <w:r w:rsidRPr="00CF56F0">
      <w:fldChar w:fldCharType="separate"/>
    </w:r>
    <w:r w:rsidR="008E63A4" w:rsidRPr="00CF56F0">
      <w:t>Ju559</w:t>
    </w:r>
    <w:r w:rsidRPr="00CF56F0">
      <w:fldChar w:fldCharType="end"/>
    </w:r>
    <w:r w:rsidRPr="00CF56F0">
      <w:br/>
    </w:r>
    <w:r w:rsidRPr="00CF56F0">
      <w:fldChar w:fldCharType="begin" w:fldLock="1"/>
    </w:r>
    <w:r w:rsidRPr="00CF56F0">
      <w:instrText xml:space="preserve"> DOCPROPERTY</w:instrText>
    </w:r>
    <w:r w:rsidRPr="00CF56F0">
      <w:rPr>
        <w:sz w:val="18"/>
      </w:rPr>
      <w:instrText xml:space="preserve"> "Samling" *\charformat </w:instrText>
    </w:r>
    <w:r w:rsidRPr="00CF56F0">
      <w:fldChar w:fldCharType="end"/>
    </w:r>
    <w:r w:rsidRPr="00CF56F0">
      <w:tab/>
      <w:t xml:space="preserve">pnr: </w:t>
    </w:r>
    <w:r w:rsidRPr="00CF56F0">
      <w:fldChar w:fldCharType="begin" w:fldLock="1"/>
    </w:r>
    <w:r w:rsidRPr="00CF56F0">
      <w:instrText xml:space="preserve"> DOCPROPERTY</w:instrText>
    </w:r>
    <w:r w:rsidRPr="00CF56F0">
      <w:rPr>
        <w:sz w:val="18"/>
      </w:rPr>
      <w:instrText xml:space="preserve"> "Partinummer" *\charformat </w:instrText>
    </w:r>
    <w:r w:rsidRPr="00CF56F0">
      <w:fldChar w:fldCharType="separate"/>
    </w:r>
    <w:r w:rsidR="008E63A4" w:rsidRPr="00CF56F0">
      <w:t>m159</w:t>
    </w:r>
    <w:r w:rsidRPr="00CF56F0">
      <w:fldChar w:fldCharType="end"/>
    </w:r>
  </w:p>
  <w:p w:rsidR="00D361DF" w:rsidRPr="00CF56F0" w:rsidRDefault="00D361DF">
    <w:pPr>
      <w:pStyle w:val="FSHRub1"/>
    </w:pPr>
    <w:r w:rsidRPr="00CF56F0">
      <w:t>Motion till riksdagen</w:t>
    </w:r>
    <w:r w:rsidRPr="00CF56F0">
      <w:br/>
    </w:r>
    <w:r w:rsidRPr="00CF56F0">
      <w:fldChar w:fldCharType="begin" w:fldLock="1"/>
    </w:r>
    <w:r w:rsidRPr="00CF56F0">
      <w:instrText xml:space="preserve"> DOCPROPERTY "YearUser" *\charformat </w:instrText>
    </w:r>
    <w:r w:rsidRPr="00CF56F0">
      <w:fldChar w:fldCharType="separate"/>
    </w:r>
    <w:r w:rsidR="008E63A4" w:rsidRPr="00CF56F0">
      <w:t>2005/06</w:t>
    </w:r>
    <w:r w:rsidRPr="00CF56F0">
      <w:fldChar w:fldCharType="end"/>
    </w:r>
    <w:r w:rsidRPr="00CF56F0">
      <w:t>:</w:t>
    </w:r>
    <w:r w:rsidRPr="00CF56F0">
      <w:fldChar w:fldCharType="begin" w:fldLock="1"/>
    </w:r>
    <w:r w:rsidRPr="00CF56F0">
      <w:instrText xml:space="preserve"> DOCPROPERTY "Motionsnummer" *\charformat </w:instrText>
    </w:r>
    <w:r w:rsidRPr="00CF56F0">
      <w:fldChar w:fldCharType="separate"/>
    </w:r>
    <w:r w:rsidR="008E63A4" w:rsidRPr="00CF56F0">
      <w:t>Ju559</w:t>
    </w:r>
    <w:r w:rsidRPr="00CF56F0">
      <w:fldChar w:fldCharType="end"/>
    </w:r>
  </w:p>
  <w:p w:rsidR="00D361DF" w:rsidRPr="00CF56F0" w:rsidRDefault="00D361DF">
    <w:pPr>
      <w:pStyle w:val="FSHNormalS5"/>
    </w:pPr>
    <w:r w:rsidRPr="00CF56F0">
      <w:fldChar w:fldCharType="begin" w:fldLock="1"/>
    </w:r>
    <w:r w:rsidRPr="00CF56F0">
      <w:instrText xml:space="preserve"> DOCPROPERTY "MotionarText" *\charformat </w:instrText>
    </w:r>
    <w:r w:rsidRPr="00CF56F0">
      <w:fldChar w:fldCharType="separate"/>
    </w:r>
    <w:r w:rsidR="008E63A4" w:rsidRPr="00CF56F0">
      <w:t>av Beatrice Ask m.fl. (m)</w:t>
    </w:r>
    <w:r w:rsidRPr="00CF56F0">
      <w:fldChar w:fldCharType="end"/>
    </w:r>
    <w:r w:rsidRPr="00CF56F0">
      <w:br/>
    </w:r>
    <w:r w:rsidRPr="00CF56F0">
      <w:fldChar w:fldCharType="begin" w:fldLock="1"/>
    </w:r>
    <w:r w:rsidRPr="00CF56F0">
      <w:instrText xml:space="preserve"> DOCPROPERTY "SvarFrasKort" *\charformat </w:instrText>
    </w:r>
    <w:r w:rsidRPr="00CF56F0">
      <w:fldChar w:fldCharType="end"/>
    </w:r>
  </w:p>
  <w:p w:rsidR="00D361DF" w:rsidRPr="00CF56F0" w:rsidRDefault="00D361DF">
    <w:pPr>
      <w:pStyle w:val="FSHTitel"/>
    </w:pPr>
    <w:r w:rsidRPr="00CF56F0">
      <w:fldChar w:fldCharType="begin" w:fldLock="1"/>
    </w:r>
    <w:r w:rsidRPr="00CF56F0">
      <w:instrText xml:space="preserve"> DOCPROPERTY</w:instrText>
    </w:r>
    <w:r w:rsidRPr="00CF56F0">
      <w:rPr>
        <w:sz w:val="18"/>
      </w:rPr>
      <w:instrText xml:space="preserve"> "RubrikSvar" *\charformat </w:instrText>
    </w:r>
    <w:r w:rsidRPr="00CF56F0">
      <w:fldChar w:fldCharType="separate"/>
    </w:r>
    <w:r w:rsidR="008E63A4" w:rsidRPr="00CF56F0">
      <w:t>Utgiftsområde 4 Rättsväsendet</w:t>
    </w:r>
    <w:r w:rsidRPr="00CF56F0">
      <w:fldChar w:fldCharType="end"/>
    </w:r>
  </w:p>
  <w:p w:rsidR="00D361DF" w:rsidRPr="00CF56F0" w:rsidRDefault="00D361DF" w:rsidP="00907BE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63973"/>
    <w:multiLevelType w:val="hybridMultilevel"/>
    <w:tmpl w:val="73ACF89A"/>
    <w:lvl w:ilvl="0" w:tplc="D48CAF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31168F"/>
    <w:multiLevelType w:val="hybridMultilevel"/>
    <w:tmpl w:val="367EF67A"/>
    <w:lvl w:ilvl="0" w:tplc="CFFA41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FD5564"/>
    <w:multiLevelType w:val="hybridMultilevel"/>
    <w:tmpl w:val="65284CDE"/>
    <w:lvl w:ilvl="0" w:tplc="56C8BB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373413">
    <w:abstractNumId w:val="16"/>
  </w:num>
  <w:num w:numId="2" w16cid:durableId="817306792">
    <w:abstractNumId w:val="11"/>
  </w:num>
  <w:num w:numId="3" w16cid:durableId="2125075811">
    <w:abstractNumId w:val="12"/>
  </w:num>
  <w:num w:numId="4" w16cid:durableId="1030104443">
    <w:abstractNumId w:val="14"/>
  </w:num>
  <w:num w:numId="5" w16cid:durableId="627394061">
    <w:abstractNumId w:val="8"/>
  </w:num>
  <w:num w:numId="6" w16cid:durableId="713768889">
    <w:abstractNumId w:val="3"/>
  </w:num>
  <w:num w:numId="7" w16cid:durableId="1334457866">
    <w:abstractNumId w:val="2"/>
  </w:num>
  <w:num w:numId="8" w16cid:durableId="1577090591">
    <w:abstractNumId w:val="1"/>
  </w:num>
  <w:num w:numId="9" w16cid:durableId="1349139283">
    <w:abstractNumId w:val="0"/>
  </w:num>
  <w:num w:numId="10" w16cid:durableId="335808869">
    <w:abstractNumId w:val="9"/>
  </w:num>
  <w:num w:numId="11" w16cid:durableId="593587249">
    <w:abstractNumId w:val="7"/>
  </w:num>
  <w:num w:numId="12" w16cid:durableId="1613900182">
    <w:abstractNumId w:val="6"/>
  </w:num>
  <w:num w:numId="13" w16cid:durableId="255138178">
    <w:abstractNumId w:val="5"/>
  </w:num>
  <w:num w:numId="14" w16cid:durableId="1075905686">
    <w:abstractNumId w:val="4"/>
  </w:num>
  <w:num w:numId="15" w16cid:durableId="241062015">
    <w:abstractNumId w:val="15"/>
  </w:num>
  <w:num w:numId="16" w16cid:durableId="1319110735">
    <w:abstractNumId w:val="13"/>
  </w:num>
  <w:num w:numId="17" w16cid:durableId="2011524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126E2"/>
    <w:rsid w:val="0004381F"/>
    <w:rsid w:val="00064BC3"/>
    <w:rsid w:val="00066775"/>
    <w:rsid w:val="00072FB9"/>
    <w:rsid w:val="00084C2D"/>
    <w:rsid w:val="00100531"/>
    <w:rsid w:val="00133E77"/>
    <w:rsid w:val="001428E2"/>
    <w:rsid w:val="001702EF"/>
    <w:rsid w:val="00201DFB"/>
    <w:rsid w:val="00204A63"/>
    <w:rsid w:val="00212FF1"/>
    <w:rsid w:val="00230193"/>
    <w:rsid w:val="0025068A"/>
    <w:rsid w:val="00273E66"/>
    <w:rsid w:val="002818D3"/>
    <w:rsid w:val="002D11A8"/>
    <w:rsid w:val="00333699"/>
    <w:rsid w:val="00405F15"/>
    <w:rsid w:val="0041560E"/>
    <w:rsid w:val="00441E94"/>
    <w:rsid w:val="00445271"/>
    <w:rsid w:val="004A0504"/>
    <w:rsid w:val="004C48BA"/>
    <w:rsid w:val="004E38D9"/>
    <w:rsid w:val="005B145B"/>
    <w:rsid w:val="005F7EED"/>
    <w:rsid w:val="00732CB7"/>
    <w:rsid w:val="00740D6D"/>
    <w:rsid w:val="00794149"/>
    <w:rsid w:val="007B67A7"/>
    <w:rsid w:val="007C6092"/>
    <w:rsid w:val="008126E2"/>
    <w:rsid w:val="008E63A4"/>
    <w:rsid w:val="008F78BE"/>
    <w:rsid w:val="00907BE5"/>
    <w:rsid w:val="00997B91"/>
    <w:rsid w:val="00A053C6"/>
    <w:rsid w:val="00B13BF0"/>
    <w:rsid w:val="00C00E15"/>
    <w:rsid w:val="00C1285C"/>
    <w:rsid w:val="00C27B7D"/>
    <w:rsid w:val="00CF56F0"/>
    <w:rsid w:val="00CF7A43"/>
    <w:rsid w:val="00D0726E"/>
    <w:rsid w:val="00D1174F"/>
    <w:rsid w:val="00D30E6B"/>
    <w:rsid w:val="00D361DF"/>
    <w:rsid w:val="00D80B21"/>
    <w:rsid w:val="00DB3773"/>
    <w:rsid w:val="00DC6C70"/>
    <w:rsid w:val="00DE4655"/>
    <w:rsid w:val="00E22893"/>
    <w:rsid w:val="00E360DE"/>
    <w:rsid w:val="00E6361E"/>
    <w:rsid w:val="00E75D28"/>
    <w:rsid w:val="00E766AA"/>
    <w:rsid w:val="00E84F25"/>
    <w:rsid w:val="00EC406F"/>
    <w:rsid w:val="00F35269"/>
    <w:rsid w:val="00F44D7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5572B-8A8B-4B72-8345-594E9756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1E94"/>
    <w:pPr>
      <w:spacing w:before="125" w:line="250" w:lineRule="atLeast"/>
      <w:jc w:val="both"/>
    </w:pPr>
    <w:rPr>
      <w:sz w:val="19"/>
      <w:lang w:val="sv-SE" w:eastAsia="sv-SE"/>
    </w:rPr>
  </w:style>
  <w:style w:type="paragraph" w:styleId="Rubrik1">
    <w:name w:val="heading 1"/>
    <w:basedOn w:val="Normal"/>
    <w:next w:val="Normal"/>
    <w:qFormat/>
    <w:rsid w:val="00441E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1E94"/>
    <w:pPr>
      <w:spacing w:before="500" w:line="250" w:lineRule="exact"/>
      <w:outlineLvl w:val="1"/>
    </w:pPr>
    <w:rPr>
      <w:sz w:val="27"/>
    </w:rPr>
  </w:style>
  <w:style w:type="paragraph" w:styleId="Rubrik3">
    <w:name w:val="heading 3"/>
    <w:aliases w:val="Mellanrubrik"/>
    <w:basedOn w:val="Rubrik2"/>
    <w:next w:val="Normal"/>
    <w:qFormat/>
    <w:rsid w:val="00441E94"/>
    <w:pPr>
      <w:spacing w:before="250" w:after="0"/>
      <w:outlineLvl w:val="2"/>
    </w:pPr>
    <w:rPr>
      <w:b/>
      <w:sz w:val="21"/>
    </w:rPr>
  </w:style>
  <w:style w:type="paragraph" w:styleId="Rubrik4">
    <w:name w:val="heading 4"/>
    <w:aliases w:val="KursivRubrik"/>
    <w:basedOn w:val="Rubrik3"/>
    <w:next w:val="Normal"/>
    <w:qFormat/>
    <w:rsid w:val="00441E94"/>
    <w:pPr>
      <w:outlineLvl w:val="3"/>
    </w:pPr>
    <w:rPr>
      <w:b w:val="0"/>
      <w:i/>
    </w:rPr>
  </w:style>
  <w:style w:type="paragraph" w:styleId="Rubrik5">
    <w:name w:val="heading 5"/>
    <w:aliases w:val="PackadFetRubrik,PackadKursivRubrik"/>
    <w:basedOn w:val="Rubrik4"/>
    <w:next w:val="Normal"/>
    <w:qFormat/>
    <w:rsid w:val="00441E94"/>
    <w:pPr>
      <w:spacing w:before="125"/>
      <w:outlineLvl w:val="4"/>
    </w:pPr>
    <w:rPr>
      <w:i w:val="0"/>
      <w:sz w:val="19"/>
    </w:rPr>
  </w:style>
  <w:style w:type="paragraph" w:styleId="Rubrik6">
    <w:name w:val="heading 6"/>
    <w:basedOn w:val="Rubrik5"/>
    <w:next w:val="Normal"/>
    <w:qFormat/>
    <w:rsid w:val="00441E94"/>
    <w:pPr>
      <w:spacing w:before="50" w:line="200" w:lineRule="exact"/>
      <w:outlineLvl w:val="5"/>
    </w:pPr>
    <w:rPr>
      <w:caps/>
      <w:sz w:val="14"/>
    </w:rPr>
  </w:style>
  <w:style w:type="paragraph" w:styleId="Rubrik7">
    <w:name w:val="heading 7"/>
    <w:basedOn w:val="Rubrik6"/>
    <w:next w:val="Normal"/>
    <w:qFormat/>
    <w:rsid w:val="00441E94"/>
    <w:pPr>
      <w:spacing w:before="0"/>
      <w:outlineLvl w:val="6"/>
    </w:pPr>
  </w:style>
  <w:style w:type="paragraph" w:styleId="Rubrik8">
    <w:name w:val="heading 8"/>
    <w:basedOn w:val="Rubrik7"/>
    <w:next w:val="Normal"/>
    <w:qFormat/>
    <w:rsid w:val="00441E94"/>
    <w:pPr>
      <w:outlineLvl w:val="7"/>
    </w:pPr>
  </w:style>
  <w:style w:type="paragraph" w:styleId="Rubrik9">
    <w:name w:val="heading 9"/>
    <w:basedOn w:val="Rubrik8"/>
    <w:next w:val="Normal"/>
    <w:qFormat/>
    <w:rsid w:val="00441E94"/>
    <w:pPr>
      <w:outlineLvl w:val="8"/>
    </w:pPr>
  </w:style>
  <w:style w:type="character" w:default="1" w:styleId="Standardstycketeckensnitt">
    <w:name w:val="Default Paragraph Font"/>
    <w:semiHidden/>
    <w:rsid w:val="00441E9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41E94"/>
  </w:style>
  <w:style w:type="paragraph" w:styleId="Normaltindrag">
    <w:name w:val="Normal Indent"/>
    <w:aliases w:val="Normal_indrag,Normal Indrag"/>
    <w:basedOn w:val="Normal"/>
    <w:rsid w:val="00441E94"/>
    <w:pPr>
      <w:spacing w:before="0"/>
      <w:ind w:firstLine="227"/>
    </w:pPr>
  </w:style>
  <w:style w:type="paragraph" w:styleId="Citat">
    <w:name w:val="Quote"/>
    <w:basedOn w:val="Normal"/>
    <w:next w:val="Normal"/>
    <w:qFormat/>
    <w:rsid w:val="00441E94"/>
    <w:pPr>
      <w:spacing w:line="200" w:lineRule="exact"/>
      <w:ind w:left="340"/>
    </w:pPr>
  </w:style>
  <w:style w:type="paragraph" w:customStyle="1" w:styleId="Citatindrag">
    <w:name w:val="Citat_indrag"/>
    <w:aliases w:val="Packad"/>
    <w:basedOn w:val="Citat"/>
    <w:rsid w:val="00441E94"/>
    <w:pPr>
      <w:spacing w:before="0"/>
      <w:ind w:firstLine="227"/>
    </w:pPr>
  </w:style>
  <w:style w:type="paragraph" w:customStyle="1" w:styleId="FSHNormal">
    <w:name w:val="FSH_Normal"/>
    <w:semiHidden/>
    <w:rsid w:val="00441E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1E94"/>
    <w:pPr>
      <w:spacing w:line="240" w:lineRule="auto"/>
    </w:pPr>
  </w:style>
  <w:style w:type="paragraph" w:customStyle="1" w:styleId="FSHNormalS5">
    <w:name w:val="FSH_NormalS5"/>
    <w:basedOn w:val="FSHNormal"/>
    <w:next w:val="FSHNormal"/>
    <w:semiHidden/>
    <w:rsid w:val="00441E94"/>
    <w:pPr>
      <w:keepNext/>
      <w:keepLines/>
      <w:widowControl/>
      <w:spacing w:before="230" w:after="520" w:line="250" w:lineRule="exact"/>
    </w:pPr>
    <w:rPr>
      <w:b/>
      <w:sz w:val="27"/>
    </w:rPr>
  </w:style>
  <w:style w:type="paragraph" w:customStyle="1" w:styleId="FSHNormL">
    <w:name w:val="FSH_NormLÖ"/>
    <w:basedOn w:val="FSHNormal"/>
    <w:next w:val="FSHNormal"/>
    <w:semiHidden/>
    <w:rsid w:val="00441E94"/>
    <w:pPr>
      <w:pBdr>
        <w:top w:val="single" w:sz="12" w:space="1" w:color="auto"/>
      </w:pBdr>
    </w:pPr>
  </w:style>
  <w:style w:type="paragraph" w:customStyle="1" w:styleId="FSHRub1">
    <w:name w:val="FSH_Rub1"/>
    <w:aliases w:val="Rubrik1_S5,Huvudrubrik"/>
    <w:basedOn w:val="FSHNormal"/>
    <w:next w:val="FSHNormal"/>
    <w:semiHidden/>
    <w:rsid w:val="00441E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1E94"/>
    <w:pPr>
      <w:spacing w:before="240" w:after="80" w:line="360" w:lineRule="exact"/>
    </w:pPr>
    <w:rPr>
      <w:sz w:val="36"/>
    </w:rPr>
  </w:style>
  <w:style w:type="paragraph" w:customStyle="1" w:styleId="FSHTitel">
    <w:name w:val="FSH_Titel"/>
    <w:aliases w:val="Dokumentrubrik"/>
    <w:basedOn w:val="FSHRub1"/>
    <w:next w:val="FSHNormal"/>
    <w:semiHidden/>
    <w:rsid w:val="00441E94"/>
    <w:pPr>
      <w:pBdr>
        <w:bottom w:val="single" w:sz="4" w:space="3" w:color="auto"/>
      </w:pBdr>
      <w:spacing w:before="0" w:after="80" w:line="400" w:lineRule="exact"/>
    </w:pPr>
    <w:rPr>
      <w:sz w:val="40"/>
    </w:rPr>
  </w:style>
  <w:style w:type="table" w:styleId="Tabellrutnt">
    <w:name w:val="Table Grid"/>
    <w:basedOn w:val="Normaltabell"/>
    <w:rsid w:val="00441E9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1428E2"/>
    <w:pPr>
      <w:spacing w:after="250"/>
    </w:pPr>
  </w:style>
  <w:style w:type="paragraph" w:customStyle="1" w:styleId="KantRubrikS5H">
    <w:name w:val="KantRubrikS5H"/>
    <w:semiHidden/>
    <w:rsid w:val="00441E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1E94"/>
    <w:pPr>
      <w:spacing w:line="200" w:lineRule="exact"/>
    </w:pPr>
  </w:style>
  <w:style w:type="paragraph" w:customStyle="1" w:styleId="KantRubrikS5V">
    <w:name w:val="KantRubrikS5V"/>
    <w:basedOn w:val="KantRubrikS5H"/>
    <w:semiHidden/>
    <w:rsid w:val="00441E94"/>
    <w:pPr>
      <w:tabs>
        <w:tab w:val="right" w:pos="1814"/>
        <w:tab w:val="left" w:pos="1899"/>
      </w:tabs>
      <w:ind w:right="0"/>
      <w:jc w:val="left"/>
    </w:pPr>
  </w:style>
  <w:style w:type="paragraph" w:customStyle="1" w:styleId="KantRubrikS5Vrad2">
    <w:name w:val="KantRubrikS5Vrad2"/>
    <w:basedOn w:val="KantRubrikS5V"/>
    <w:semiHidden/>
    <w:rsid w:val="00441E94"/>
    <w:pPr>
      <w:tabs>
        <w:tab w:val="clear" w:pos="1814"/>
        <w:tab w:val="clear" w:pos="1899"/>
        <w:tab w:val="right" w:pos="1418"/>
        <w:tab w:val="left" w:pos="1503"/>
      </w:tabs>
    </w:pPr>
  </w:style>
  <w:style w:type="paragraph" w:customStyle="1" w:styleId="Lagtext">
    <w:name w:val="Lagtext"/>
    <w:basedOn w:val="Lagtextrubrik"/>
    <w:next w:val="Lagtextindrag"/>
    <w:rsid w:val="00441E94"/>
    <w:pPr>
      <w:spacing w:before="0"/>
    </w:pPr>
    <w:rPr>
      <w:sz w:val="19"/>
    </w:rPr>
  </w:style>
  <w:style w:type="paragraph" w:customStyle="1" w:styleId="Lagtextrubrik">
    <w:name w:val="Lagtext_rubrik"/>
    <w:basedOn w:val="Normal"/>
    <w:next w:val="Normal"/>
    <w:rsid w:val="00441E94"/>
    <w:pPr>
      <w:suppressAutoHyphens/>
      <w:spacing w:line="220" w:lineRule="exact"/>
    </w:pPr>
    <w:rPr>
      <w:i/>
      <w:sz w:val="21"/>
    </w:rPr>
  </w:style>
  <w:style w:type="paragraph" w:customStyle="1" w:styleId="Lagtextindrag">
    <w:name w:val="Lagtext_indrag"/>
    <w:basedOn w:val="Lagtext"/>
    <w:rsid w:val="00441E94"/>
    <w:pPr>
      <w:ind w:firstLine="170"/>
    </w:pPr>
  </w:style>
  <w:style w:type="paragraph" w:customStyle="1" w:styleId="NormalA4fot">
    <w:name w:val="Normal_A4fot"/>
    <w:basedOn w:val="Normal"/>
    <w:semiHidden/>
    <w:rsid w:val="00441E94"/>
    <w:pPr>
      <w:spacing w:before="240" w:line="240" w:lineRule="auto"/>
      <w:jc w:val="center"/>
    </w:pPr>
  </w:style>
  <w:style w:type="paragraph" w:customStyle="1" w:styleId="NormalA4sidnr">
    <w:name w:val="Normal_A4sidnr"/>
    <w:basedOn w:val="Normal"/>
    <w:semiHidden/>
    <w:rsid w:val="00441E94"/>
    <w:pPr>
      <w:spacing w:after="240"/>
      <w:jc w:val="center"/>
    </w:pPr>
  </w:style>
  <w:style w:type="paragraph" w:customStyle="1" w:styleId="NormalS5sidnrH">
    <w:name w:val="Normal_S5sidnrH"/>
    <w:basedOn w:val="Normal"/>
    <w:semiHidden/>
    <w:rsid w:val="00441E94"/>
    <w:pPr>
      <w:spacing w:before="0" w:line="240" w:lineRule="auto"/>
      <w:ind w:right="57"/>
      <w:jc w:val="right"/>
    </w:pPr>
  </w:style>
  <w:style w:type="paragraph" w:customStyle="1" w:styleId="NormalS5sidnrV">
    <w:name w:val="Normal_S5sidnrV"/>
    <w:basedOn w:val="NormalS5sidnrH"/>
    <w:semiHidden/>
    <w:rsid w:val="00441E94"/>
    <w:pPr>
      <w:tabs>
        <w:tab w:val="right" w:pos="1814"/>
        <w:tab w:val="left" w:pos="1899"/>
      </w:tabs>
      <w:ind w:right="0"/>
      <w:jc w:val="left"/>
    </w:pPr>
  </w:style>
  <w:style w:type="paragraph" w:customStyle="1" w:styleId="Normal00">
    <w:name w:val="Normal00"/>
    <w:basedOn w:val="Normal"/>
    <w:semiHidden/>
    <w:rsid w:val="00441E94"/>
    <w:pPr>
      <w:spacing w:before="0" w:line="240" w:lineRule="auto"/>
      <w:jc w:val="left"/>
    </w:pPr>
  </w:style>
  <w:style w:type="paragraph" w:customStyle="1" w:styleId="PunktlistaBomb">
    <w:name w:val="Punktlista_Bomb"/>
    <w:aliases w:val="Bomb"/>
    <w:basedOn w:val="Normal"/>
    <w:rsid w:val="00441E94"/>
    <w:pPr>
      <w:numPr>
        <w:numId w:val="2"/>
      </w:numPr>
    </w:pPr>
  </w:style>
  <w:style w:type="paragraph" w:customStyle="1" w:styleId="PunktlistaNummer">
    <w:name w:val="Punktlista_Nummer"/>
    <w:aliases w:val="Nummerlista"/>
    <w:basedOn w:val="Normal"/>
    <w:rsid w:val="00441E94"/>
    <w:pPr>
      <w:numPr>
        <w:numId w:val="3"/>
      </w:numPr>
    </w:pPr>
  </w:style>
  <w:style w:type="paragraph" w:customStyle="1" w:styleId="PunktlistaTankstreck">
    <w:name w:val="Punktlista_Tankstreck"/>
    <w:aliases w:val="Tankstreck"/>
    <w:basedOn w:val="Normal"/>
    <w:rsid w:val="00441E94"/>
    <w:pPr>
      <w:numPr>
        <w:numId w:val="4"/>
      </w:numPr>
    </w:pPr>
  </w:style>
  <w:style w:type="paragraph" w:customStyle="1" w:styleId="RubrikSammanf">
    <w:name w:val="RubrikSammanf"/>
    <w:basedOn w:val="Rubrik1"/>
    <w:next w:val="Normal"/>
    <w:rsid w:val="00441E94"/>
  </w:style>
  <w:style w:type="paragraph" w:customStyle="1" w:styleId="RubrikInnehllsf">
    <w:name w:val="RubrikInnehållsf"/>
    <w:basedOn w:val="RubrikSammanf"/>
    <w:next w:val="Normal"/>
    <w:rsid w:val="00441E94"/>
  </w:style>
  <w:style w:type="paragraph" w:customStyle="1" w:styleId="Tabellochbildrubrik">
    <w:name w:val="Tabell och bildrubrik"/>
    <w:basedOn w:val="Normal"/>
    <w:next w:val="Normal"/>
    <w:rsid w:val="00441E94"/>
    <w:pPr>
      <w:suppressAutoHyphens/>
      <w:spacing w:before="300" w:line="200" w:lineRule="exact"/>
      <w:jc w:val="left"/>
    </w:pPr>
    <w:rPr>
      <w:caps/>
      <w:sz w:val="14"/>
    </w:rPr>
  </w:style>
  <w:style w:type="paragraph" w:customStyle="1" w:styleId="Underskrifter">
    <w:name w:val="Underskrifter"/>
    <w:basedOn w:val="Normal"/>
    <w:rsid w:val="00441E94"/>
    <w:pPr>
      <w:keepNext/>
      <w:keepLines/>
      <w:suppressAutoHyphens/>
      <w:spacing w:before="0" w:after="40" w:line="250" w:lineRule="exact"/>
    </w:pPr>
    <w:rPr>
      <w:i/>
    </w:rPr>
  </w:style>
  <w:style w:type="paragraph" w:customStyle="1" w:styleId="UnderskriftDatum">
    <w:name w:val="UnderskriftDatum"/>
    <w:basedOn w:val="Underskrifter"/>
    <w:next w:val="Underskrifter"/>
    <w:rsid w:val="00441E94"/>
    <w:pPr>
      <w:spacing w:before="250" w:after="125"/>
    </w:pPr>
    <w:rPr>
      <w:i w:val="0"/>
    </w:rPr>
  </w:style>
  <w:style w:type="paragraph" w:styleId="Sidhuvud">
    <w:name w:val="header"/>
    <w:basedOn w:val="Normal"/>
    <w:semiHidden/>
    <w:rsid w:val="00441E94"/>
    <w:pPr>
      <w:tabs>
        <w:tab w:val="center" w:pos="4536"/>
        <w:tab w:val="right" w:pos="9072"/>
      </w:tabs>
    </w:pPr>
  </w:style>
  <w:style w:type="paragraph" w:styleId="Sidfot">
    <w:name w:val="footer"/>
    <w:basedOn w:val="Normal"/>
    <w:semiHidden/>
    <w:rsid w:val="00441E94"/>
    <w:pPr>
      <w:tabs>
        <w:tab w:val="center" w:pos="4536"/>
        <w:tab w:val="right" w:pos="9072"/>
      </w:tabs>
    </w:pPr>
  </w:style>
  <w:style w:type="paragraph" w:styleId="Innehll1">
    <w:name w:val="toc 1"/>
    <w:basedOn w:val="Normal"/>
    <w:next w:val="Innehll2"/>
    <w:semiHidden/>
    <w:rsid w:val="00441E94"/>
    <w:pPr>
      <w:tabs>
        <w:tab w:val="right" w:leader="dot" w:pos="5953"/>
      </w:tabs>
      <w:suppressAutoHyphens/>
      <w:spacing w:before="0"/>
      <w:ind w:right="567"/>
      <w:jc w:val="left"/>
    </w:pPr>
  </w:style>
  <w:style w:type="paragraph" w:styleId="Innehll2">
    <w:name w:val="toc 2"/>
    <w:basedOn w:val="Innehll1"/>
    <w:next w:val="Innehll3"/>
    <w:semiHidden/>
    <w:rsid w:val="00441E94"/>
    <w:pPr>
      <w:ind w:left="284"/>
    </w:pPr>
  </w:style>
  <w:style w:type="paragraph" w:styleId="Innehll3">
    <w:name w:val="toc 3"/>
    <w:basedOn w:val="Innehll2"/>
    <w:next w:val="Innehll4"/>
    <w:semiHidden/>
    <w:rsid w:val="00441E94"/>
    <w:pPr>
      <w:ind w:left="567"/>
    </w:pPr>
  </w:style>
  <w:style w:type="paragraph" w:styleId="Innehll4">
    <w:name w:val="toc 4"/>
    <w:basedOn w:val="Innehll3"/>
    <w:next w:val="Normal"/>
    <w:semiHidden/>
    <w:rsid w:val="00441E94"/>
  </w:style>
  <w:style w:type="paragraph" w:customStyle="1" w:styleId="Hemstlatt">
    <w:name w:val="Hemstl_att"/>
    <w:aliases w:val="HemstPunkt,HemstPunktFlera,HemställansPunkt,Förslagstext"/>
    <w:basedOn w:val="Normal"/>
    <w:next w:val="Normal"/>
    <w:rsid w:val="00907BE5"/>
    <w:pPr>
      <w:keepLines/>
      <w:numPr>
        <w:numId w:val="17"/>
      </w:numPr>
      <w:spacing w:before="0"/>
    </w:pPr>
  </w:style>
  <w:style w:type="paragraph" w:styleId="Datum">
    <w:name w:val="Date"/>
    <w:basedOn w:val="Normal"/>
    <w:next w:val="Normal"/>
    <w:semiHidden/>
    <w:rsid w:val="00441E94"/>
  </w:style>
  <w:style w:type="character" w:styleId="Hyperlnk">
    <w:name w:val="Hyperlink"/>
    <w:basedOn w:val="Standardstycketeckensnitt"/>
    <w:semiHidden/>
    <w:rsid w:val="00441E94"/>
    <w:rPr>
      <w:color w:val="0000FF"/>
      <w:u w:val="single"/>
    </w:rPr>
  </w:style>
  <w:style w:type="paragraph" w:styleId="Indragetstycke">
    <w:name w:val="Block Text"/>
    <w:basedOn w:val="Normal"/>
    <w:semiHidden/>
    <w:rsid w:val="00441E94"/>
    <w:pPr>
      <w:spacing w:after="120"/>
      <w:ind w:left="1440" w:right="1440"/>
    </w:pPr>
  </w:style>
  <w:style w:type="paragraph" w:styleId="Innehll5">
    <w:name w:val="toc 5"/>
    <w:basedOn w:val="Innehll4"/>
    <w:next w:val="Normal"/>
    <w:semiHidden/>
    <w:rsid w:val="00441E94"/>
  </w:style>
  <w:style w:type="paragraph" w:styleId="Lista">
    <w:name w:val="List"/>
    <w:basedOn w:val="Normal"/>
    <w:semiHidden/>
    <w:rsid w:val="00441E94"/>
    <w:pPr>
      <w:ind w:left="283" w:hanging="283"/>
    </w:pPr>
  </w:style>
  <w:style w:type="paragraph" w:styleId="Normalwebb">
    <w:name w:val="Normal (Web)"/>
    <w:basedOn w:val="Normal"/>
    <w:semiHidden/>
    <w:rsid w:val="00441E94"/>
    <w:rPr>
      <w:szCs w:val="24"/>
    </w:rPr>
  </w:style>
  <w:style w:type="paragraph" w:styleId="Numreradlista">
    <w:name w:val="List Number"/>
    <w:basedOn w:val="Normal"/>
    <w:semiHidden/>
    <w:rsid w:val="00441E94"/>
    <w:pPr>
      <w:numPr>
        <w:numId w:val="5"/>
      </w:numPr>
    </w:pPr>
  </w:style>
  <w:style w:type="paragraph" w:styleId="Punktlista">
    <w:name w:val="List Bullet"/>
    <w:basedOn w:val="Normal"/>
    <w:semiHidden/>
    <w:rsid w:val="00441E94"/>
    <w:pPr>
      <w:numPr>
        <w:numId w:val="10"/>
      </w:numPr>
    </w:pPr>
  </w:style>
  <w:style w:type="character" w:styleId="Radnummer">
    <w:name w:val="line number"/>
    <w:basedOn w:val="Standardstycketeckensnitt"/>
    <w:semiHidden/>
    <w:rsid w:val="00441E94"/>
  </w:style>
  <w:style w:type="character" w:styleId="Sidnummer">
    <w:name w:val="page number"/>
    <w:basedOn w:val="Standardstycketeckensnitt"/>
    <w:semiHidden/>
    <w:rsid w:val="00441E94"/>
  </w:style>
  <w:style w:type="paragraph" w:styleId="Signatur">
    <w:name w:val="Signature"/>
    <w:basedOn w:val="Normal"/>
    <w:semiHidden/>
    <w:rsid w:val="00441E94"/>
    <w:pPr>
      <w:ind w:left="4252"/>
    </w:pPr>
  </w:style>
  <w:style w:type="paragraph" w:styleId="Underrubrik">
    <w:name w:val="Subtitle"/>
    <w:basedOn w:val="Normal"/>
    <w:qFormat/>
    <w:rsid w:val="00441E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2218</Words>
  <Characters>14065</Characters>
  <Application>Microsoft Office Word</Application>
  <DocSecurity>4</DocSecurity>
  <Lines>265</Lines>
  <Paragraphs>81</Paragraphs>
  <ScaleCrop>false</ScaleCrop>
  <HeadingPairs>
    <vt:vector size="2" baseType="variant">
      <vt:variant>
        <vt:lpstr>Rubrik</vt:lpstr>
      </vt:variant>
      <vt:variant>
        <vt:i4>1</vt:i4>
      </vt:variant>
    </vt:vector>
  </HeadingPairs>
  <TitlesOfParts>
    <vt:vector size="1" baseType="lpstr">
      <vt:lpstr>Ju559</vt:lpstr>
    </vt:vector>
  </TitlesOfParts>
  <Company>Riksdagen</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Ju559</dc:title>
  <dc:subject>Ju559</dc:subject>
  <dc:creator>Riksdagen</dc:creator>
  <cp:keywords>Riksdagen</cp:keywords>
  <dc:description/>
  <cp:lastModifiedBy>Lars Brink</cp:lastModifiedBy>
  <cp:revision>2</cp:revision>
  <cp:lastPrinted>2006-01-23T11:16:00Z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Ju559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20052006000000000109000001590075</vt:lpwstr>
  </property>
  <property fmtid="{D5CDD505-2E9C-101B-9397-08002B2CF9AE}" pid="47" name="datum">
    <vt:lpwstr>051004</vt:lpwstr>
  </property>
  <property fmtid="{D5CDD505-2E9C-101B-9397-08002B2CF9AE}" pid="48" name="avsändar-e-post">
    <vt:lpwstr>birgitta.svensen.gronkvist@riksdagen.se</vt:lpwstr>
  </property>
  <property fmtid="{D5CDD505-2E9C-101B-9397-08002B2CF9AE}" pid="49" name="id">
    <vt:lpwstr>20052006000000000109000001590075</vt:lpwstr>
  </property>
  <property fmtid="{D5CDD505-2E9C-101B-9397-08002B2CF9AE}" pid="50" name="nummer">
    <vt:lpwstr>559</vt:lpwstr>
  </property>
  <property fmtid="{D5CDD505-2E9C-101B-9397-08002B2CF9AE}" pid="51" name="utskottsbeteckning">
    <vt:lpwstr>Ju</vt:lpwstr>
  </property>
</Properties>
</file>