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141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5 september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Fredrik Ahlstedt (M) </w:t>
            </w:r>
            <w:r>
              <w:rPr>
                <w:rtl w:val="0"/>
              </w:rPr>
              <w:t>fr.o.m. den 29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Johanna Hornberger (M) </w:t>
            </w:r>
            <w:r>
              <w:rPr>
                <w:rtl w:val="0"/>
              </w:rPr>
              <w:t>som ersättare i riksdagen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Christian Lindefjärd (SD) </w:t>
            </w:r>
            <w:r>
              <w:rPr>
                <w:rtl w:val="0"/>
              </w:rPr>
              <w:t>som suppleant i finansutskottet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Finansminister Elisabeth Svantesson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2023/24:792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 jämställdhet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2023/24:833 av Fredrik Olovsson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nytt skatteavtal med Portugal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Jessika Roswall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2023/24:827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 på EU-nivå mot anonym påverkan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2023/24:830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2023/24:835 av Nima Gholam Ali Pour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Skattemedel till islamister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Erik Slottner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2023/24:834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Hot mot den lokala demokratin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Carl-Oskar Bohlin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2023/24:816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Samhällets beredskap mot påverkanskampanjer och vilseledande information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5 september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2024-09-05</SAFIR_Sammantradesdatum_Doc>
    <SAFIR_SammantradeID xmlns="C07A1A6C-0B19-41D9-BDF8-F523BA3921EB">233a9e22-9691-423f-a373-9ed15bb5e7b1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A2972E80-BD18-4051-9BDC-26A7AE16F71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5 september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