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01B62">
        <w:tblPrEx>
          <w:tblCellMar>
            <w:top w:w="0" w:type="dxa"/>
            <w:left w:w="0" w:type="dxa"/>
            <w:bottom w:w="0" w:type="dxa"/>
            <w:right w:w="0" w:type="dxa"/>
          </w:tblCellMar>
        </w:tblPrEx>
        <w:trPr>
          <w:gridAfter w:val="2"/>
          <w:wAfter w:w="1758" w:type="dxa"/>
          <w:cantSplit/>
          <w:trHeight w:val="1320"/>
        </w:trPr>
        <w:tc>
          <w:tcPr>
            <w:tcW w:w="5897" w:type="dxa"/>
          </w:tcPr>
          <w:p w:rsidR="00A01B62" w:rsidRPr="00A01B62" w:rsidRDefault="00A01B62">
            <w:pPr>
              <w:pStyle w:val="HuvudRubrik"/>
            </w:pPr>
            <w:r w:rsidRPr="00A01B62">
              <w:t>Regeringskansliet</w:t>
            </w:r>
          </w:p>
          <w:p w:rsidR="00A01B62" w:rsidRPr="00A01B62" w:rsidRDefault="00A01B62">
            <w:pPr>
              <w:pStyle w:val="HuvudRubrik"/>
            </w:pPr>
            <w:r w:rsidRPr="00A01B62">
              <w:t>Faktapromemoria  2008/09:FPM16</w:t>
            </w:r>
          </w:p>
        </w:tc>
      </w:tr>
      <w:tr w:rsidR="00000000" w:rsidRPr="00A01B62">
        <w:tblPrEx>
          <w:tblCellMar>
            <w:top w:w="0" w:type="dxa"/>
            <w:left w:w="0" w:type="dxa"/>
            <w:bottom w:w="0" w:type="dxa"/>
            <w:right w:w="0" w:type="dxa"/>
          </w:tblCellMar>
        </w:tblPrEx>
        <w:trPr>
          <w:gridAfter w:val="2"/>
          <w:wAfter w:w="1758" w:type="dxa"/>
          <w:cantSplit/>
          <w:trHeight w:val="240"/>
        </w:trPr>
        <w:tc>
          <w:tcPr>
            <w:tcW w:w="5897" w:type="dxa"/>
          </w:tcPr>
          <w:p w:rsidR="00A01B62" w:rsidRPr="00A01B62" w:rsidRDefault="00A01B62">
            <w:pPr>
              <w:pStyle w:val="HuvudRubrik"/>
              <w:rPr>
                <w:sz w:val="28"/>
              </w:rPr>
            </w:pPr>
            <w:r w:rsidRPr="00A01B62">
              <w:t>Utrustning för spridning av bekämpningsmedel (ändring av maskindirektivet)</w:t>
            </w:r>
          </w:p>
        </w:tc>
      </w:tr>
      <w:tr w:rsidR="00000000" w:rsidRPr="00A01B62">
        <w:tblPrEx>
          <w:tblCellMar>
            <w:top w:w="0" w:type="dxa"/>
            <w:left w:w="0" w:type="dxa"/>
            <w:bottom w:w="0" w:type="dxa"/>
            <w:right w:w="0" w:type="dxa"/>
          </w:tblCellMar>
        </w:tblPrEx>
        <w:trPr>
          <w:cantSplit/>
          <w:trHeight w:val="285"/>
        </w:trPr>
        <w:tc>
          <w:tcPr>
            <w:tcW w:w="7655" w:type="dxa"/>
            <w:gridSpan w:val="3"/>
          </w:tcPr>
          <w:p w:rsidR="00A01B62" w:rsidRPr="00A01B62" w:rsidRDefault="00A01B62">
            <w:pPr>
              <w:pStyle w:val="Departement"/>
              <w:rPr>
                <w:sz w:val="28"/>
              </w:rPr>
            </w:pPr>
            <w:r w:rsidRPr="00A01B62">
              <w:t>Arbetsmarknadsdepartementet, Näringsdepartementet</w:t>
            </w:r>
          </w:p>
        </w:tc>
      </w:tr>
      <w:tr w:rsidR="00000000" w:rsidRPr="00A01B62">
        <w:tblPrEx>
          <w:tblCellMar>
            <w:top w:w="0" w:type="dxa"/>
            <w:left w:w="0" w:type="dxa"/>
            <w:bottom w:w="0" w:type="dxa"/>
            <w:right w:w="0" w:type="dxa"/>
          </w:tblCellMar>
        </w:tblPrEx>
        <w:trPr>
          <w:cantSplit/>
          <w:trHeight w:val="240"/>
        </w:trPr>
        <w:tc>
          <w:tcPr>
            <w:tcW w:w="7655" w:type="dxa"/>
            <w:gridSpan w:val="3"/>
          </w:tcPr>
          <w:p w:rsidR="00A01B62" w:rsidRPr="00A01B62" w:rsidRDefault="00A01B62">
            <w:pPr>
              <w:pStyle w:val="Dokumentdatum"/>
            </w:pPr>
            <w:r w:rsidRPr="00A01B62">
              <w:t>2008-10-15</w:t>
            </w:r>
          </w:p>
        </w:tc>
      </w:tr>
      <w:tr w:rsidR="00000000" w:rsidRPr="00A01B62">
        <w:tblPrEx>
          <w:tblCellMar>
            <w:top w:w="0" w:type="dxa"/>
            <w:left w:w="0" w:type="dxa"/>
            <w:bottom w:w="0" w:type="dxa"/>
            <w:right w:w="0" w:type="dxa"/>
          </w:tblCellMar>
        </w:tblPrEx>
        <w:trPr>
          <w:cantSplit/>
          <w:trHeight w:val="726"/>
        </w:trPr>
        <w:tc>
          <w:tcPr>
            <w:tcW w:w="7655" w:type="dxa"/>
            <w:gridSpan w:val="3"/>
            <w:vAlign w:val="bottom"/>
          </w:tcPr>
          <w:p w:rsidR="00A01B62" w:rsidRPr="00A01B62" w:rsidRDefault="00A01B62">
            <w:pPr>
              <w:pStyle w:val="Dokumentbeteckning"/>
            </w:pPr>
            <w:r w:rsidRPr="00A01B62">
              <w:t>Dokumentbeteckning</w:t>
            </w:r>
          </w:p>
        </w:tc>
      </w:tr>
      <w:tr w:rsidR="00000000" w:rsidRPr="00A01B62">
        <w:tblPrEx>
          <w:tblCellMar>
            <w:top w:w="0" w:type="dxa"/>
            <w:left w:w="0" w:type="dxa"/>
            <w:bottom w:w="0" w:type="dxa"/>
            <w:right w:w="0" w:type="dxa"/>
          </w:tblCellMar>
        </w:tblPrEx>
        <w:trPr>
          <w:gridAfter w:val="1"/>
          <w:wAfter w:w="1560" w:type="dxa"/>
          <w:trHeight w:val="120"/>
        </w:trPr>
        <w:tc>
          <w:tcPr>
            <w:tcW w:w="6095" w:type="dxa"/>
            <w:gridSpan w:val="2"/>
          </w:tcPr>
          <w:p w:rsidR="00A01B62" w:rsidRPr="00A01B62" w:rsidRDefault="00A01B62">
            <w:bookmarkStart w:id="0" w:name="KomNr"/>
            <w:bookmarkEnd w:id="0"/>
            <w:r w:rsidRPr="00A01B62">
              <w:t>KOM(2008) 535 slutlig</w:t>
            </w:r>
          </w:p>
        </w:tc>
      </w:tr>
      <w:tr w:rsidR="00000000" w:rsidRPr="00A01B62">
        <w:tblPrEx>
          <w:tblCellMar>
            <w:top w:w="0" w:type="dxa"/>
            <w:left w:w="0" w:type="dxa"/>
            <w:bottom w:w="0" w:type="dxa"/>
            <w:right w:w="0" w:type="dxa"/>
          </w:tblCellMar>
        </w:tblPrEx>
        <w:trPr>
          <w:gridAfter w:val="1"/>
          <w:wAfter w:w="1560" w:type="dxa"/>
          <w:trHeight w:val="120"/>
        </w:trPr>
        <w:tc>
          <w:tcPr>
            <w:tcW w:w="6095" w:type="dxa"/>
            <w:gridSpan w:val="2"/>
          </w:tcPr>
          <w:p w:rsidR="00A01B62" w:rsidRPr="00A01B62" w:rsidRDefault="00A01B62">
            <w:pPr>
              <w:pStyle w:val="Dokumentbeteckning-titel"/>
            </w:pPr>
            <w:r w:rsidRPr="00A01B62">
              <w:t>Förslag till Europaparlamentets och rådets direktiv om maskiner för spridning av bekämpningsmedel och om ändring av direktiv 2006/42/EG av den 17 maj 2006 om maskiner</w:t>
            </w:r>
          </w:p>
        </w:tc>
      </w:tr>
    </w:tbl>
    <w:p w:rsidR="00A01B62" w:rsidRPr="00A01B62" w:rsidRDefault="00A01B62"/>
    <w:p w:rsidR="00A01B62" w:rsidRPr="00A01B62" w:rsidRDefault="00A01B62">
      <w:pPr>
        <w:pStyle w:val="Rubrik1"/>
        <w:numPr>
          <w:ilvl w:val="0"/>
          <w:numId w:val="0"/>
        </w:numPr>
      </w:pPr>
      <w:r w:rsidRPr="00A01B62">
        <w:t>Sammanfattning</w:t>
      </w:r>
    </w:p>
    <w:p w:rsidR="00A01B62" w:rsidRPr="00A01B62" w:rsidRDefault="00A01B62">
      <w:r w:rsidRPr="00A01B62">
        <w:t>Europeiska kommissionen har den 8 september 2008 lagt fram ett förslag till en ändring av det s.k. maskindirektivet</w:t>
      </w:r>
      <w:r w:rsidRPr="00A01B62">
        <w:rPr>
          <w:rStyle w:val="Fotnotsreferens"/>
        </w:rPr>
        <w:footnoteReference w:id="1"/>
      </w:r>
      <w:r w:rsidRPr="00A01B62">
        <w:t>. Den rättsliga grunden för förslaget är artikel 95. Bakgrunden till förslaget är kommissionens sjätte miljöhandlingsprogram</w:t>
      </w:r>
      <w:r w:rsidRPr="00A01B62">
        <w:rPr>
          <w:rStyle w:val="Fotnotsreferens"/>
        </w:rPr>
        <w:footnoteReference w:id="2"/>
      </w:r>
      <w:r w:rsidRPr="00A01B62">
        <w:t xml:space="preserve"> och en Temainriktad strategi för hållbar användning av bekämpningsmedel</w:t>
      </w:r>
      <w:r w:rsidRPr="00A01B62">
        <w:rPr>
          <w:rStyle w:val="Fotnotsreferens"/>
        </w:rPr>
        <w:footnoteReference w:id="3"/>
      </w:r>
      <w:r w:rsidRPr="00A01B62">
        <w:t xml:space="preserve">. Förslaget innebär att det i maskindirektivet förs in grundläggande miljöskyddskrav för ny utrustning för spridning av bekämpningsmedel, vilka ska gälla för att sådan utrustning ska få släppas ut på marknaden. Detta sker genom att artiklarna 2, 4.1, 9.3 och 11.1 samt bilaga I föreslås ändras. </w:t>
      </w:r>
    </w:p>
    <w:p w:rsidR="00A01B62" w:rsidRPr="00A01B62" w:rsidRDefault="00A01B62">
      <w:r w:rsidRPr="00A01B62">
        <w:t>Regeringen har en positiv inställning till den aktuella åtgärden för att stärka skyddet av den yttre miljön vid spridning av bekämpningsmedel, dvs. att  miljökrav införs för spridningsutrustning för att sådan utrustn</w:t>
      </w:r>
      <w:r w:rsidRPr="00A01B62">
        <w:t>ing ska få släp</w:t>
      </w:r>
      <w:r w:rsidRPr="00A01B62">
        <w:lastRenderedPageBreak/>
        <w:t>pas ut på marknaden, och att det sker i maskindirektivet. Det är samtidigt angeläget att utvidgningen av kraven i maskindirektivet till att omfatta även miljökrav begränsas till det nu aktuella slaget av maskiner.</w:t>
      </w:r>
    </w:p>
    <w:p w:rsidR="00A01B62" w:rsidRPr="00A01B62" w:rsidRDefault="00A01B62">
      <w:pPr>
        <w:pStyle w:val="Rubrik1"/>
      </w:pPr>
      <w:r w:rsidRPr="00A01B62">
        <w:t>Förslaget</w:t>
      </w:r>
    </w:p>
    <w:p w:rsidR="00A01B62" w:rsidRPr="00A01B62" w:rsidRDefault="00A01B62">
      <w:pPr>
        <w:pStyle w:val="Rubrik2"/>
      </w:pPr>
      <w:r w:rsidRPr="00A01B62">
        <w:t>Ärendets bakgrund</w:t>
      </w:r>
    </w:p>
    <w:p w:rsidR="00A01B62" w:rsidRPr="00A01B62" w:rsidRDefault="00A01B62">
      <w:r w:rsidRPr="00A01B62">
        <w:t>I gemenskapens sjätte miljöhandlingsprogram anges att bekämpningsmedlens inverkan på människors hälsa och på miljön måste minskas ytterligare. Riskerna för människors hälsa och miljön som är kopplade till användningen ska reduceras, dock utan att därmed ge avkall på det växtskydd som behövs. Därefter har kommissionen antagit den Temainriktade strategin och föreslagit ett parlaments- och rådsdirektiv om upprättande av en ram för gemenskapsåtgärder som syftar till att genomföra strategin</w:t>
      </w:r>
      <w:r w:rsidRPr="00A01B62">
        <w:rPr>
          <w:rStyle w:val="Fotnotsreferens"/>
        </w:rPr>
        <w:footnoteReference w:id="4"/>
      </w:r>
      <w:r w:rsidRPr="00A01B62">
        <w:t>. I strategin angavs också att kommissionen avsåg att lägga fram ett förslag till direktiv med miljöskyddskrav på ny utrustning för spridning av bekämpningsmedel och att detta eventuellt kunde ske inom ramen för maskindirektivet. Spridningsutrustning omfattas redan i dag av maskindirektivets tillämpningsområde.</w:t>
      </w:r>
    </w:p>
    <w:p w:rsidR="00A01B62" w:rsidRPr="00A01B62" w:rsidRDefault="00A01B62">
      <w:r w:rsidRPr="00A01B62">
        <w:t xml:space="preserve"> </w:t>
      </w:r>
    </w:p>
    <w:p w:rsidR="00A01B62" w:rsidRPr="00A01B62" w:rsidRDefault="00A01B62">
      <w:pPr>
        <w:pStyle w:val="Rubrik2"/>
      </w:pPr>
      <w:r w:rsidRPr="00A01B62">
        <w:t>Förslagets innehåll</w:t>
      </w:r>
    </w:p>
    <w:p w:rsidR="00A01B62" w:rsidRPr="00A01B62" w:rsidRDefault="00A01B62">
      <w:r w:rsidRPr="00A01B62">
        <w:t>Förslaget innebär att artiklarna 2, 4.1, 9.3 och 11.1 samt bilaga I i maskindirektivet ändras. Ändringarna av artiklarna syftar till att utvidga direktivets grundläggande hälso- och säkerhetskrav till miljöskyddskrav såvitt avser utrustning för spridning av bekämpningsmedel.</w:t>
      </w:r>
    </w:p>
    <w:p w:rsidR="00A01B62" w:rsidRPr="00A01B62" w:rsidRDefault="00A01B62">
      <w:r w:rsidRPr="00A01B62">
        <w:t>I artikel 2 Definitioner införs en ny punkt m) med en definition av begreppet grundläggande hälso- och säkerhetskrav i vilken även, i förekommande fall, skydd av miljön inbegrips. Lokutionen ”i förekommande fall” är införd för att ange att miljöskyddskraven endast gäller där det införts sådana krav i direktivet, dvs. i bilaga I. Sådana krav ska därmed endast gälla för spridningsutrustning.</w:t>
      </w:r>
    </w:p>
    <w:p w:rsidR="00A01B62" w:rsidRPr="00A01B62" w:rsidRDefault="00A01B62">
      <w:r w:rsidRPr="00A01B62">
        <w:t>I artikel 4.1 om marknadskontroll införs ”i förekommande fall …eller miljön” för att ange att maskiner, för vilka införs miljöskyddskrav, inte heller får äventyra miljön.</w:t>
      </w:r>
    </w:p>
    <w:p w:rsidR="00A01B62" w:rsidRPr="00A01B62" w:rsidRDefault="00A01B62">
      <w:r w:rsidRPr="00A01B62">
        <w:t>I artikel 9.3 om ”särskilda åtgärder avseende potentiellt riskfyllda maskiner” införs att även skyddet av miljön ska i förekommande fall säkerställas genom de åtgärder som ska vidtas.</w:t>
      </w:r>
    </w:p>
    <w:p w:rsidR="00A01B62" w:rsidRPr="00A01B62" w:rsidRDefault="00A01B62">
      <w:r w:rsidRPr="00A01B62">
        <w:t>I artikel 11.1, direktivets skyddsklausul som ger möjlighet och skyldighet att ingripa mot bristfälliga och riskfyllda maskiner, införs också skyddet av miljön som ett skyddsändamål.</w:t>
      </w:r>
    </w:p>
    <w:p w:rsidR="00A01B62" w:rsidRPr="00A01B62" w:rsidRDefault="00A01B62">
      <w:r w:rsidRPr="00A01B62">
        <w:t>I bilaga I föreslås följande ändringar:</w:t>
      </w:r>
    </w:p>
    <w:p w:rsidR="00A01B62" w:rsidRPr="00A01B62" w:rsidRDefault="00A01B62">
      <w:r w:rsidRPr="00A01B62">
        <w:t xml:space="preserve">Under ”Allmänna principer” infogas i 1. tredje strecksatsen om riskbedömning ”i förekommande fall även skador på miljön”. </w:t>
      </w:r>
    </w:p>
    <w:p w:rsidR="00A01B62" w:rsidRPr="00A01B62" w:rsidRDefault="00A01B62">
      <w:r w:rsidRPr="00A01B62">
        <w:t>Under ”2. Ytterligare grundläggande hälso- och säkerhetskrav för vissa maskinkategorier” läggs i den inledande uppräkningen av olika maskinkategorier till ”maskiner för spridning av bekämpningsmedel”. Vidare läggs till ett nytt avsnitt 2.4 med särskilda grundläggande hälso- och säkerhetskrav, inriktade på skyddet av miljön, för sådana maskiner.</w:t>
      </w:r>
    </w:p>
    <w:p w:rsidR="00A01B62" w:rsidRPr="00A01B62" w:rsidRDefault="00A01B62">
      <w:pPr>
        <w:rPr>
          <w:rFonts w:ascii="Courier" w:hAnsi="Courier" w:cs="Courier"/>
          <w:color w:val="000000"/>
          <w:sz w:val="20"/>
        </w:rPr>
      </w:pPr>
      <w:r w:rsidRPr="00A01B62">
        <w:t xml:space="preserve">I dessa särskilda krav anges hur nu aktuella maskiner måste vara konstruerade och tillverkade så att de kan manövreras, regleras och underhållas så att onödig påverkan på människa och miljö kan undvikas. Kraven avser bl.a. styrfunktioner och kontroll, påfyllning och tömning, risk för oavsiktligt spill, möjligheter till säker rengöring, spridning, utmatning, fördelning och dosering av bekämpningsmedel samt underhåll. </w:t>
      </w:r>
    </w:p>
    <w:p w:rsidR="00A01B62" w:rsidRPr="00A01B62" w:rsidRDefault="00A01B62">
      <w:pPr>
        <w:pStyle w:val="Rubrik2"/>
      </w:pPr>
      <w:r w:rsidRPr="00A01B62">
        <w:t>Gällande svenska regler och förslagets effekt på dessa</w:t>
      </w:r>
    </w:p>
    <w:p w:rsidR="00A01B62" w:rsidRPr="00A01B62" w:rsidRDefault="00A01B62">
      <w:pPr>
        <w:jc w:val="left"/>
      </w:pPr>
      <w:r w:rsidRPr="00A01B62">
        <w:t>Maskindirektivet, direktiv 2006/42/EG, har genomförts genom arbetsmiljölagen (1977:1160), lagen (1992:1534) om CE-märkning, lagen (1992:1119) om teknisk kontroll, förvaltningslagen (1986:223), sekretesslagen (1980:100) och lagen (1990:409) om skydd för företagshemligheter samt genom ett antal förordningar, bl.a. förordningen (2005:893) om marknadskontroll, förordningen (2005:894) om teknisk kontroll, och  Arbetsmiljöverkets föreskrifter (AFS 2008:3) om maskiner, Styrelsens för ackreditering och teknisk kon</w:t>
      </w:r>
      <w:r w:rsidRPr="00A01B62">
        <w:t>troll (SWEDAC) föreskrifter (STAFS 2002:6) för  uppgifter i samband med bedömning av överensstämmelse under EG-rättsliga bestämmelser och Boverkets föreskrifter (BFS 1994:25) om hissar och vissa andra motordrivna anordningar.</w:t>
      </w:r>
    </w:p>
    <w:p w:rsidR="00A01B62" w:rsidRPr="00A01B62" w:rsidRDefault="00A01B62">
      <w:pPr>
        <w:rPr>
          <w:szCs w:val="19"/>
        </w:rPr>
      </w:pPr>
      <w:r w:rsidRPr="00A01B62">
        <w:t xml:space="preserve">Bestämmelser om funktionskontroll av besprutningsutrustning under användning är av intresse i sammanhanget även om de inte anger krav på spridningsutrustning när sådan utrustning ska släppas ut på marknaden. Sådana bestämmelser finns i </w:t>
      </w:r>
      <w:r w:rsidRPr="00A01B62">
        <w:rPr>
          <w:szCs w:val="19"/>
        </w:rPr>
        <w:t>Statens jordbruksverks föreskrifter och allmänna råd (SJVFS 2006:18) om statsbidrag m.m. för funktionstest av lantbrukssprutor som har meddelats med stöd av en f</w:t>
      </w:r>
      <w:r w:rsidRPr="00A01B62">
        <w:t>örordning (1987:1179) om statsbidrag till företag som utför funktionstest av lantbrukssprutor</w:t>
      </w:r>
      <w:r w:rsidRPr="00A01B62">
        <w:rPr>
          <w:szCs w:val="19"/>
        </w:rPr>
        <w:t xml:space="preserve">. </w:t>
      </w:r>
    </w:p>
    <w:p w:rsidR="00A01B62" w:rsidRPr="00A01B62" w:rsidRDefault="00A01B62">
      <w:r w:rsidRPr="00A01B62">
        <w:t>Om förslaget till direktiv antas bedöms ändringar behöva göras i framförallt Arbetsmiljöverkets föreskrifter om maskiner.</w:t>
      </w:r>
    </w:p>
    <w:p w:rsidR="00A01B62" w:rsidRPr="00A01B62" w:rsidRDefault="00A01B62">
      <w:pPr>
        <w:pStyle w:val="Rubrik2"/>
      </w:pPr>
      <w:r w:rsidRPr="00A01B62">
        <w:t>Budgetära konsekvenser / Konsekvensanalys</w:t>
      </w:r>
    </w:p>
    <w:p w:rsidR="00A01B62" w:rsidRPr="00A01B62" w:rsidRDefault="00A01B62">
      <w:r w:rsidRPr="00A01B62">
        <w:t>EU-budgeten bedöms inte påverkas av förslaget (se kommissionens konsekvensanalys och budgetbedömning under Motivering i KOM(2008) 535 slutlig). De samhällsekonomiska konsekvenserna bedöms som mycket begränsade. I Sverige finns endast två mindre tillverkare. Den bedömning som har gjorts när förslaget har tagits fram är att många tillverkare redan  i dag uppfyller höga krav i de avseenden som nu är aktuella. I de fall när så inte är fallet har det i kommissionens konsekvensutredning bedömts att de för tillve</w:t>
      </w:r>
      <w:r w:rsidRPr="00A01B62">
        <w:t>rkningsföretagen tillkommande kostnaderna som blir en följd av tilläggskraven kommer att bli låga i förhållande till värdet av utrustningen.</w:t>
      </w:r>
    </w:p>
    <w:p w:rsidR="00A01B62" w:rsidRPr="00A01B62" w:rsidRDefault="00A01B62">
      <w:r w:rsidRPr="00A01B62">
        <w:t>Såvitt gäller de statsfinansiella konsekvenserna finns ett resursbehov för marknadskontroll och myndigheternas deltagande i europastandardiseringen. De aktuella maskinerna omfattas emellertid redan i dag av maskindirektivet och Arbetsmiljöverkets föreskrifter och tillsyn. Utvidgningen avser miljöskyddskraven.</w:t>
      </w:r>
    </w:p>
    <w:p w:rsidR="00A01B62" w:rsidRPr="00A01B62" w:rsidRDefault="00A01B62">
      <w:pPr>
        <w:pStyle w:val="Rubrik1"/>
      </w:pPr>
      <w:r w:rsidRPr="00A01B62">
        <w:t>Ståndpunkter</w:t>
      </w:r>
    </w:p>
    <w:p w:rsidR="00A01B62" w:rsidRPr="00A01B62" w:rsidRDefault="00A01B62">
      <w:pPr>
        <w:pStyle w:val="Rubrik2"/>
      </w:pPr>
      <w:r w:rsidRPr="00A01B62">
        <w:t>Preliminär svensk ståndpunkt</w:t>
      </w:r>
    </w:p>
    <w:p w:rsidR="00A01B62" w:rsidRPr="00A01B62" w:rsidRDefault="00A01B62">
      <w:r w:rsidRPr="00A01B62">
        <w:t>Regeringen har en positiv inställning till den aktuella åtgärden för att stärka skyddet av den yttre miljön vid spridning av bekämpningsmedel, dvs. att  miljökrav införs på bekämpningsmedelsutrustning för att sådan utrustning ska få släppas ut på marknaden, och att det sker i maskindirektivet. Det är samtidigt angeläget att utvidgningen av kraven i maskindirektivet till att omfatta även miljökrav begränsas till det nu aktuella slaget av maskiner.</w:t>
      </w:r>
    </w:p>
    <w:p w:rsidR="00A01B62" w:rsidRPr="00A01B62" w:rsidRDefault="00A01B62">
      <w:pPr>
        <w:pStyle w:val="Rubrik2"/>
      </w:pPr>
      <w:r w:rsidRPr="00A01B62">
        <w:t>Medlemsstaternas ståndpunkter</w:t>
      </w:r>
    </w:p>
    <w:p w:rsidR="00A01B62" w:rsidRPr="00A01B62" w:rsidRDefault="00A01B62">
      <w:r w:rsidRPr="00A01B62">
        <w:t>Ännu inte kända.</w:t>
      </w:r>
    </w:p>
    <w:p w:rsidR="00A01B62" w:rsidRPr="00A01B62" w:rsidRDefault="00A01B62">
      <w:pPr>
        <w:pStyle w:val="Rubrik2"/>
      </w:pPr>
      <w:r w:rsidRPr="00A01B62">
        <w:t>Institutionernas ståndpunkter</w:t>
      </w:r>
    </w:p>
    <w:p w:rsidR="00A01B62" w:rsidRPr="00A01B62" w:rsidRDefault="00A01B62">
      <w:r w:rsidRPr="00A01B62">
        <w:t>Ett omfattande samrådsförfarande har ägt rum vad avser den temainriktade strategin i vilken det nu aktuella förslaget har aviserats (se fotnot 3 och avsnitt 2 under Motivering i KOM(2008) 535 slutlig). Europaparlamentet har avgivit en resolution och Ekonomiska och sociala kommittén ett yttrande med anledning av samrådet. Samrådet har bekräftat att det är nödvändigt att fastställa miljöskyddskrav som nya maskiner för spridning av bekämpningsmedel måste uppfylla innan de släpps ut på marknaden eller tas i br</w:t>
      </w:r>
      <w:r w:rsidRPr="00A01B62">
        <w:t>uk.</w:t>
      </w:r>
    </w:p>
    <w:p w:rsidR="00A01B62" w:rsidRPr="00A01B62" w:rsidRDefault="00A01B62">
      <w:pPr>
        <w:pStyle w:val="Rubrik2"/>
      </w:pPr>
      <w:r w:rsidRPr="00A01B62">
        <w:t>Remissinstansernas ståndpunkter</w:t>
      </w:r>
    </w:p>
    <w:p w:rsidR="00A01B62" w:rsidRPr="00A01B62" w:rsidRDefault="00A01B62">
      <w:r w:rsidRPr="00A01B62">
        <w:t>Ett remissförfarande har inletts. Några färdiga ståndpunkter från remissinstanserna finns därmed ännu inte tillgängliga.</w:t>
      </w:r>
    </w:p>
    <w:p w:rsidR="00A01B62" w:rsidRPr="00A01B62" w:rsidRDefault="00A01B62">
      <w:pPr>
        <w:pStyle w:val="Rubrik1"/>
      </w:pPr>
      <w:r w:rsidRPr="00A01B62">
        <w:t>Förslagets förutsättningar</w:t>
      </w:r>
    </w:p>
    <w:p w:rsidR="00A01B62" w:rsidRPr="00A01B62" w:rsidRDefault="00A01B62">
      <w:pPr>
        <w:pStyle w:val="Rubrik2"/>
      </w:pPr>
      <w:r w:rsidRPr="00A01B62">
        <w:t>Rättslig grund och beslutsförfarande</w:t>
      </w:r>
    </w:p>
    <w:p w:rsidR="00A01B62" w:rsidRPr="00A01B62" w:rsidRDefault="00A01B62">
      <w:r w:rsidRPr="00A01B62">
        <w:t>Den rättsliga grunden för förslaget är artikel 95 i EG-fördraget. Beslutet ska därmed fa</w:t>
      </w:r>
      <w:r w:rsidRPr="00A01B62">
        <w:t>t</w:t>
      </w:r>
      <w:r w:rsidRPr="00A01B62">
        <w:t>tas av Europaparlamentet och rådet gemensamt i enlighet med medbeslutandeproceduren i artikel 251 i fördraget. Rådet kan besluta med kvalificerad majoritet.</w:t>
      </w:r>
    </w:p>
    <w:p w:rsidR="00A01B62" w:rsidRPr="00A01B62" w:rsidRDefault="00A01B62">
      <w:pPr>
        <w:pStyle w:val="Rubrik2"/>
      </w:pPr>
      <w:r w:rsidRPr="00A01B62">
        <w:t>Subsidiaritets- och proportionalitetsprincipen</w:t>
      </w:r>
    </w:p>
    <w:p w:rsidR="00A01B62" w:rsidRPr="00A01B62" w:rsidRDefault="00A01B62">
      <w:r w:rsidRPr="00A01B62">
        <w:t>I kommissionens motivering till förslaget har angivits att förslaget har prövats mot dessa principer och det har redovisats hur kommissionen ser på denna prövning. Andra prövade alternativ skulle enligt kommissionens bedömning bl.a. kunna skapa divergerande nationella bestämmelser som skulle utgöra hinder för fri rölighet inom EU för nu aktuella produkter. Förslaget anses överensstämma med subsidiaritets- och proportionalitetsprinciperna.</w:t>
      </w:r>
    </w:p>
    <w:p w:rsidR="00A01B62" w:rsidRPr="00A01B62" w:rsidRDefault="00A01B62">
      <w:pPr>
        <w:pStyle w:val="Rubrik1"/>
      </w:pPr>
      <w:r w:rsidRPr="00A01B62">
        <w:t>Övrigt</w:t>
      </w:r>
    </w:p>
    <w:p w:rsidR="00A01B62" w:rsidRPr="00A01B62" w:rsidRDefault="00A01B62">
      <w:pPr>
        <w:pStyle w:val="Rubrik2"/>
      </w:pPr>
      <w:r w:rsidRPr="00A01B62">
        <w:t>Fortsatt behandling av ärendet</w:t>
      </w:r>
    </w:p>
    <w:p w:rsidR="00A01B62" w:rsidRPr="00A01B62" w:rsidRDefault="00A01B62">
      <w:r w:rsidRPr="00A01B62">
        <w:t>Enligt uppgift kommer arbetet i den aktuella rådsarbetsgruppen att påbörjas under slutet av det franska ordförandeskapet. Som anges under 2.4 har ett remissförfarande påbörjats.</w:t>
      </w:r>
    </w:p>
    <w:p w:rsidR="00A01B62" w:rsidRPr="00A01B62" w:rsidRDefault="00A01B62">
      <w:pPr>
        <w:pStyle w:val="Rubrik2"/>
      </w:pPr>
      <w:r w:rsidRPr="00A01B62">
        <w:t>Fackuttryck/termer</w:t>
      </w:r>
    </w:p>
    <w:p w:rsidR="00A01B62" w:rsidRPr="00A01B62" w:rsidRDefault="00A01B62"/>
    <w:sectPr w:rsidR="00000000" w:rsidRPr="00A01B6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B62" w:rsidRPr="00A01B62" w:rsidRDefault="00A01B62">
      <w:r w:rsidRPr="00A01B62">
        <w:separator/>
      </w:r>
    </w:p>
  </w:endnote>
  <w:endnote w:type="continuationSeparator" w:id="0">
    <w:p w:rsidR="00A01B62" w:rsidRPr="00A01B62" w:rsidRDefault="00A01B62">
      <w:r w:rsidRPr="00A01B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B62" w:rsidRPr="00A01B62" w:rsidRDefault="00A01B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B62" w:rsidRPr="00A01B62" w:rsidRDefault="00A01B62">
    <w:pPr>
      <w:pStyle w:val="SidfotH"/>
      <w:framePr w:wrap="around"/>
    </w:pPr>
    <w:r w:rsidRPr="00A01B62">
      <w:t>2</w:t>
    </w:r>
  </w:p>
  <w:p w:rsidR="00A01B62" w:rsidRPr="00A01B62" w:rsidRDefault="00A01B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B62" w:rsidRPr="00A01B62" w:rsidRDefault="00A01B62">
    <w:pPr>
      <w:pStyle w:val="SidfotH"/>
      <w:framePr w:wrap="around"/>
    </w:pPr>
    <w:r w:rsidRPr="00A01B62">
      <w:t>1</w:t>
    </w:r>
  </w:p>
  <w:p w:rsidR="00A01B62" w:rsidRPr="00A01B62" w:rsidRDefault="00A01B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B62" w:rsidRPr="00A01B62" w:rsidRDefault="00A01B62">
      <w:r w:rsidRPr="00A01B62">
        <w:separator/>
      </w:r>
    </w:p>
  </w:footnote>
  <w:footnote w:type="continuationSeparator" w:id="0">
    <w:p w:rsidR="00A01B62" w:rsidRPr="00A01B62" w:rsidRDefault="00A01B62">
      <w:r w:rsidRPr="00A01B62">
        <w:continuationSeparator/>
      </w:r>
    </w:p>
  </w:footnote>
  <w:footnote w:id="1">
    <w:p w:rsidR="00A01B62" w:rsidRPr="00A01B62" w:rsidRDefault="00A01B62">
      <w:pPr>
        <w:pStyle w:val="Fotnotstext"/>
      </w:pPr>
      <w:r w:rsidRPr="00A01B62">
        <w:rPr>
          <w:rStyle w:val="Fotnotsreferens"/>
        </w:rPr>
        <w:footnoteRef/>
      </w:r>
      <w:r w:rsidRPr="00A01B62">
        <w:t xml:space="preserve"> Europaparlamentets och rådets direktiv 2006/42/EG av den 17 maj 2006 om maskiner och om ändring av direktiv 95/16/EG (omarbetning)</w:t>
      </w:r>
    </w:p>
  </w:footnote>
  <w:footnote w:id="2">
    <w:p w:rsidR="00A01B62" w:rsidRPr="00A01B62" w:rsidRDefault="00A01B62">
      <w:pPr>
        <w:pStyle w:val="Fotnotstext"/>
      </w:pPr>
      <w:r w:rsidRPr="00A01B62">
        <w:rPr>
          <w:rStyle w:val="Fotnotsreferens"/>
        </w:rPr>
        <w:footnoteRef/>
      </w:r>
      <w:r w:rsidRPr="00A01B62">
        <w:t xml:space="preserve"> </w:t>
      </w:r>
      <w:r w:rsidRPr="00A01B62">
        <w:rPr>
          <w:sz w:val="16"/>
          <w:szCs w:val="16"/>
        </w:rPr>
        <w:t>Europaparlamentets och rådets beslut nr 1600/2002/EG av den 22 juli 2002 om fastställande av gemenskapens sjätte miljöhandlingsprogram (EGT L 242, 10.9.2002, s. 1).</w:t>
      </w:r>
    </w:p>
  </w:footnote>
  <w:footnote w:id="3">
    <w:p w:rsidR="00A01B62" w:rsidRPr="00A01B62" w:rsidRDefault="00A01B62">
      <w:pPr>
        <w:pStyle w:val="Fotnotstext"/>
      </w:pPr>
      <w:r w:rsidRPr="00A01B62">
        <w:rPr>
          <w:rStyle w:val="Fotnotsreferens"/>
        </w:rPr>
        <w:footnoteRef/>
      </w:r>
      <w:r w:rsidRPr="00A01B62">
        <w:t xml:space="preserve">  Kommissionens meddelande KOM(2006) 372 slutlig </w:t>
      </w:r>
      <w:r w:rsidRPr="00A01B62">
        <w:rPr>
          <w:sz w:val="16"/>
          <w:szCs w:val="16"/>
        </w:rPr>
        <w:t>till rådet, Europaparlamentet och Ekonomiska och sociala kommittén - Mot en temainriktad strategi för hållbar användning av bekämpningsmedel</w:t>
      </w:r>
    </w:p>
  </w:footnote>
  <w:footnote w:id="4">
    <w:p w:rsidR="00A01B62" w:rsidRPr="00A01B62" w:rsidRDefault="00A01B62">
      <w:pPr>
        <w:pStyle w:val="Fotnotstext"/>
        <w:spacing w:after="120"/>
      </w:pPr>
      <w:r w:rsidRPr="00A01B62">
        <w:rPr>
          <w:rStyle w:val="Fotnotsreferens"/>
          <w:szCs w:val="24"/>
        </w:rPr>
        <w:footnoteRef/>
      </w:r>
      <w:r w:rsidRPr="00A01B62">
        <w:rPr>
          <w:szCs w:val="24"/>
        </w:rPr>
        <w:t xml:space="preserve"> </w:t>
      </w:r>
      <w:r w:rsidRPr="00A01B62">
        <w:rPr>
          <w:sz w:val="16"/>
          <w:szCs w:val="16"/>
        </w:rPr>
        <w:t>KOM(2006) 373 slutlig – Förslag till Europaparlamentets och rådets direktiv om upprättande av en ram för gemenskapens åtgärder för att uppnå en hållbar användning av bekämpningsmedel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B62" w:rsidRPr="00A01B62" w:rsidRDefault="00A01B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B62" w:rsidRPr="00A01B62" w:rsidRDefault="00A01B62">
    <w:pPr>
      <w:pStyle w:val="Kantrubrik"/>
      <w:framePr w:h="1157" w:hRule="exact" w:wrap="around" w:y="738"/>
    </w:pPr>
    <w:r w:rsidRPr="00A01B62">
      <w:t>2008/09:FPM16</w:t>
    </w:r>
  </w:p>
  <w:p w:rsidR="00A01B62" w:rsidRPr="00A01B62" w:rsidRDefault="00A01B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1B62" w:rsidRPr="00A01B62" w:rsidRDefault="00A01B62">
    <w:pPr>
      <w:pStyle w:val="Sidhuvud"/>
    </w:pPr>
    <w:r w:rsidRPr="00A01B6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514886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1B62" w:rsidRDefault="00A01B6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8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01B62" w:rsidRDefault="00A01B62">
                    <w:pPr>
                      <w:pStyle w:val="Logo"/>
                    </w:pPr>
                    <w:r>
                      <w:object w:dxaOrig="840" w:dyaOrig="1545">
                        <v:shape id="_x0000_i1025" type="#_x0000_t75" style="width:42pt;height:77.5pt" filled="t">
                          <v:imagedata r:id="rId1" o:title=""/>
                        </v:shape>
                        <o:OLEObject Type="Embed" ProgID="Word.Picture.8" ShapeID="_x0000_i1025" DrawAspect="Content" ObjectID="_182751008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77859821">
    <w:abstractNumId w:val="4"/>
  </w:num>
  <w:num w:numId="2" w16cid:durableId="810444516">
    <w:abstractNumId w:val="1"/>
  </w:num>
  <w:num w:numId="3" w16cid:durableId="1947224937">
    <w:abstractNumId w:val="2"/>
  </w:num>
  <w:num w:numId="4" w16cid:durableId="1194884021">
    <w:abstractNumId w:val="3"/>
  </w:num>
  <w:num w:numId="5" w16cid:durableId="691344540">
    <w:abstractNumId w:val="5"/>
  </w:num>
  <w:num w:numId="6" w16cid:durableId="148400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0-15"/>
    <w:docVar w:name="Ar" w:val="2008/09"/>
    <w:docVar w:name="Dep" w:val="Arbetsmarknadsdepartementet, Näringsdepartementet"/>
    <w:docVar w:name="DepWeb" w:val="Arbetsmarknadsdepartementet, Näringsdepartementet"/>
    <w:docVar w:name="GDB1" w:val="KOM(2008) 535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maskiner för spridning av bekämpningsmedel och om ändring av direktiv 2006/42/EG av den 17 maj 2006 om maskin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535 slutlig"/>
    <w:docVar w:name="Nr" w:val="16"/>
    <w:docVar w:name="RD_APPVERSION" w:val="3.00"/>
    <w:docVar w:name="Rub" w:val="Utrustning för spridning av bekämpningsmedel (ändring av maskindirektivet)"/>
    <w:docVar w:name="UppDat" w:val="2008-10-15"/>
    <w:docVar w:name="Utsk" w:val="Arbetsmarknadsutskottet"/>
  </w:docVars>
  <w:rsids>
    <w:rsidRoot w:val="000B2C92"/>
    <w:rsid w:val="000B2C92"/>
    <w:rsid w:val="00A01B6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C1F1133-4212-4C1D-8A5A-6303C35D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styleId="Hyperlnk">
    <w:name w:val="Hyperlink"/>
    <w:basedOn w:val="Standardstycketeckensnitt"/>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154734">
      <w:bodyDiv w:val="1"/>
      <w:marLeft w:val="0"/>
      <w:marRight w:val="0"/>
      <w:marTop w:val="0"/>
      <w:marBottom w:val="0"/>
      <w:divBdr>
        <w:top w:val="none" w:sz="0" w:space="0" w:color="auto"/>
        <w:left w:val="none" w:sz="0" w:space="0" w:color="auto"/>
        <w:bottom w:val="none" w:sz="0" w:space="0" w:color="auto"/>
        <w:right w:val="none" w:sz="0" w:space="0" w:color="auto"/>
      </w:divBdr>
      <w:divsChild>
        <w:div w:id="2053848261">
          <w:marLeft w:val="0"/>
          <w:marRight w:val="0"/>
          <w:marTop w:val="0"/>
          <w:marBottom w:val="0"/>
          <w:divBdr>
            <w:top w:val="none" w:sz="0" w:space="0" w:color="auto"/>
            <w:left w:val="none" w:sz="0" w:space="0" w:color="auto"/>
            <w:bottom w:val="none" w:sz="0" w:space="0" w:color="auto"/>
            <w:right w:val="none" w:sz="0" w:space="0" w:color="auto"/>
          </w:divBdr>
          <w:divsChild>
            <w:div w:id="106891971">
              <w:marLeft w:val="0"/>
              <w:marRight w:val="0"/>
              <w:marTop w:val="0"/>
              <w:marBottom w:val="0"/>
              <w:divBdr>
                <w:top w:val="none" w:sz="0" w:space="0" w:color="auto"/>
                <w:left w:val="none" w:sz="0" w:space="0" w:color="auto"/>
                <w:bottom w:val="none" w:sz="0" w:space="0" w:color="auto"/>
                <w:right w:val="none" w:sz="0" w:space="0" w:color="auto"/>
              </w:divBdr>
            </w:div>
            <w:div w:id="612519924">
              <w:marLeft w:val="0"/>
              <w:marRight w:val="0"/>
              <w:marTop w:val="0"/>
              <w:marBottom w:val="0"/>
              <w:divBdr>
                <w:top w:val="none" w:sz="0" w:space="0" w:color="auto"/>
                <w:left w:val="none" w:sz="0" w:space="0" w:color="auto"/>
                <w:bottom w:val="none" w:sz="0" w:space="0" w:color="auto"/>
                <w:right w:val="none" w:sz="0" w:space="0" w:color="auto"/>
              </w:divBdr>
            </w:div>
            <w:div w:id="893152001">
              <w:marLeft w:val="0"/>
              <w:marRight w:val="0"/>
              <w:marTop w:val="0"/>
              <w:marBottom w:val="0"/>
              <w:divBdr>
                <w:top w:val="none" w:sz="0" w:space="0" w:color="auto"/>
                <w:left w:val="none" w:sz="0" w:space="0" w:color="auto"/>
                <w:bottom w:val="none" w:sz="0" w:space="0" w:color="auto"/>
                <w:right w:val="none" w:sz="0" w:space="0" w:color="auto"/>
              </w:divBdr>
            </w:div>
            <w:div w:id="951520420">
              <w:marLeft w:val="0"/>
              <w:marRight w:val="0"/>
              <w:marTop w:val="0"/>
              <w:marBottom w:val="0"/>
              <w:divBdr>
                <w:top w:val="none" w:sz="0" w:space="0" w:color="auto"/>
                <w:left w:val="none" w:sz="0" w:space="0" w:color="auto"/>
                <w:bottom w:val="none" w:sz="0" w:space="0" w:color="auto"/>
                <w:right w:val="none" w:sz="0" w:space="0" w:color="auto"/>
              </w:divBdr>
            </w:div>
            <w:div w:id="974532129">
              <w:marLeft w:val="0"/>
              <w:marRight w:val="0"/>
              <w:marTop w:val="0"/>
              <w:marBottom w:val="0"/>
              <w:divBdr>
                <w:top w:val="none" w:sz="0" w:space="0" w:color="auto"/>
                <w:left w:val="none" w:sz="0" w:space="0" w:color="auto"/>
                <w:bottom w:val="none" w:sz="0" w:space="0" w:color="auto"/>
                <w:right w:val="none" w:sz="0" w:space="0" w:color="auto"/>
              </w:divBdr>
            </w:div>
            <w:div w:id="1768039725">
              <w:marLeft w:val="0"/>
              <w:marRight w:val="0"/>
              <w:marTop w:val="0"/>
              <w:marBottom w:val="0"/>
              <w:divBdr>
                <w:top w:val="none" w:sz="0" w:space="0" w:color="auto"/>
                <w:left w:val="none" w:sz="0" w:space="0" w:color="auto"/>
                <w:bottom w:val="none" w:sz="0" w:space="0" w:color="auto"/>
                <w:right w:val="none" w:sz="0" w:space="0" w:color="auto"/>
              </w:divBdr>
            </w:div>
            <w:div w:id="1797721786">
              <w:marLeft w:val="0"/>
              <w:marRight w:val="0"/>
              <w:marTop w:val="0"/>
              <w:marBottom w:val="0"/>
              <w:divBdr>
                <w:top w:val="none" w:sz="0" w:space="0" w:color="auto"/>
                <w:left w:val="none" w:sz="0" w:space="0" w:color="auto"/>
                <w:bottom w:val="none" w:sz="0" w:space="0" w:color="auto"/>
                <w:right w:val="none" w:sz="0" w:space="0" w:color="auto"/>
              </w:divBdr>
            </w:div>
            <w:div w:id="1954553222">
              <w:marLeft w:val="0"/>
              <w:marRight w:val="0"/>
              <w:marTop w:val="0"/>
              <w:marBottom w:val="0"/>
              <w:divBdr>
                <w:top w:val="none" w:sz="0" w:space="0" w:color="auto"/>
                <w:left w:val="none" w:sz="0" w:space="0" w:color="auto"/>
                <w:bottom w:val="none" w:sz="0" w:space="0" w:color="auto"/>
                <w:right w:val="none" w:sz="0" w:space="0" w:color="auto"/>
              </w:divBdr>
            </w:div>
            <w:div w:id="20018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4355">
      <w:bodyDiv w:val="1"/>
      <w:marLeft w:val="0"/>
      <w:marRight w:val="0"/>
      <w:marTop w:val="0"/>
      <w:marBottom w:val="0"/>
      <w:divBdr>
        <w:top w:val="none" w:sz="0" w:space="0" w:color="auto"/>
        <w:left w:val="none" w:sz="0" w:space="0" w:color="auto"/>
        <w:bottom w:val="none" w:sz="0" w:space="0" w:color="auto"/>
        <w:right w:val="none" w:sz="0" w:space="0" w:color="auto"/>
      </w:divBdr>
      <w:divsChild>
        <w:div w:id="687682900">
          <w:marLeft w:val="0"/>
          <w:marRight w:val="0"/>
          <w:marTop w:val="0"/>
          <w:marBottom w:val="0"/>
          <w:divBdr>
            <w:top w:val="none" w:sz="0" w:space="0" w:color="auto"/>
            <w:left w:val="none" w:sz="0" w:space="0" w:color="auto"/>
            <w:bottom w:val="none" w:sz="0" w:space="0" w:color="auto"/>
            <w:right w:val="none" w:sz="0" w:space="0" w:color="auto"/>
          </w:divBdr>
          <w:divsChild>
            <w:div w:id="329330238">
              <w:marLeft w:val="0"/>
              <w:marRight w:val="0"/>
              <w:marTop w:val="0"/>
              <w:marBottom w:val="0"/>
              <w:divBdr>
                <w:top w:val="none" w:sz="0" w:space="0" w:color="auto"/>
                <w:left w:val="none" w:sz="0" w:space="0" w:color="auto"/>
                <w:bottom w:val="none" w:sz="0" w:space="0" w:color="auto"/>
                <w:right w:val="none" w:sz="0" w:space="0" w:color="auto"/>
              </w:divBdr>
            </w:div>
            <w:div w:id="422186311">
              <w:marLeft w:val="0"/>
              <w:marRight w:val="0"/>
              <w:marTop w:val="0"/>
              <w:marBottom w:val="0"/>
              <w:divBdr>
                <w:top w:val="none" w:sz="0" w:space="0" w:color="auto"/>
                <w:left w:val="none" w:sz="0" w:space="0" w:color="auto"/>
                <w:bottom w:val="none" w:sz="0" w:space="0" w:color="auto"/>
                <w:right w:val="none" w:sz="0" w:space="0" w:color="auto"/>
              </w:divBdr>
            </w:div>
            <w:div w:id="1578054429">
              <w:marLeft w:val="0"/>
              <w:marRight w:val="0"/>
              <w:marTop w:val="0"/>
              <w:marBottom w:val="0"/>
              <w:divBdr>
                <w:top w:val="none" w:sz="0" w:space="0" w:color="auto"/>
                <w:left w:val="none" w:sz="0" w:space="0" w:color="auto"/>
                <w:bottom w:val="none" w:sz="0" w:space="0" w:color="auto"/>
                <w:right w:val="none" w:sz="0" w:space="0" w:color="auto"/>
              </w:divBdr>
            </w:div>
            <w:div w:id="1965692536">
              <w:marLeft w:val="0"/>
              <w:marRight w:val="0"/>
              <w:marTop w:val="0"/>
              <w:marBottom w:val="0"/>
              <w:divBdr>
                <w:top w:val="none" w:sz="0" w:space="0" w:color="auto"/>
                <w:left w:val="none" w:sz="0" w:space="0" w:color="auto"/>
                <w:bottom w:val="none" w:sz="0" w:space="0" w:color="auto"/>
                <w:right w:val="none" w:sz="0" w:space="0" w:color="auto"/>
              </w:divBdr>
            </w:div>
            <w:div w:id="1979912560">
              <w:marLeft w:val="0"/>
              <w:marRight w:val="0"/>
              <w:marTop w:val="0"/>
              <w:marBottom w:val="0"/>
              <w:divBdr>
                <w:top w:val="none" w:sz="0" w:space="0" w:color="auto"/>
                <w:left w:val="none" w:sz="0" w:space="0" w:color="auto"/>
                <w:bottom w:val="none" w:sz="0" w:space="0" w:color="auto"/>
                <w:right w:val="none" w:sz="0" w:space="0" w:color="auto"/>
              </w:divBdr>
            </w:div>
            <w:div w:id="20275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1224</Words>
  <Characters>7925</Characters>
  <Application>Microsoft Office Word</Application>
  <DocSecurity>4</DocSecurity>
  <Lines>152</Lines>
  <Paragraphs>56</Paragraphs>
  <ScaleCrop>false</ScaleCrop>
  <HeadingPairs>
    <vt:vector size="2" baseType="variant">
      <vt:variant>
        <vt:lpstr>Rubrik</vt:lpstr>
      </vt:variant>
      <vt:variant>
        <vt:i4>1</vt:i4>
      </vt:variant>
    </vt:vector>
  </HeadingPairs>
  <TitlesOfParts>
    <vt:vector size="1" baseType="lpstr">
      <vt:lpstr>FPM_200809__16</vt:lpstr>
    </vt:vector>
  </TitlesOfParts>
  <Company>RD-DTSL</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FPM_200809__16</dc:title>
  <dc:subject>FPM_200809__16</dc:subject>
  <dc:creator>Riksdagen</dc:creator>
  <cp:keywords>Riksdagen</cp:keywords>
  <dc:description>KP2004-version.  Ändringarna påverkar enbart användningen inom Riksdagen. 050429 nya departement DTSL.</dc:description>
  <cp:lastModifiedBy>Lars Brink</cp:lastModifiedBy>
  <cp:revision>2</cp:revision>
  <cp:lastPrinted>2008-10-16T05:08:00Z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16</vt:lpwstr>
  </property>
  <property fmtid="{D5CDD505-2E9C-101B-9397-08002B2CF9AE}" pid="4" name="GDB1">
    <vt:lpwstr>KOM(2008) 535 slutlig</vt:lpwstr>
  </property>
  <property fmtid="{D5CDD505-2E9C-101B-9397-08002B2CF9AE}" pid="5" name="GDT1">
    <vt:lpwstr> </vt:lpwstr>
  </property>
  <property fmtid="{D5CDD505-2E9C-101B-9397-08002B2CF9AE}" pid="6" name="Dep">
    <vt:lpwstr>Arbetsmarknadsdepartementet, Näringsdepartementet</vt:lpwstr>
  </property>
  <property fmtid="{D5CDD505-2E9C-101B-9397-08002B2CF9AE}" pid="7" name="Rub">
    <vt:lpwstr>Utrustning för spridning av bekämpningsmedel (ändring av maskindirektivet)</vt:lpwstr>
  </property>
  <property fmtid="{D5CDD505-2E9C-101B-9397-08002B2CF9AE}" pid="8" name="UppDat">
    <vt:lpwstr>2008-10-15</vt:lpwstr>
  </property>
  <property fmtid="{D5CDD505-2E9C-101B-9397-08002B2CF9AE}" pid="9" name="AnkDat">
    <vt:lpwstr>2008-10-15</vt:lpwstr>
  </property>
  <property fmtid="{D5CDD505-2E9C-101B-9397-08002B2CF9AE}" pid="10" name="Utsk">
    <vt:lpwstr>Arbetsmarknadsutskottet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JA</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18;0;0;423</vt:lpwstr>
  </property>
  <property fmtid="{D5CDD505-2E9C-101B-9397-08002B2CF9AE}" pid="42" name="Sprak">
    <vt:lpwstr>Svenska</vt:lpwstr>
  </property>
  <property fmtid="{D5CDD505-2E9C-101B-9397-08002B2CF9AE}" pid="43" name="DokID">
    <vt:i4>80</vt:i4>
  </property>
  <property fmtid="{D5CDD505-2E9C-101B-9397-08002B2CF9AE}" pid="44" name="Arbetsmarknadsdepartementet, Näringsdepartementet">
    <vt:lpwstr>JA</vt:lpwstr>
  </property>
</Properties>
</file>