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B06" w:rsidRPr="00BE2CDF" w:rsidRDefault="00BE2CDF" w:rsidP="006C3B06">
      <w:pPr>
        <w:framePr w:w="3119" w:h="1406" w:hRule="exact" w:wrap="around" w:vAnchor="page" w:hAnchor="page" w:x="1305" w:y="511"/>
        <w:tabs>
          <w:tab w:val="left" w:pos="142"/>
        </w:tabs>
      </w:pPr>
      <w:bookmarkStart w:id="0" w:name="logo"/>
      <w:bookmarkEnd w:id="0"/>
      <w:r w:rsidRPr="00BE2CDF">
        <w:rPr>
          <w:noProof/>
        </w:rPr>
        <w:drawing>
          <wp:inline distT="0" distB="0" distL="0" distR="0">
            <wp:extent cx="1981200" cy="8890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B06" w:rsidRPr="00BE2CDF" w:rsidRDefault="006C3B06" w:rsidP="006C3B06">
      <w:pPr>
        <w:framePr w:w="3119" w:h="1406" w:hRule="exact" w:wrap="around" w:vAnchor="page" w:hAnchor="page" w:x="1305" w:y="511"/>
        <w:tabs>
          <w:tab w:val="left" w:pos="142"/>
        </w:tabs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1865"/>
      </w:tblGrid>
      <w:tr w:rsidR="006C3B06" w:rsidRPr="00BE2CDF" w:rsidTr="006C3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1" w:name="UDkoncept"/>
            <w:bookmarkEnd w:id="1"/>
          </w:p>
        </w:tc>
        <w:tc>
          <w:tcPr>
            <w:tcW w:w="1865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2" w:name="UDsidan"/>
            <w:bookmarkEnd w:id="2"/>
          </w:p>
        </w:tc>
      </w:tr>
      <w:tr w:rsidR="006C3B06" w:rsidRPr="00BE2CDF" w:rsidTr="006C3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3" w:name="UDdokname"/>
            <w:bookmarkEnd w:id="3"/>
          </w:p>
        </w:tc>
        <w:tc>
          <w:tcPr>
            <w:tcW w:w="1865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4" w:name="UDnr"/>
            <w:bookmarkEnd w:id="4"/>
          </w:p>
        </w:tc>
      </w:tr>
      <w:tr w:rsidR="006C3B06" w:rsidRPr="00BE2CDF" w:rsidTr="006C3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  <w:rPr>
                <w:rFonts w:ascii="TradeGothic" w:hAnsi="TradeGothic"/>
                <w:b/>
                <w:sz w:val="22"/>
              </w:rPr>
            </w:pPr>
            <w:r w:rsidRPr="00BE2CDF">
              <w:rPr>
                <w:rFonts w:ascii="TradeGothic" w:hAnsi="TradeGothic"/>
                <w:b/>
                <w:sz w:val="22"/>
              </w:rPr>
              <w:t>Kommenterad dagordning</w:t>
            </w:r>
          </w:p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r w:rsidRPr="00BE2CDF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</w:p>
        </w:tc>
      </w:tr>
      <w:tr w:rsidR="006C3B06" w:rsidRPr="00BE2CDF" w:rsidTr="006C3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5" w:name="UDdatum"/>
            <w:r w:rsidRPr="00BE2CDF">
              <w:t>2009-11-1</w:t>
            </w:r>
            <w:bookmarkEnd w:id="5"/>
            <w:r w:rsidR="00E32165" w:rsidRPr="00BE2CDF">
              <w:t>9</w:t>
            </w:r>
          </w:p>
        </w:tc>
        <w:tc>
          <w:tcPr>
            <w:tcW w:w="1865" w:type="dxa"/>
          </w:tcPr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6" w:name="UDdnr"/>
            <w:bookmarkEnd w:id="6"/>
          </w:p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  <w:bookmarkStart w:id="7" w:name="UDskrivnr"/>
            <w:bookmarkEnd w:id="7"/>
          </w:p>
          <w:p w:rsidR="006C3B06" w:rsidRPr="00BE2CDF" w:rsidRDefault="006C3B06" w:rsidP="006C3B06">
            <w:pPr>
              <w:pStyle w:val="Brdtexthuvud"/>
              <w:framePr w:w="5239" w:hSpace="0" w:wrap="around" w:x="6601" w:y="568"/>
            </w:pPr>
          </w:p>
        </w:tc>
      </w:tr>
    </w:tbl>
    <w:p w:rsidR="006C3B06" w:rsidRPr="00BE2CDF" w:rsidRDefault="006C3B06" w:rsidP="006C3B06">
      <w:pPr>
        <w:pStyle w:val="Brdtext1"/>
        <w:spacing w:line="120" w:lineRule="exact"/>
        <w:ind w:firstLine="212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4763"/>
      </w:tblGrid>
      <w:tr w:rsidR="006C3B06" w:rsidRPr="00BE2CDF" w:rsidTr="006C3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</w:tcPr>
          <w:p w:rsidR="006C3B06" w:rsidRPr="00BE2CDF" w:rsidRDefault="006C3B06" w:rsidP="006C3B06">
            <w:pPr>
              <w:pStyle w:val="Depnamn"/>
              <w:framePr w:w="9928" w:h="2183" w:wrap="notBeside" w:vAnchor="page" w:hAnchor="page" w:x="1447" w:y="2382"/>
              <w:spacing w:before="40"/>
            </w:pPr>
            <w:bookmarkStart w:id="8" w:name="UDdepartement"/>
            <w:bookmarkEnd w:id="8"/>
            <w:r w:rsidRPr="00BE2CDF">
              <w:t>Utrikesdepartementet</w:t>
            </w:r>
          </w:p>
          <w:p w:rsidR="006C3B06" w:rsidRPr="00BE2CDF" w:rsidRDefault="006C3B06" w:rsidP="006C3B06">
            <w:pPr>
              <w:pStyle w:val="Depnamn"/>
              <w:framePr w:w="9928" w:h="2183" w:wrap="notBeside" w:vAnchor="page" w:hAnchor="page" w:x="1447" w:y="2382"/>
            </w:pPr>
            <w:bookmarkStart w:id="9" w:name="UDminister"/>
            <w:bookmarkStart w:id="10" w:name="UDland"/>
            <w:bookmarkEnd w:id="9"/>
            <w:bookmarkEnd w:id="10"/>
          </w:p>
          <w:p w:rsidR="006C3B06" w:rsidRPr="00BE2CDF" w:rsidRDefault="006C3B06" w:rsidP="006C3B06">
            <w:pPr>
              <w:pStyle w:val="Namnenhet"/>
              <w:framePr w:w="9928" w:wrap="notBeside" w:vAnchor="page" w:y="2382"/>
            </w:pPr>
            <w:bookmarkStart w:id="11" w:name="UDenhet"/>
            <w:bookmarkStart w:id="12" w:name="UDchefenhet"/>
            <w:bookmarkEnd w:id="11"/>
            <w:bookmarkEnd w:id="12"/>
            <w:r w:rsidRPr="00BE2CDF">
              <w:t>Enheten för internationell handelspolitik</w:t>
            </w:r>
          </w:p>
          <w:p w:rsidR="006C3B06" w:rsidRPr="00BE2CDF" w:rsidRDefault="006C3B06" w:rsidP="006C3B06">
            <w:pPr>
              <w:pStyle w:val="Namnenhet"/>
              <w:framePr w:w="9928" w:wrap="notBeside" w:vAnchor="page" w:y="2382"/>
            </w:pPr>
            <w:bookmarkStart w:id="13" w:name="UDnamn"/>
            <w:bookmarkStart w:id="14" w:name="UDdelges"/>
            <w:bookmarkEnd w:id="13"/>
            <w:bookmarkEnd w:id="14"/>
          </w:p>
          <w:p w:rsidR="006C3B06" w:rsidRPr="00BE2CDF" w:rsidRDefault="006C3B06" w:rsidP="006C3B06">
            <w:pPr>
              <w:pStyle w:val="Depnamn"/>
              <w:framePr w:w="9928" w:h="2183" w:wrap="notBeside" w:vAnchor="page" w:hAnchor="page" w:x="1447" w:y="2382"/>
            </w:pPr>
            <w:bookmarkStart w:id="15" w:name="UDendruta"/>
            <w:bookmarkEnd w:id="15"/>
          </w:p>
        </w:tc>
        <w:tc>
          <w:tcPr>
            <w:tcW w:w="4763" w:type="dxa"/>
          </w:tcPr>
          <w:p w:rsidR="006C3B06" w:rsidRPr="00BE2CDF" w:rsidRDefault="006C3B06" w:rsidP="006C3B06">
            <w:pPr>
              <w:pStyle w:val="Brdtext1"/>
              <w:framePr w:w="9928" w:h="2183" w:wrap="notBeside" w:vAnchor="page" w:hAnchor="page" w:x="1447" w:y="2382"/>
            </w:pPr>
            <w:bookmarkStart w:id="16" w:name="UDmottagare"/>
            <w:bookmarkEnd w:id="16"/>
          </w:p>
          <w:p w:rsidR="006C3B06" w:rsidRPr="00BE2CDF" w:rsidRDefault="006C3B06" w:rsidP="006C3B06">
            <w:pPr>
              <w:pStyle w:val="Brdtext1"/>
              <w:framePr w:w="9928" w:h="2183" w:wrap="notBeside" w:vAnchor="page" w:hAnchor="page" w:x="1447" w:y="2382"/>
              <w:ind w:right="-425"/>
            </w:pPr>
          </w:p>
        </w:tc>
      </w:tr>
    </w:tbl>
    <w:p w:rsidR="006C3B06" w:rsidRPr="00BE2CDF" w:rsidRDefault="006C3B06" w:rsidP="006C3B06">
      <w:pPr>
        <w:pStyle w:val="Brdtext1"/>
      </w:pPr>
      <w:bookmarkStart w:id="17" w:name="UDfaxmottagare"/>
      <w:bookmarkStart w:id="18" w:name="UDtext"/>
      <w:bookmarkEnd w:id="17"/>
      <w:bookmarkEnd w:id="18"/>
    </w:p>
    <w:p w:rsidR="006C3B06" w:rsidRPr="00BE2CDF" w:rsidRDefault="006C3B06" w:rsidP="006C3B06">
      <w:pPr>
        <w:pStyle w:val="UDrubrik"/>
        <w:pBdr>
          <w:bottom w:val="single" w:sz="6" w:space="1" w:color="auto"/>
        </w:pBdr>
      </w:pPr>
      <w:bookmarkStart w:id="19" w:name="UDrubrik"/>
      <w:bookmarkEnd w:id="19"/>
      <w:r w:rsidRPr="00BE2CDF">
        <w:t>GAERC i special session, 30 november 2009</w:t>
      </w:r>
    </w:p>
    <w:p w:rsidR="006C3B06" w:rsidRPr="00BE2CDF" w:rsidRDefault="006C3B06" w:rsidP="006C3B06">
      <w:pPr>
        <w:pStyle w:val="RKrubrik"/>
      </w:pPr>
      <w:bookmarkStart w:id="20" w:name="UDbilaga"/>
      <w:bookmarkEnd w:id="20"/>
      <w:r w:rsidRPr="00BE2CDF">
        <w:t>Kommenterad dagordning</w:t>
      </w: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normal"/>
        <w:rPr>
          <w:b/>
        </w:rPr>
      </w:pPr>
      <w:r w:rsidRPr="00BE2CDF">
        <w:rPr>
          <w:b/>
        </w:rPr>
        <w:t>- Seventh WTO Ministerial Conference</w:t>
      </w: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normal"/>
      </w:pPr>
      <w:r w:rsidRPr="00BE2CDF">
        <w:t xml:space="preserve">En reguljär ministerkonferens i WTO äger rum 30 november till 2 december i Genève. Den formella agendan för ministerkonferensen är förhållandevis kort och </w:t>
      </w:r>
      <w:r w:rsidR="00B22754" w:rsidRPr="00BE2CDF">
        <w:t>inga stora beslut</w:t>
      </w:r>
      <w:r w:rsidRPr="00BE2CDF">
        <w:t xml:space="preserve"> förvänta</w:t>
      </w:r>
      <w:r w:rsidR="00B22754" w:rsidRPr="00BE2CDF">
        <w:t>s vid konferensen</w:t>
      </w:r>
      <w:r w:rsidRPr="00BE2CDF">
        <w:t xml:space="preserve">. </w:t>
      </w: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normal"/>
        <w:rPr>
          <w:rFonts w:cs="Helv"/>
          <w:color w:val="000000"/>
          <w:lang w:eastAsia="sv-SE"/>
        </w:rPr>
      </w:pPr>
      <w:r w:rsidRPr="00BE2CDF">
        <w:t>Det övergripande temat för konferensen är ”</w:t>
      </w:r>
      <w:r w:rsidRPr="00BE2CDF">
        <w:rPr>
          <w:i/>
        </w:rPr>
        <w:t xml:space="preserve">WTO, the Multilateral Trading System and the Global Economic Environment”. </w:t>
      </w:r>
      <w:r w:rsidRPr="00BE2CDF">
        <w:t>T</w:t>
      </w:r>
      <w:r w:rsidRPr="00BE2CDF">
        <w:rPr>
          <w:rFonts w:cs="Helv"/>
          <w:color w:val="000000"/>
          <w:lang w:eastAsia="sv-SE"/>
        </w:rPr>
        <w:t xml:space="preserve">vå arbetssessioner med följande teman kommer att anordnas: 1) </w:t>
      </w:r>
      <w:r w:rsidRPr="00BE2CDF">
        <w:rPr>
          <w:rFonts w:cs="Helv"/>
          <w:i/>
          <w:color w:val="000000"/>
          <w:lang w:eastAsia="sv-SE"/>
        </w:rPr>
        <w:t>Review of WTO Activities, including the Doha Work Programme</w:t>
      </w:r>
      <w:r w:rsidRPr="00BE2CDF">
        <w:rPr>
          <w:rFonts w:cs="Helv"/>
          <w:color w:val="000000"/>
          <w:lang w:eastAsia="sv-SE"/>
        </w:rPr>
        <w:t>, och</w:t>
      </w:r>
      <w:r w:rsidRPr="00BE2CDF">
        <w:rPr>
          <w:rFonts w:cs="Helv"/>
          <w:i/>
          <w:color w:val="000000"/>
          <w:lang w:eastAsia="sv-SE"/>
        </w:rPr>
        <w:t xml:space="preserve"> </w:t>
      </w:r>
      <w:r w:rsidRPr="00BE2CDF">
        <w:rPr>
          <w:rFonts w:cs="Helv"/>
          <w:color w:val="000000"/>
          <w:lang w:eastAsia="sv-SE"/>
        </w:rPr>
        <w:t xml:space="preserve">2) </w:t>
      </w:r>
      <w:r w:rsidRPr="00BE2CDF">
        <w:rPr>
          <w:rFonts w:cs="Helv"/>
          <w:i/>
          <w:color w:val="000000"/>
          <w:lang w:eastAsia="sv-SE"/>
        </w:rPr>
        <w:t>The WTO’s Contribution to recovery, growth and development.</w:t>
      </w:r>
      <w:r w:rsidR="00892A67" w:rsidRPr="00BE2CDF">
        <w:rPr>
          <w:rFonts w:cs="Helv"/>
          <w:i/>
          <w:color w:val="000000"/>
          <w:lang w:eastAsia="sv-SE"/>
        </w:rPr>
        <w:t xml:space="preserve"> </w:t>
      </w:r>
      <w:r w:rsidR="00892A67" w:rsidRPr="00BE2CDF">
        <w:rPr>
          <w:rFonts w:cs="Helv"/>
          <w:color w:val="000000"/>
          <w:lang w:eastAsia="sv-SE"/>
        </w:rPr>
        <w:t>Arbets</w:t>
      </w:r>
      <w:r w:rsidR="00892A67" w:rsidRPr="00BE2CDF">
        <w:rPr>
          <w:rFonts w:cs="Helv"/>
          <w:color w:val="000000"/>
          <w:lang w:eastAsia="sv-SE"/>
        </w:rPr>
        <w:softHyphen/>
        <w:t xml:space="preserve">sessionerna kommer att ledas av WTO:s generaldirektör Pascal Lamy respektive ordföranden i WTO:s Allmänna råd, Mario Matus. Parallellt med arbetssessionerna kommer en plenarsession att pågå </w:t>
      </w:r>
      <w:r w:rsidR="007540EA" w:rsidRPr="00BE2CDF">
        <w:rPr>
          <w:rFonts w:cs="Helv"/>
          <w:color w:val="000000"/>
          <w:lang w:eastAsia="sv-SE"/>
        </w:rPr>
        <w:t>där WTO-medlemmarnas talartid</w:t>
      </w:r>
      <w:r w:rsidR="00892A67" w:rsidRPr="00BE2CDF">
        <w:rPr>
          <w:rFonts w:cs="Helv"/>
          <w:color w:val="000000"/>
          <w:lang w:eastAsia="sv-SE"/>
        </w:rPr>
        <w:t xml:space="preserve"> begränsats till tre minuter per medlem.</w:t>
      </w: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normal"/>
      </w:pPr>
      <w:r w:rsidRPr="00BE2CDF">
        <w:t xml:space="preserve">Till skillnad från tidigare ministermöten kommer detta inte att bli något förhandlingsmöte i den pågående Doharundan, utan är istället avsett att </w:t>
      </w:r>
      <w:r w:rsidR="0010789A" w:rsidRPr="00BE2CDF">
        <w:t xml:space="preserve">ägnas åt dels diverse löpande frågor i WTO:s arbetsprogram, dels </w:t>
      </w:r>
      <w:r w:rsidR="007540EA" w:rsidRPr="00BE2CDF">
        <w:t xml:space="preserve">en </w:t>
      </w:r>
      <w:r w:rsidR="0010789A" w:rsidRPr="00BE2CDF">
        <w:t xml:space="preserve">diskussion om det multilaterala handelssystemet i ljuset av den ekonomiska krisen. </w:t>
      </w:r>
      <w:r w:rsidRPr="00BE2CDF">
        <w:t xml:space="preserve">Informellt kommer dock förhandlingsläget i Doharundan att vara föremål för diskussion i olika konstellationer. </w:t>
      </w:r>
    </w:p>
    <w:p w:rsidR="006C3B06" w:rsidRPr="00BE2CDF" w:rsidRDefault="006C3B06" w:rsidP="006C3B06">
      <w:pPr>
        <w:pStyle w:val="RKnormal"/>
      </w:pPr>
    </w:p>
    <w:p w:rsidR="00546FEF" w:rsidRPr="00BE2CDF" w:rsidRDefault="00546FEF" w:rsidP="006C3B06">
      <w:pPr>
        <w:pStyle w:val="RKnormal"/>
      </w:pPr>
      <w:r w:rsidRPr="00BE2CDF">
        <w:t>Sverige avser verka för en konstruktiv diskussion vid minister</w:t>
      </w:r>
      <w:r w:rsidRPr="00BE2CDF">
        <w:softHyphen/>
        <w:t>konferensen. Särskilt kommer vi i diskussionerna att betona vikten av att WTO fortsatt övervakar och motverkar protektionistiska tendenser bland medlemsstaterna, samt att WTO fullt ut bidrar till den globala ekonomiska återhämtningen.</w:t>
      </w:r>
    </w:p>
    <w:p w:rsidR="00546FEF" w:rsidRPr="00BE2CDF" w:rsidRDefault="00546FEF" w:rsidP="006C3B06">
      <w:pPr>
        <w:pStyle w:val="RKnormal"/>
      </w:pPr>
    </w:p>
    <w:p w:rsidR="006C3B06" w:rsidRPr="00BE2CDF" w:rsidRDefault="00556CAF" w:rsidP="006C3B06">
      <w:pPr>
        <w:pStyle w:val="RKnormal"/>
      </w:pPr>
      <w:r w:rsidRPr="00BE2CDF">
        <w:lastRenderedPageBreak/>
        <w:t>På plats i Genève anordnas</w:t>
      </w:r>
      <w:r w:rsidR="006C3B06" w:rsidRPr="00BE2CDF">
        <w:t xml:space="preserve"> ett GAERC i så kallad </w:t>
      </w:r>
      <w:r w:rsidR="006C3B06" w:rsidRPr="00BE2CDF">
        <w:rPr>
          <w:i/>
        </w:rPr>
        <w:t>special session</w:t>
      </w:r>
      <w:r w:rsidR="006C3B06" w:rsidRPr="00BE2CDF">
        <w:t xml:space="preserve"> </w:t>
      </w:r>
      <w:r w:rsidRPr="00BE2CDF">
        <w:t xml:space="preserve">för </w:t>
      </w:r>
      <w:r w:rsidR="006C3B06" w:rsidRPr="00BE2CDF">
        <w:t xml:space="preserve">att förbereda </w:t>
      </w:r>
      <w:r w:rsidRPr="00BE2CDF">
        <w:t xml:space="preserve">EU:s agerande vid </w:t>
      </w:r>
      <w:r w:rsidR="006C3B06" w:rsidRPr="00BE2CDF">
        <w:t xml:space="preserve">WTO:s ministermöte.  </w:t>
      </w: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normal"/>
      </w:pPr>
      <w:r w:rsidRPr="00BE2CDF">
        <w:t>Sverige kommer vid ministerkonferensen att representeras av handelsminister Ewa Björling</w:t>
      </w:r>
      <w:r w:rsidR="00556CAF" w:rsidRPr="00BE2CDF">
        <w:t xml:space="preserve"> som </w:t>
      </w:r>
      <w:r w:rsidR="00302B12" w:rsidRPr="00BE2CDF">
        <w:t xml:space="preserve">även </w:t>
      </w:r>
      <w:r w:rsidR="00556CAF" w:rsidRPr="00BE2CDF">
        <w:t>kommer att leda GAERC</w:t>
      </w:r>
      <w:r w:rsidRPr="00BE2CDF">
        <w:t>. I den</w:t>
      </w:r>
      <w:r w:rsidR="00302B12" w:rsidRPr="00BE2CDF">
        <w:t xml:space="preserve"> svenska delegationen ingår</w:t>
      </w:r>
      <w:r w:rsidRPr="00BE2CDF">
        <w:t xml:space="preserve"> två representanter från Riksdagens Näringsutskott.</w:t>
      </w: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normal"/>
      </w:pPr>
    </w:p>
    <w:p w:rsidR="006C3B06" w:rsidRPr="00BE2CDF" w:rsidRDefault="006C3B06" w:rsidP="006C3B06">
      <w:pPr>
        <w:pStyle w:val="RKrubrik"/>
        <w:spacing w:before="0" w:after="0"/>
      </w:pPr>
      <w:r w:rsidRPr="00BE2CDF">
        <w:t>Tidigare behandlat i EUN</w:t>
      </w:r>
    </w:p>
    <w:p w:rsidR="006C3B06" w:rsidRPr="00BE2CDF" w:rsidRDefault="006C3B06" w:rsidP="006C3B06">
      <w:pPr>
        <w:pStyle w:val="RKnormal"/>
      </w:pPr>
      <w:r w:rsidRPr="00BE2CDF">
        <w:t>Frågan har inte tidigare behandlats i EUN.</w:t>
      </w:r>
    </w:p>
    <w:p w:rsidR="006C3B06" w:rsidRPr="00BE2CDF" w:rsidRDefault="006C3B06" w:rsidP="006C3B06">
      <w:pPr>
        <w:pStyle w:val="Brdtext1"/>
      </w:pPr>
    </w:p>
    <w:p w:rsidR="006C3B06" w:rsidRPr="00BE2CDF" w:rsidRDefault="006C3B06"/>
    <w:sectPr w:rsidR="006C3B06" w:rsidRPr="00BE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29" w:right="1797" w:bottom="1418" w:left="2835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C5B" w:rsidRPr="00BE2CDF" w:rsidRDefault="00C26C5B">
      <w:r w:rsidRPr="00BE2CDF">
        <w:separator/>
      </w:r>
    </w:p>
  </w:endnote>
  <w:endnote w:type="continuationSeparator" w:id="0">
    <w:p w:rsidR="00C26C5B" w:rsidRPr="00BE2CDF" w:rsidRDefault="00C26C5B">
      <w:r w:rsidRPr="00BE2C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BB" w:rsidRPr="00BE2CDF" w:rsidRDefault="009779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BB" w:rsidRPr="00BE2CDF" w:rsidRDefault="009779BB">
    <w:pPr>
      <w:pStyle w:val="Sidfot"/>
      <w:spacing w:line="160" w:lineRule="exact"/>
      <w:rPr>
        <w:rFonts w:ascii="TradeGothic" w:hAnsi="TradeGoth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</w:p>
  <w:p w:rsidR="009779BB" w:rsidRPr="00BE2CDF" w:rsidRDefault="009779BB" w:rsidP="006C3B06">
    <w:pPr>
      <w:pStyle w:val="Sidfot"/>
      <w:pBdr>
        <w:bottom w:val="single" w:sz="4" w:space="1" w:color="000000"/>
      </w:pBdr>
      <w:tabs>
        <w:tab w:val="clear" w:pos="4320"/>
        <w:tab w:val="clear" w:pos="8640"/>
        <w:tab w:val="left" w:pos="1928"/>
        <w:tab w:val="left" w:pos="3742"/>
      </w:tabs>
      <w:spacing w:line="160" w:lineRule="exact"/>
      <w:ind w:left="28"/>
      <w:rPr>
        <w:rFonts w:ascii="TradeGothic" w:hAnsi="TradeGothic"/>
        <w:sz w:val="12"/>
      </w:rPr>
    </w:pPr>
  </w:p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  <w:r w:rsidRPr="00BE2CDF">
      <w:rPr>
        <w:rFonts w:ascii="TradeGothic" w:hAnsi="TradeGothic"/>
        <w:i/>
        <w:sz w:val="12"/>
      </w:rPr>
      <w:t>Postadress</w:t>
    </w:r>
    <w:r w:rsidRPr="00BE2CDF">
      <w:rPr>
        <w:rFonts w:ascii="TradeGothic" w:hAnsi="TradeGothic"/>
        <w:i/>
        <w:sz w:val="12"/>
      </w:rPr>
      <w:tab/>
      <w:t>Telefonväxel</w:t>
    </w:r>
    <w:r w:rsidRPr="00BE2CDF">
      <w:rPr>
        <w:rFonts w:ascii="TradeGothic" w:hAnsi="TradeGothic"/>
        <w:i/>
        <w:sz w:val="12"/>
      </w:rPr>
      <w:tab/>
      <w:t>E-post</w:t>
    </w:r>
  </w:p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  <w:r w:rsidRPr="00BE2CDF">
      <w:rPr>
        <w:rFonts w:ascii="TradeGothic" w:hAnsi="TradeGothic"/>
        <w:sz w:val="12"/>
      </w:rPr>
      <w:t>103 39 Stockholm</w:t>
    </w:r>
    <w:r w:rsidRPr="00BE2CDF">
      <w:rPr>
        <w:rFonts w:ascii="TradeGothic" w:hAnsi="TradeGothic"/>
        <w:sz w:val="12"/>
      </w:rPr>
      <w:tab/>
      <w:t>08-405 10 00</w:t>
    </w:r>
    <w:r w:rsidRPr="00BE2CDF">
      <w:rPr>
        <w:rFonts w:ascii="TradeGothic" w:hAnsi="TradeGothic"/>
        <w:sz w:val="12"/>
      </w:rPr>
      <w:tab/>
      <w:t>registrator@foreign.ministry.se</w:t>
    </w:r>
  </w:p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before="80" w:line="160" w:lineRule="exact"/>
      <w:rPr>
        <w:rFonts w:ascii="TradeGothic" w:hAnsi="TradeGothic"/>
        <w:i/>
        <w:sz w:val="12"/>
      </w:rPr>
    </w:pPr>
    <w:r w:rsidRPr="00BE2CDF">
      <w:rPr>
        <w:rFonts w:ascii="TradeGothic" w:hAnsi="TradeGothic"/>
        <w:i/>
        <w:sz w:val="12"/>
      </w:rPr>
      <w:t>Besöksadress</w:t>
    </w:r>
    <w:r w:rsidRPr="00BE2CDF">
      <w:rPr>
        <w:rFonts w:ascii="TradeGothic" w:hAnsi="TradeGothic"/>
        <w:i/>
        <w:sz w:val="12"/>
      </w:rPr>
      <w:tab/>
      <w:t>Telefax</w:t>
    </w:r>
    <w:r w:rsidRPr="00BE2CDF">
      <w:rPr>
        <w:rFonts w:ascii="TradeGothic" w:hAnsi="TradeGothic"/>
        <w:i/>
        <w:sz w:val="12"/>
      </w:rPr>
      <w:tab/>
    </w:r>
  </w:p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  <w:r w:rsidRPr="00BE2CDF">
      <w:rPr>
        <w:rFonts w:ascii="TradeGothic" w:hAnsi="TradeGothic"/>
        <w:sz w:val="12"/>
      </w:rPr>
      <w:t>Gustav Adolfs torg 1</w:t>
    </w:r>
    <w:r w:rsidRPr="00BE2CDF">
      <w:rPr>
        <w:rFonts w:ascii="TradeGothic" w:hAnsi="TradeGothic"/>
        <w:sz w:val="12"/>
      </w:rPr>
      <w:tab/>
      <w:t>08-723 11 76</w:t>
    </w:r>
    <w:r w:rsidRPr="00BE2CDF">
      <w:rPr>
        <w:rFonts w:ascii="TradeGothic" w:hAnsi="TradeGothic"/>
        <w:sz w:val="12"/>
      </w:rPr>
      <w:tab/>
    </w:r>
  </w:p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</w:p>
  <w:p w:rsidR="009779BB" w:rsidRPr="00BE2CDF" w:rsidRDefault="009779BB" w:rsidP="006C3B06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C5B" w:rsidRPr="00BE2CDF" w:rsidRDefault="00C26C5B">
      <w:r w:rsidRPr="00BE2CDF">
        <w:separator/>
      </w:r>
    </w:p>
  </w:footnote>
  <w:footnote w:type="continuationSeparator" w:id="0">
    <w:p w:rsidR="00C26C5B" w:rsidRPr="00BE2CDF" w:rsidRDefault="00C26C5B">
      <w:r w:rsidRPr="00BE2C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BB" w:rsidRPr="00BE2CDF" w:rsidRDefault="009779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BB" w:rsidRPr="00BE2CDF" w:rsidRDefault="009779BB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  <w:bookmarkStart w:id="21" w:name="UDsidan2"/>
    <w:bookmarkEnd w:id="21"/>
    <w:r w:rsidRPr="00BE2CDF">
      <w:rPr>
        <w:rFonts w:ascii="TradeGothic" w:hAnsi="TradeGothic"/>
        <w:b/>
        <w:sz w:val="22"/>
      </w:rPr>
      <w:t>Utrikesdepartementet</w:t>
    </w:r>
    <w:r w:rsidRPr="00BE2CDF">
      <w:tab/>
    </w:r>
    <w:bookmarkStart w:id="22" w:name="UDsidan2doknamn"/>
    <w:bookmarkEnd w:id="22"/>
    <w:r w:rsidRPr="00BE2CDF">
      <w:rPr>
        <w:sz w:val="22"/>
      </w:rPr>
      <w:tab/>
    </w:r>
    <w:r w:rsidRPr="00BE2CDF">
      <w:rPr>
        <w:sz w:val="22"/>
      </w:rPr>
      <w:tab/>
    </w:r>
    <w:r w:rsidRPr="00BE2CDF">
      <w:rPr>
        <w:sz w:val="22"/>
      </w:rPr>
      <w:fldChar w:fldCharType="begin" w:fldLock="1"/>
    </w:r>
    <w:r w:rsidRPr="00BE2CDF">
      <w:rPr>
        <w:sz w:val="22"/>
      </w:rPr>
      <w:instrText xml:space="preserve"> PAGE  \* MERGEFORMAT </w:instrText>
    </w:r>
    <w:r w:rsidRPr="00BE2CDF">
      <w:rPr>
        <w:sz w:val="22"/>
      </w:rPr>
      <w:fldChar w:fldCharType="separate"/>
    </w:r>
    <w:r w:rsidR="00B670BB" w:rsidRPr="00BE2CDF">
      <w:rPr>
        <w:sz w:val="22"/>
      </w:rPr>
      <w:t>2</w:t>
    </w:r>
    <w:r w:rsidRPr="00BE2CDF">
      <w:rPr>
        <w:sz w:val="22"/>
      </w:rPr>
      <w:fldChar w:fldCharType="end"/>
    </w:r>
    <w:r w:rsidRPr="00BE2CDF">
      <w:rPr>
        <w:sz w:val="22"/>
      </w:rPr>
      <w:t>(</w:t>
    </w:r>
    <w:r w:rsidRPr="00BE2CDF">
      <w:rPr>
        <w:sz w:val="22"/>
      </w:rPr>
      <w:fldChar w:fldCharType="begin" w:fldLock="1"/>
    </w:r>
    <w:r w:rsidRPr="00BE2CDF">
      <w:rPr>
        <w:sz w:val="22"/>
      </w:rPr>
      <w:instrText xml:space="preserve"> NUMPAGES  \* MERGEFORMAT </w:instrText>
    </w:r>
    <w:r w:rsidRPr="00BE2CDF">
      <w:rPr>
        <w:sz w:val="22"/>
      </w:rPr>
      <w:fldChar w:fldCharType="separate"/>
    </w:r>
    <w:r w:rsidR="007A4796" w:rsidRPr="00BE2CDF">
      <w:rPr>
        <w:sz w:val="22"/>
      </w:rPr>
      <w:t>2</w:t>
    </w:r>
    <w:r w:rsidRPr="00BE2CDF">
      <w:rPr>
        <w:sz w:val="22"/>
      </w:rPr>
      <w:fldChar w:fldCharType="end"/>
    </w:r>
    <w:r w:rsidRPr="00BE2CDF">
      <w:rPr>
        <w:sz w:val="22"/>
      </w:rPr>
      <w:t>)</w:t>
    </w:r>
  </w:p>
  <w:p w:rsidR="009779BB" w:rsidRPr="00BE2CDF" w:rsidRDefault="009779BB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  <w:bookmarkStart w:id="23" w:name="UDsidan22"/>
    <w:bookmarkEnd w:id="23"/>
    <w:r w:rsidRPr="00BE2CDF">
      <w:rPr>
        <w:sz w:val="22"/>
      </w:rPr>
      <w:tab/>
    </w:r>
    <w:r w:rsidRPr="00BE2CDF">
      <w:rPr>
        <w:sz w:val="22"/>
      </w:rPr>
      <w:tab/>
    </w:r>
  </w:p>
  <w:p w:rsidR="009779BB" w:rsidRPr="00BE2CDF" w:rsidRDefault="00BE2CDF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  <w:r w:rsidRPr="00BE2CDF"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900430</wp:posOffset>
              </wp:positionH>
              <wp:positionV relativeFrom="paragraph">
                <wp:posOffset>221615</wp:posOffset>
              </wp:positionV>
              <wp:extent cx="6228715" cy="635"/>
              <wp:effectExtent l="5080" t="12065" r="5080" b="6350"/>
              <wp:wrapNone/>
              <wp:docPr id="191795401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7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51E3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17.45pt" to="561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" o:allowincell="f" strokeweight=".25pt">
              <v:stroke startarrowwidth="narrow" startarrowlength="short" endarrowwidth="narrow" endarrowlength="short"/>
              <w10:wrap anchorx="page"/>
            </v:line>
          </w:pict>
        </mc:Fallback>
      </mc:AlternateContent>
    </w:r>
    <w:r w:rsidR="009779BB" w:rsidRPr="00BE2CDF">
      <w:rPr>
        <w:sz w:val="22"/>
      </w:rPr>
      <w:tab/>
    </w:r>
    <w:bookmarkStart w:id="24" w:name="UDsidan2datum"/>
    <w:bookmarkEnd w:id="24"/>
    <w:r w:rsidR="009779BB" w:rsidRPr="00BE2CDF">
      <w:rPr>
        <w:sz w:val="22"/>
      </w:rPr>
      <w:fldChar w:fldCharType="begin" w:fldLock="1"/>
    </w:r>
    <w:r w:rsidR="009779BB" w:rsidRPr="00BE2CDF">
      <w:rPr>
        <w:sz w:val="22"/>
      </w:rPr>
      <w:instrText xml:space="preserve"> REF UDdatum \* MERGEFORMAT </w:instrText>
    </w:r>
    <w:r w:rsidR="009779BB" w:rsidRPr="00BE2CDF">
      <w:rPr>
        <w:sz w:val="22"/>
      </w:rPr>
      <w:fldChar w:fldCharType="separate"/>
    </w:r>
    <w:r w:rsidR="004C55E2" w:rsidRPr="00BE2CDF">
      <w:rPr>
        <w:sz w:val="22"/>
      </w:rPr>
      <w:t>2009-11-1</w:t>
    </w:r>
    <w:r w:rsidR="009779BB" w:rsidRPr="00BE2CDF">
      <w:rPr>
        <w:sz w:val="22"/>
      </w:rPr>
      <w:fldChar w:fldCharType="end"/>
    </w:r>
    <w:r w:rsidR="009779BB" w:rsidRPr="00BE2CDF">
      <w:rPr>
        <w:sz w:val="22"/>
      </w:rPr>
      <w:tab/>
    </w:r>
    <w:bookmarkStart w:id="25" w:name="UDsidan2doss"/>
    <w:bookmarkEnd w:id="2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79BB" w:rsidRPr="00BE2CDF" w:rsidRDefault="009779B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6"/>
    <w:rsid w:val="000E6347"/>
    <w:rsid w:val="0010789A"/>
    <w:rsid w:val="00302B12"/>
    <w:rsid w:val="004C55E2"/>
    <w:rsid w:val="00546FEF"/>
    <w:rsid w:val="00556CAF"/>
    <w:rsid w:val="006C3B06"/>
    <w:rsid w:val="007540EA"/>
    <w:rsid w:val="007A4796"/>
    <w:rsid w:val="00892A67"/>
    <w:rsid w:val="009779BB"/>
    <w:rsid w:val="00997DF4"/>
    <w:rsid w:val="00B22754"/>
    <w:rsid w:val="00B670BB"/>
    <w:rsid w:val="00BE2CDF"/>
    <w:rsid w:val="00C26C5B"/>
    <w:rsid w:val="00E3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BB2D992-7F78-41D4-9CB7-E8397BE8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B06"/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6C3B06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rsid w:val="006C3B06"/>
    <w:pPr>
      <w:spacing w:line="260" w:lineRule="exact"/>
    </w:pPr>
    <w:rPr>
      <w:rFonts w:ascii="TradeGothic" w:hAnsi="TradeGothic"/>
      <w:b/>
      <w:sz w:val="22"/>
    </w:rPr>
  </w:style>
  <w:style w:type="paragraph" w:customStyle="1" w:styleId="Brdtext1">
    <w:name w:val="Brödtext1"/>
    <w:basedOn w:val="Normal"/>
    <w:rsid w:val="006C3B06"/>
    <w:pPr>
      <w:spacing w:line="320" w:lineRule="exact"/>
    </w:pPr>
  </w:style>
  <w:style w:type="paragraph" w:styleId="Sidfot">
    <w:name w:val="footer"/>
    <w:basedOn w:val="Normal"/>
    <w:rsid w:val="006C3B06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rsid w:val="006C3B06"/>
    <w:pPr>
      <w:framePr w:h="2183" w:wrap="notBeside" w:vAnchor="text" w:hAnchor="page" w:x="1447" w:y="1"/>
    </w:pPr>
    <w:rPr>
      <w:b w:val="0"/>
      <w:i/>
      <w:sz w:val="18"/>
    </w:rPr>
  </w:style>
  <w:style w:type="paragraph" w:customStyle="1" w:styleId="Brdtexthuvud">
    <w:name w:val="Brödtext huvud"/>
    <w:basedOn w:val="Brdtext1"/>
    <w:rsid w:val="006C3B06"/>
    <w:pPr>
      <w:framePr w:w="4570" w:h="1701" w:hRule="exact" w:hSpace="181" w:wrap="around" w:vAnchor="page" w:hAnchor="page" w:x="6697" w:y="681"/>
    </w:pPr>
  </w:style>
  <w:style w:type="paragraph" w:customStyle="1" w:styleId="UDrubrik">
    <w:name w:val="UDrubrik"/>
    <w:basedOn w:val="Normal"/>
    <w:next w:val="Brdtext1"/>
    <w:rsid w:val="006C3B06"/>
    <w:pPr>
      <w:spacing w:line="320" w:lineRule="exact"/>
    </w:pPr>
    <w:rPr>
      <w:rFonts w:ascii="TradeGothic" w:hAnsi="TradeGothic"/>
      <w:b/>
      <w:sz w:val="22"/>
    </w:rPr>
  </w:style>
  <w:style w:type="paragraph" w:customStyle="1" w:styleId="RKrubrik">
    <w:name w:val="RKrubrik"/>
    <w:basedOn w:val="Normal"/>
    <w:next w:val="Normal"/>
    <w:rsid w:val="006C3B06"/>
    <w:pPr>
      <w:keepNext/>
      <w:tabs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hAnsi="TradeGothic"/>
      <w:b/>
      <w:sz w:val="22"/>
    </w:rPr>
  </w:style>
  <w:style w:type="paragraph" w:customStyle="1" w:styleId="RKnormal">
    <w:name w:val="RKnormal"/>
    <w:basedOn w:val="Normal"/>
    <w:link w:val="RKnormalChar"/>
    <w:rsid w:val="006C3B06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character" w:customStyle="1" w:styleId="RKnormalChar">
    <w:name w:val="RKnormal Char"/>
    <w:basedOn w:val="Standardstycketeckensnitt"/>
    <w:link w:val="RKnormal"/>
    <w:rsid w:val="006C3B06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1831</Characters>
  <Application>Microsoft Office Word</Application>
  <DocSecurity>4</DocSecurity>
  <Lines>70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Regeringskansliet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Riksdagen</dc:creator>
  <cp:keywords>Riksdagen</cp:keywords>
  <dc:description/>
  <cp:lastModifiedBy>Lars Brink</cp:lastModifiedBy>
  <cp:revision>2</cp:revision>
  <cp:lastPrinted>2009-11-22T15:01:00Z</cp:lastPrinted>
  <dcterms:created xsi:type="dcterms:W3CDTF">2025-12-17T23:57:00Z</dcterms:created>
  <dcterms:modified xsi:type="dcterms:W3CDTF">2025-12-17T23:57:00Z</dcterms:modified>
</cp:coreProperties>
</file>