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41557" w:rsidTr="00816F5B">
        <w:tblPrEx>
          <w:tblCellMar>
            <w:top w:w="0" w:type="dxa"/>
            <w:bottom w:w="0" w:type="dxa"/>
          </w:tblCellMar>
        </w:tblPrEx>
        <w:tc>
          <w:tcPr>
            <w:tcW w:w="2268" w:type="dxa"/>
          </w:tcPr>
          <w:p w:rsidR="006E4E11" w:rsidRPr="00A4155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41557" w:rsidRDefault="00FE4E27" w:rsidP="007242A3">
            <w:pPr>
              <w:framePr w:w="5035" w:h="1644" w:wrap="notBeside" w:vAnchor="page" w:hAnchor="page" w:x="6573" w:y="721"/>
              <w:rPr>
                <w:rFonts w:ascii="Times New Roman" w:hAnsi="Times New Roman"/>
                <w:szCs w:val="24"/>
              </w:rPr>
            </w:pPr>
            <w:r w:rsidRPr="00A41557">
              <w:rPr>
                <w:rFonts w:ascii="Times New Roman" w:hAnsi="Times New Roman"/>
                <w:szCs w:val="24"/>
              </w:rPr>
              <w:t xml:space="preserve">                                </w:t>
            </w:r>
          </w:p>
        </w:tc>
      </w:tr>
      <w:tr w:rsidR="00816F5B" w:rsidRPr="00A41557" w:rsidTr="00816F5B">
        <w:tblPrEx>
          <w:tblCellMar>
            <w:top w:w="0" w:type="dxa"/>
            <w:bottom w:w="0" w:type="dxa"/>
          </w:tblCellMar>
        </w:tblPrEx>
        <w:tc>
          <w:tcPr>
            <w:tcW w:w="2268" w:type="dxa"/>
          </w:tcPr>
          <w:p w:rsidR="00816F5B" w:rsidRPr="00A41557" w:rsidRDefault="00816F5B" w:rsidP="00816F5B">
            <w:pPr>
              <w:framePr w:w="5035" w:h="1644" w:wrap="notBeside" w:vAnchor="page" w:hAnchor="page" w:x="6573" w:y="721"/>
              <w:rPr>
                <w:rFonts w:ascii="TradeGothic" w:hAnsi="TradeGothic"/>
                <w:sz w:val="22"/>
              </w:rPr>
            </w:pPr>
            <w:r w:rsidRPr="00A41557">
              <w:rPr>
                <w:b/>
              </w:rPr>
              <w:t>Kommenterad dagordning</w:t>
            </w:r>
            <w:r w:rsidRPr="00A41557">
              <w:rPr>
                <w:rFonts w:ascii="TradeGothic" w:hAnsi="TradeGothic"/>
                <w:sz w:val="22"/>
              </w:rPr>
              <w:t xml:space="preserve"> </w:t>
            </w:r>
          </w:p>
        </w:tc>
        <w:tc>
          <w:tcPr>
            <w:tcW w:w="2999" w:type="dxa"/>
            <w:gridSpan w:val="2"/>
          </w:tcPr>
          <w:p w:rsidR="00816F5B" w:rsidRPr="00A41557" w:rsidRDefault="000C75A1" w:rsidP="00816F5B">
            <w:pPr>
              <w:framePr w:w="5035" w:h="1644" w:wrap="notBeside" w:vAnchor="page" w:hAnchor="page" w:x="6573" w:y="721"/>
              <w:rPr>
                <w:rFonts w:ascii="TradeGothic" w:hAnsi="TradeGothic"/>
                <w:b/>
                <w:sz w:val="22"/>
              </w:rPr>
            </w:pPr>
            <w:r w:rsidRPr="00A41557">
              <w:t>2012-05-21</w:t>
            </w:r>
          </w:p>
        </w:tc>
      </w:tr>
      <w:tr w:rsidR="00816F5B" w:rsidRPr="00A41557" w:rsidTr="00816F5B">
        <w:tblPrEx>
          <w:tblCellMar>
            <w:top w:w="0" w:type="dxa"/>
            <w:bottom w:w="0" w:type="dxa"/>
          </w:tblCellMar>
        </w:tblPrEx>
        <w:tc>
          <w:tcPr>
            <w:tcW w:w="3402" w:type="dxa"/>
            <w:gridSpan w:val="2"/>
          </w:tcPr>
          <w:p w:rsidR="00816F5B" w:rsidRPr="00A41557" w:rsidRDefault="00AD7A3D" w:rsidP="00816F5B">
            <w:pPr>
              <w:framePr w:w="5035" w:h="1644" w:wrap="notBeside" w:vAnchor="page" w:hAnchor="page" w:x="6573" w:y="721"/>
              <w:rPr>
                <w:b/>
              </w:rPr>
            </w:pPr>
            <w:r w:rsidRPr="00A41557">
              <w:rPr>
                <w:b/>
              </w:rPr>
              <w:t>KKR</w:t>
            </w:r>
            <w:r w:rsidR="00816F5B" w:rsidRPr="00A41557">
              <w:rPr>
                <w:b/>
              </w:rPr>
              <w:t xml:space="preserve"> </w:t>
            </w:r>
          </w:p>
        </w:tc>
        <w:tc>
          <w:tcPr>
            <w:tcW w:w="1865" w:type="dxa"/>
          </w:tcPr>
          <w:p w:rsidR="00816F5B" w:rsidRPr="00A41557" w:rsidRDefault="00816F5B" w:rsidP="00816F5B">
            <w:pPr>
              <w:framePr w:w="5035" w:h="1644" w:wrap="notBeside" w:vAnchor="page" w:hAnchor="page" w:x="6573" w:y="721"/>
            </w:pPr>
          </w:p>
        </w:tc>
      </w:tr>
      <w:tr w:rsidR="00816F5B" w:rsidRPr="00A41557" w:rsidTr="00816F5B">
        <w:tblPrEx>
          <w:tblCellMar>
            <w:top w:w="0" w:type="dxa"/>
            <w:bottom w:w="0" w:type="dxa"/>
          </w:tblCellMar>
        </w:tblPrEx>
        <w:tc>
          <w:tcPr>
            <w:tcW w:w="2268" w:type="dxa"/>
          </w:tcPr>
          <w:p w:rsidR="00816F5B" w:rsidRPr="00A41557" w:rsidRDefault="00816F5B" w:rsidP="00816F5B">
            <w:pPr>
              <w:framePr w:w="5035" w:h="1644" w:wrap="notBeside" w:vAnchor="page" w:hAnchor="page" w:x="6573" w:y="721"/>
            </w:pPr>
            <w:r w:rsidRPr="00A41557">
              <w:t xml:space="preserve">inför samråd med EU-nämnden </w:t>
            </w:r>
            <w:r w:rsidR="00CB1E0A" w:rsidRPr="00A41557">
              <w:t>2</w:t>
            </w:r>
            <w:r w:rsidR="00176C47" w:rsidRPr="00A41557">
              <w:t>5 maj 2012</w:t>
            </w:r>
          </w:p>
        </w:tc>
        <w:tc>
          <w:tcPr>
            <w:tcW w:w="2999" w:type="dxa"/>
            <w:gridSpan w:val="2"/>
          </w:tcPr>
          <w:p w:rsidR="00816F5B" w:rsidRPr="00A41557" w:rsidRDefault="00816F5B" w:rsidP="00816F5B">
            <w:pPr>
              <w:framePr w:w="5035" w:h="1644" w:wrap="notBeside" w:vAnchor="page" w:hAnchor="page" w:x="6573" w:y="721"/>
              <w:rPr>
                <w:sz w:val="20"/>
              </w:rPr>
            </w:pPr>
          </w:p>
        </w:tc>
      </w:tr>
      <w:tr w:rsidR="00816F5B" w:rsidRPr="00A41557" w:rsidTr="00816F5B">
        <w:tblPrEx>
          <w:tblCellMar>
            <w:top w:w="0" w:type="dxa"/>
            <w:bottom w:w="0" w:type="dxa"/>
          </w:tblCellMar>
        </w:tblPrEx>
        <w:tc>
          <w:tcPr>
            <w:tcW w:w="2268" w:type="dxa"/>
          </w:tcPr>
          <w:p w:rsidR="00816F5B" w:rsidRPr="00A41557" w:rsidRDefault="00816F5B" w:rsidP="00816F5B">
            <w:pPr>
              <w:framePr w:w="5035" w:h="1644" w:wrap="notBeside" w:vAnchor="page" w:hAnchor="page" w:x="6573" w:y="721"/>
            </w:pPr>
          </w:p>
        </w:tc>
        <w:tc>
          <w:tcPr>
            <w:tcW w:w="2999" w:type="dxa"/>
            <w:gridSpan w:val="2"/>
          </w:tcPr>
          <w:p w:rsidR="00816F5B" w:rsidRPr="00A41557" w:rsidRDefault="00816F5B" w:rsidP="00816F5B">
            <w:pPr>
              <w:framePr w:w="5035" w:h="1644" w:wrap="notBeside" w:vAnchor="page" w:hAnchor="page" w:x="6573" w:y="721"/>
            </w:pPr>
          </w:p>
        </w:tc>
      </w:tr>
    </w:tbl>
    <w:p w:rsidR="008F17BD" w:rsidRPr="00A41557" w:rsidRDefault="008F17BD" w:rsidP="008F17BD">
      <w:pPr>
        <w:rPr>
          <w:vanish/>
        </w:rPr>
      </w:pPr>
    </w:p>
    <w:tbl>
      <w:tblPr>
        <w:tblW w:w="0" w:type="auto"/>
        <w:tblLayout w:type="fixed"/>
        <w:tblLook w:val="0000" w:firstRow="0" w:lastRow="0" w:firstColumn="0" w:lastColumn="0" w:noHBand="0" w:noVBand="0"/>
      </w:tblPr>
      <w:tblGrid>
        <w:gridCol w:w="4911"/>
      </w:tblGrid>
      <w:tr w:rsidR="006E4E11" w:rsidRPr="00A41557">
        <w:tblPrEx>
          <w:tblCellMar>
            <w:top w:w="0" w:type="dxa"/>
            <w:bottom w:w="0" w:type="dxa"/>
          </w:tblCellMar>
        </w:tblPrEx>
        <w:trPr>
          <w:trHeight w:val="284"/>
        </w:trPr>
        <w:tc>
          <w:tcPr>
            <w:tcW w:w="4911" w:type="dxa"/>
          </w:tcPr>
          <w:p w:rsidR="006E4E11" w:rsidRPr="00A41557" w:rsidRDefault="00816F5B">
            <w:pPr>
              <w:pStyle w:val="Avsndare"/>
              <w:framePr w:h="2483" w:wrap="notBeside" w:x="1504"/>
              <w:rPr>
                <w:b/>
                <w:i w:val="0"/>
                <w:sz w:val="22"/>
              </w:rPr>
            </w:pPr>
            <w:r w:rsidRPr="00A41557">
              <w:rPr>
                <w:b/>
                <w:i w:val="0"/>
                <w:sz w:val="22"/>
              </w:rPr>
              <w:t>Utrikesdepartementet</w:t>
            </w:r>
          </w:p>
          <w:p w:rsidR="005D34B0" w:rsidRPr="00A41557" w:rsidRDefault="005D34B0">
            <w:pPr>
              <w:pStyle w:val="Avsndare"/>
              <w:framePr w:h="2483" w:wrap="notBeside" w:x="1504"/>
              <w:rPr>
                <w:b/>
                <w:i w:val="0"/>
                <w:sz w:val="22"/>
              </w:rPr>
            </w:pPr>
            <w:r w:rsidRPr="00A41557">
              <w:rPr>
                <w:b/>
                <w:i w:val="0"/>
                <w:sz w:val="22"/>
              </w:rPr>
              <w:t>Näringsdepartementet</w:t>
            </w:r>
          </w:p>
          <w:p w:rsidR="005D34B0" w:rsidRPr="00A41557" w:rsidRDefault="005D34B0">
            <w:pPr>
              <w:pStyle w:val="Avsndare"/>
              <w:framePr w:h="2483" w:wrap="notBeside" w:x="1504"/>
              <w:rPr>
                <w:b/>
                <w:i w:val="0"/>
                <w:sz w:val="22"/>
              </w:rPr>
            </w:pPr>
            <w:r w:rsidRPr="00A41557">
              <w:rPr>
                <w:b/>
                <w:i w:val="0"/>
                <w:sz w:val="22"/>
              </w:rPr>
              <w:t xml:space="preserve">Socialdepartementet </w:t>
            </w:r>
          </w:p>
          <w:p w:rsidR="005D34B0" w:rsidRPr="00A41557" w:rsidRDefault="005D34B0">
            <w:pPr>
              <w:pStyle w:val="Avsndare"/>
              <w:framePr w:h="2483" w:wrap="notBeside" w:x="1504"/>
              <w:rPr>
                <w:b/>
                <w:i w:val="0"/>
                <w:sz w:val="22"/>
              </w:rPr>
            </w:pPr>
            <w:r w:rsidRPr="00A41557">
              <w:rPr>
                <w:b/>
                <w:i w:val="0"/>
                <w:sz w:val="22"/>
              </w:rPr>
              <w:t>Justitiedepartementet</w:t>
            </w:r>
          </w:p>
          <w:p w:rsidR="005D34B0" w:rsidRPr="00A41557" w:rsidRDefault="005D34B0">
            <w:pPr>
              <w:pStyle w:val="Avsndare"/>
              <w:framePr w:h="2483" w:wrap="notBeside" w:x="1504"/>
              <w:rPr>
                <w:b/>
                <w:i w:val="0"/>
                <w:sz w:val="22"/>
              </w:rPr>
            </w:pPr>
            <w:r w:rsidRPr="00A41557">
              <w:rPr>
                <w:b/>
                <w:i w:val="0"/>
                <w:sz w:val="22"/>
              </w:rPr>
              <w:t>Utbildningsdepartementet</w:t>
            </w:r>
          </w:p>
        </w:tc>
      </w:tr>
      <w:tr w:rsidR="006E4E11" w:rsidRPr="00A41557">
        <w:tblPrEx>
          <w:tblCellMar>
            <w:top w:w="0" w:type="dxa"/>
            <w:bottom w:w="0" w:type="dxa"/>
          </w:tblCellMar>
        </w:tblPrEx>
        <w:trPr>
          <w:trHeight w:val="284"/>
        </w:trPr>
        <w:tc>
          <w:tcPr>
            <w:tcW w:w="4911" w:type="dxa"/>
          </w:tcPr>
          <w:p w:rsidR="006E4E11" w:rsidRPr="00A41557" w:rsidRDefault="006E4E11">
            <w:pPr>
              <w:pStyle w:val="Avsndare"/>
              <w:framePr w:h="2483" w:wrap="notBeside" w:x="1504"/>
              <w:rPr>
                <w:bCs/>
                <w:iCs/>
              </w:rPr>
            </w:pPr>
          </w:p>
        </w:tc>
      </w:tr>
      <w:tr w:rsidR="006E4E11" w:rsidRPr="00A41557">
        <w:tblPrEx>
          <w:tblCellMar>
            <w:top w:w="0" w:type="dxa"/>
            <w:bottom w:w="0" w:type="dxa"/>
          </w:tblCellMar>
        </w:tblPrEx>
        <w:trPr>
          <w:trHeight w:val="284"/>
        </w:trPr>
        <w:tc>
          <w:tcPr>
            <w:tcW w:w="4911" w:type="dxa"/>
          </w:tcPr>
          <w:p w:rsidR="00BC7403" w:rsidRPr="00A41557" w:rsidRDefault="00BC7403" w:rsidP="005D34B0">
            <w:pPr>
              <w:pStyle w:val="Avsndare"/>
              <w:framePr w:h="2483" w:wrap="notBeside" w:x="1504"/>
              <w:rPr>
                <w:bCs/>
                <w:iCs/>
              </w:rPr>
            </w:pPr>
          </w:p>
        </w:tc>
      </w:tr>
      <w:tr w:rsidR="00816F5B" w:rsidRPr="00A41557">
        <w:tblPrEx>
          <w:tblCellMar>
            <w:top w:w="0" w:type="dxa"/>
            <w:bottom w:w="0" w:type="dxa"/>
          </w:tblCellMar>
        </w:tblPrEx>
        <w:trPr>
          <w:trHeight w:val="284"/>
        </w:trPr>
        <w:tc>
          <w:tcPr>
            <w:tcW w:w="4911" w:type="dxa"/>
          </w:tcPr>
          <w:p w:rsidR="00816F5B" w:rsidRPr="00A41557" w:rsidRDefault="00816F5B">
            <w:pPr>
              <w:pStyle w:val="Avsndare"/>
              <w:framePr w:h="2483" w:wrap="notBeside" w:x="1504"/>
              <w:rPr>
                <w:bCs/>
                <w:iCs/>
              </w:rPr>
            </w:pPr>
          </w:p>
        </w:tc>
      </w:tr>
    </w:tbl>
    <w:p w:rsidR="006E4E11" w:rsidRPr="00A41557" w:rsidRDefault="006E4E11">
      <w:pPr>
        <w:framePr w:w="4400" w:h="2523" w:wrap="notBeside" w:vAnchor="page" w:hAnchor="page" w:x="6453" w:y="2445"/>
        <w:ind w:left="142"/>
      </w:pPr>
    </w:p>
    <w:p w:rsidR="006E4E11" w:rsidRPr="00A41557" w:rsidRDefault="00176C47" w:rsidP="00816F5B">
      <w:pPr>
        <w:pStyle w:val="RKrubrik"/>
        <w:pBdr>
          <w:bottom w:val="single" w:sz="4" w:space="1" w:color="000000"/>
        </w:pBdr>
        <w:spacing w:before="0" w:after="0"/>
      </w:pPr>
      <w:r w:rsidRPr="00A41557">
        <w:t>Konkurrenskraftsrådet 30-31 maj 2012</w:t>
      </w:r>
    </w:p>
    <w:p w:rsidR="00362EA2" w:rsidRPr="00A41557" w:rsidRDefault="00362EA2" w:rsidP="00362EA2">
      <w:pPr>
        <w:spacing w:line="240" w:lineRule="auto"/>
        <w:outlineLvl w:val="0"/>
        <w:rPr>
          <w:u w:val="single"/>
        </w:rPr>
      </w:pPr>
    </w:p>
    <w:p w:rsidR="00362EA2" w:rsidRPr="00A41557" w:rsidRDefault="00362EA2" w:rsidP="00362EA2">
      <w:pPr>
        <w:spacing w:line="240" w:lineRule="auto"/>
        <w:outlineLvl w:val="0"/>
        <w:rPr>
          <w:u w:val="single"/>
        </w:rPr>
      </w:pPr>
      <w:r w:rsidRPr="00A41557">
        <w:rPr>
          <w:u w:val="single"/>
        </w:rPr>
        <w:t>INRE MARKNADEN OCH INDUSTRI</w:t>
      </w:r>
    </w:p>
    <w:p w:rsidR="00362EA2" w:rsidRPr="00A41557" w:rsidRDefault="00362EA2" w:rsidP="00362EA2">
      <w:pPr>
        <w:spacing w:line="240" w:lineRule="auto"/>
        <w:rPr>
          <w:bCs/>
        </w:rPr>
      </w:pPr>
    </w:p>
    <w:p w:rsidR="00362EA2" w:rsidRPr="00A41557" w:rsidRDefault="00362EA2" w:rsidP="00362EA2">
      <w:pPr>
        <w:spacing w:line="240" w:lineRule="auto"/>
        <w:outlineLvl w:val="0"/>
        <w:rPr>
          <w:b/>
          <w:bCs/>
          <w:u w:val="single"/>
        </w:rPr>
      </w:pPr>
      <w:r w:rsidRPr="00A41557">
        <w:rPr>
          <w:b/>
          <w:bCs/>
          <w:u w:val="single"/>
        </w:rPr>
        <w:t>Lagstiftningsöverläggningar</w:t>
      </w:r>
    </w:p>
    <w:p w:rsidR="00362EA2" w:rsidRPr="00A41557" w:rsidRDefault="00362EA2" w:rsidP="00362EA2">
      <w:pPr>
        <w:spacing w:line="240" w:lineRule="auto"/>
        <w:rPr>
          <w:b/>
        </w:rPr>
      </w:pPr>
      <w:r w:rsidRPr="00A41557">
        <w:rPr>
          <w:b/>
          <w:bCs/>
        </w:rPr>
        <w:t>(</w:t>
      </w:r>
      <w:r w:rsidRPr="00A41557">
        <w:rPr>
          <w:b/>
          <w:bCs/>
          <w:iCs/>
        </w:rPr>
        <w:t>Offentlig överläggning i enlighet med artikel 16.8 i fördraget om Europeiska unionen</w:t>
      </w:r>
      <w:r w:rsidRPr="00A41557">
        <w:rPr>
          <w:b/>
          <w:bCs/>
        </w:rPr>
        <w:t>)</w:t>
      </w:r>
    </w:p>
    <w:p w:rsidR="00362EA2" w:rsidRPr="00A41557" w:rsidRDefault="00362EA2" w:rsidP="00362EA2">
      <w:pPr>
        <w:spacing w:line="240" w:lineRule="auto"/>
      </w:pPr>
    </w:p>
    <w:p w:rsidR="00362EA2" w:rsidRPr="00A41557" w:rsidRDefault="00362EA2" w:rsidP="00362EA2">
      <w:pPr>
        <w:spacing w:line="240" w:lineRule="auto"/>
        <w:rPr>
          <w:b/>
          <w:iCs/>
        </w:rPr>
      </w:pPr>
      <w:r w:rsidRPr="00A41557">
        <w:rPr>
          <w:b/>
          <w:iCs/>
        </w:rPr>
        <w:t>3.</w:t>
      </w:r>
      <w:r w:rsidRPr="00A41557">
        <w:rPr>
          <w:b/>
          <w:iCs/>
        </w:rPr>
        <w:tab/>
        <w:t>(ev.</w:t>
      </w:r>
      <w:r w:rsidR="00F47C3A" w:rsidRPr="00A41557">
        <w:rPr>
          <w:b/>
          <w:iCs/>
        </w:rPr>
        <w:t>) Godkännande av A-punktslistan</w:t>
      </w:r>
    </w:p>
    <w:p w:rsidR="00362EA2" w:rsidRPr="00A41557" w:rsidRDefault="00362EA2" w:rsidP="00362EA2">
      <w:pPr>
        <w:spacing w:line="240" w:lineRule="auto"/>
      </w:pPr>
    </w:p>
    <w:p w:rsidR="00362EA2" w:rsidRPr="00A41557" w:rsidRDefault="00362EA2" w:rsidP="00362EA2">
      <w:pPr>
        <w:spacing w:line="240" w:lineRule="auto"/>
        <w:ind w:left="567" w:hanging="567"/>
        <w:rPr>
          <w:b/>
          <w:i/>
        </w:rPr>
      </w:pPr>
      <w:r w:rsidRPr="00A41557">
        <w:rPr>
          <w:b/>
        </w:rPr>
        <w:t>4.</w:t>
      </w:r>
      <w:r w:rsidRPr="00A41557">
        <w:rPr>
          <w:b/>
        </w:rPr>
        <w:tab/>
        <w:t>Förslag till Europaparlamentets och rådets förordning om inrättande av ett program för företagens konkurrenskraft och små och medelstora företag (2014–2020)</w:t>
      </w:r>
      <w:r w:rsidRPr="00A41557">
        <w:rPr>
          <w:b/>
          <w:szCs w:val="24"/>
          <w:lang w:eastAsia="en-GB"/>
        </w:rPr>
        <w:t xml:space="preserve"> (första behandlingen)</w:t>
      </w:r>
    </w:p>
    <w:p w:rsidR="00362EA2" w:rsidRPr="00A41557" w:rsidRDefault="00362EA2" w:rsidP="00362EA2">
      <w:pPr>
        <w:spacing w:line="240" w:lineRule="auto"/>
        <w:ind w:left="567"/>
        <w:rPr>
          <w:i/>
        </w:rPr>
      </w:pPr>
      <w:r w:rsidRPr="00A41557">
        <w:rPr>
          <w:i/>
        </w:rPr>
        <w:t>–</w:t>
      </w:r>
      <w:r w:rsidRPr="00A41557">
        <w:rPr>
          <w:i/>
        </w:rPr>
        <w:tab/>
        <w:t>Partiell allmän riktlinje</w:t>
      </w:r>
    </w:p>
    <w:p w:rsidR="00362EA2" w:rsidRPr="00A41557" w:rsidRDefault="00362EA2" w:rsidP="00362EA2">
      <w:pPr>
        <w:spacing w:line="240" w:lineRule="auto"/>
        <w:rPr>
          <w:szCs w:val="24"/>
        </w:rPr>
      </w:pPr>
    </w:p>
    <w:p w:rsidR="00E25614" w:rsidRPr="00A41557" w:rsidRDefault="00E25614" w:rsidP="00362EA2">
      <w:pPr>
        <w:spacing w:line="240" w:lineRule="auto"/>
        <w:rPr>
          <w:szCs w:val="24"/>
        </w:rPr>
      </w:pPr>
      <w:r w:rsidRPr="00A41557">
        <w:rPr>
          <w:szCs w:val="24"/>
        </w:rPr>
        <w:t>Ansvarigt statsråd: Annie Lööf</w:t>
      </w:r>
    </w:p>
    <w:p w:rsidR="00362EA2" w:rsidRPr="00A41557" w:rsidRDefault="00362EA2" w:rsidP="00362EA2">
      <w:pPr>
        <w:spacing w:line="240" w:lineRule="auto"/>
        <w:rPr>
          <w:iCs/>
          <w:szCs w:val="24"/>
        </w:rPr>
      </w:pPr>
    </w:p>
    <w:p w:rsidR="00F613F5" w:rsidRPr="00A41557" w:rsidRDefault="00F613F5" w:rsidP="00F613F5">
      <w:pPr>
        <w:pStyle w:val="RKnormal"/>
      </w:pPr>
      <w:r w:rsidRPr="00A41557">
        <w:t>Den 30 november presenterade kommissionen ett förslag till program för företagens konkurrenskraft och små och medelstora företag. Avsikten med programmet är att stärka EU:s fokus mot små- och medelstora företag (SMF) samt även bidra med finansiering riktad direkt till SMF. Programmets fokus ska ligga på åtgärder som ska kunna stärka konkurrenskraften hos SMF. Huvudsakligen är programmet indelat i två delar, en del som innehåller finansiella instrument och en del som främst innehåller främjandeaktiviteter. De generella målen för programmet är att stärka konkurrenskraften och hållbarheten hos EU:s företag med fokus på SMF samt att uppmuntra en entreprenöriell kultur och främja nystart och tillväxt av SMF.</w:t>
      </w:r>
    </w:p>
    <w:p w:rsidR="00F613F5" w:rsidRPr="00A41557" w:rsidRDefault="00F613F5" w:rsidP="00F613F5">
      <w:pPr>
        <w:pStyle w:val="RKnormal"/>
        <w:ind w:left="720"/>
      </w:pPr>
    </w:p>
    <w:p w:rsidR="00F613F5" w:rsidRPr="00A41557" w:rsidRDefault="00F613F5" w:rsidP="00F613F5">
      <w:pPr>
        <w:pStyle w:val="RKnormal"/>
      </w:pPr>
      <w:r w:rsidRPr="00A41557">
        <w:t>De finansiella instrumenten ska kunna bidra med finansiering till SMF i form av investeringar, lån och garantier. Avsikten är att instrumenten ska fungera via nationella intermediärer, vara kompletterande till medlemsstaternas egna finansieringslösningar samt fungera marknadskompletterande. Fokus ska vara på SMF i sådd-, tillväxtfas eller för förvärv.</w:t>
      </w:r>
    </w:p>
    <w:p w:rsidR="00F613F5" w:rsidRPr="00A41557" w:rsidRDefault="00F613F5" w:rsidP="00F613F5">
      <w:pPr>
        <w:pStyle w:val="RKnormal"/>
        <w:ind w:left="720"/>
      </w:pPr>
    </w:p>
    <w:p w:rsidR="00F613F5" w:rsidRPr="00A41557" w:rsidRDefault="00F613F5" w:rsidP="00F613F5">
      <w:pPr>
        <w:rPr>
          <w:iCs/>
        </w:rPr>
      </w:pPr>
      <w:r w:rsidRPr="00A41557">
        <w:rPr>
          <w:iCs/>
        </w:rPr>
        <w:t xml:space="preserve">Den andra huvudsakliga delen av programmet fokuserar på främjandeåtgärder för att stärka entreprenörskap och tillgång till marknader. Detta kommer att göras genom att erbjuda information om handelshinder, stöd till Enterprise Europe Network och stödja industriella samarbeten. </w:t>
      </w:r>
      <w:r w:rsidRPr="00A41557">
        <w:t xml:space="preserve">Insatserna med </w:t>
      </w:r>
      <w:r w:rsidRPr="00A41557">
        <w:lastRenderedPageBreak/>
        <w:t xml:space="preserve">exportfrämjande (för SMF) ska vara ett komplement till medlemsstaternas främjaraktiviteter. </w:t>
      </w:r>
      <w:r w:rsidRPr="00A41557">
        <w:rPr>
          <w:iCs/>
        </w:rPr>
        <w:t>Dessutom kommer insatser för att stärka och utveckla entreprenörskapsutbildningar och andra aktiviteter med särskilt fokus på vissa målgrupper som unga och nya entreprenörer samt kvinnor.</w:t>
      </w:r>
    </w:p>
    <w:p w:rsidR="00F613F5" w:rsidRPr="00A41557" w:rsidRDefault="00F613F5" w:rsidP="00F613F5">
      <w:pPr>
        <w:pStyle w:val="RKnormal"/>
      </w:pPr>
    </w:p>
    <w:p w:rsidR="00F613F5" w:rsidRPr="00A41557" w:rsidRDefault="00F613F5" w:rsidP="00F613F5">
      <w:pPr>
        <w:pStyle w:val="RKnormal"/>
        <w:jc w:val="both"/>
      </w:pPr>
      <w:r w:rsidRPr="00A41557">
        <w:rPr>
          <w:u w:val="single"/>
        </w:rPr>
        <w:t>Förslag till svensk ståndpunkt:</w:t>
      </w:r>
      <w:r w:rsidRPr="00A41557">
        <w:t xml:space="preserve"> </w:t>
      </w:r>
    </w:p>
    <w:p w:rsidR="00F613F5" w:rsidRPr="00A41557" w:rsidRDefault="00F613F5" w:rsidP="00F613F5">
      <w:pPr>
        <w:pStyle w:val="RKnormal"/>
        <w:jc w:val="both"/>
        <w:rPr>
          <w:lang w:eastAsia="sv-SE"/>
        </w:rPr>
      </w:pPr>
      <w:r w:rsidRPr="00A41557">
        <w:rPr>
          <w:lang w:eastAsia="sv-SE"/>
        </w:rPr>
        <w:t>Sverige kan ställa sig bakom ordförandeskapets förslag.</w:t>
      </w:r>
    </w:p>
    <w:p w:rsidR="00F613F5" w:rsidRPr="00A41557" w:rsidRDefault="00F613F5" w:rsidP="00362EA2">
      <w:pPr>
        <w:spacing w:line="240" w:lineRule="auto"/>
        <w:rPr>
          <w:szCs w:val="24"/>
        </w:rPr>
      </w:pPr>
    </w:p>
    <w:p w:rsidR="00F613F5" w:rsidRPr="00A41557" w:rsidRDefault="00F613F5" w:rsidP="00F613F5">
      <w:pPr>
        <w:pStyle w:val="RKnormal"/>
        <w:rPr>
          <w:i/>
        </w:rPr>
      </w:pPr>
      <w:r w:rsidRPr="00A41557">
        <w:rPr>
          <w:i/>
        </w:rPr>
        <w:t>Se vidare i rådspromemoria.</w:t>
      </w:r>
    </w:p>
    <w:p w:rsidR="00F613F5" w:rsidRPr="00A41557" w:rsidRDefault="00F613F5" w:rsidP="00F613F5">
      <w:pPr>
        <w:pStyle w:val="RKnormal"/>
        <w:rPr>
          <w:i/>
        </w:rPr>
      </w:pPr>
    </w:p>
    <w:p w:rsidR="005D34B0" w:rsidRPr="00A41557" w:rsidRDefault="005D34B0" w:rsidP="00362EA2">
      <w:pPr>
        <w:spacing w:line="240" w:lineRule="auto"/>
        <w:rPr>
          <w:szCs w:val="24"/>
        </w:rPr>
      </w:pPr>
    </w:p>
    <w:p w:rsidR="00362EA2" w:rsidRPr="00A41557" w:rsidRDefault="00362EA2" w:rsidP="00362EA2">
      <w:pPr>
        <w:spacing w:line="240" w:lineRule="auto"/>
        <w:ind w:left="567" w:hanging="567"/>
        <w:rPr>
          <w:b/>
        </w:rPr>
      </w:pPr>
      <w:r w:rsidRPr="00A41557">
        <w:rPr>
          <w:b/>
          <w:szCs w:val="24"/>
        </w:rPr>
        <w:t>5.</w:t>
      </w:r>
      <w:r w:rsidRPr="00A41557">
        <w:rPr>
          <w:b/>
          <w:szCs w:val="24"/>
        </w:rPr>
        <w:tab/>
      </w:r>
      <w:r w:rsidRPr="00A41557">
        <w:rPr>
          <w:b/>
        </w:rPr>
        <w:t xml:space="preserve">Förslag till Europaparlamentets och rådets direktiv om ändring av direktiv 2005/36/EG om </w:t>
      </w:r>
      <w:r w:rsidRPr="00A41557">
        <w:rPr>
          <w:b/>
          <w:bCs/>
        </w:rPr>
        <w:t>erkännande av yrkeskvalifikationer</w:t>
      </w:r>
      <w:r w:rsidRPr="00A41557">
        <w:rPr>
          <w:b/>
        </w:rPr>
        <w:t xml:space="preserve"> och förordning om administrativt samarbete genom informationssystemet för den inre marknaden </w:t>
      </w:r>
      <w:r w:rsidRPr="00A41557">
        <w:rPr>
          <w:b/>
          <w:bCs/>
        </w:rPr>
        <w:t>(första behandlingen)</w:t>
      </w:r>
    </w:p>
    <w:p w:rsidR="00362EA2" w:rsidRPr="00A41557" w:rsidRDefault="00362EA2" w:rsidP="00362EA2">
      <w:pPr>
        <w:spacing w:line="240" w:lineRule="auto"/>
        <w:ind w:left="567"/>
        <w:rPr>
          <w:i/>
          <w:iCs/>
        </w:rPr>
      </w:pPr>
      <w:r w:rsidRPr="00A41557">
        <w:rPr>
          <w:i/>
        </w:rPr>
        <w:t>–</w:t>
      </w:r>
      <w:r w:rsidRPr="00A41557">
        <w:rPr>
          <w:i/>
        </w:rPr>
        <w:tab/>
        <w:t>Riktlinjedebatt</w:t>
      </w:r>
    </w:p>
    <w:p w:rsidR="00F60F42" w:rsidRPr="00A41557" w:rsidRDefault="00F60F42" w:rsidP="00F60F42">
      <w:pPr>
        <w:spacing w:line="240" w:lineRule="auto"/>
      </w:pPr>
    </w:p>
    <w:p w:rsidR="00E27328" w:rsidRPr="00A41557" w:rsidRDefault="00E27328" w:rsidP="00F60F42">
      <w:pPr>
        <w:spacing w:line="240" w:lineRule="auto"/>
      </w:pPr>
      <w:r w:rsidRPr="00A41557">
        <w:t>Ansvarigt statsråd: Jan Björklund</w:t>
      </w:r>
    </w:p>
    <w:p w:rsidR="00E27328" w:rsidRPr="00A41557" w:rsidRDefault="00E27328" w:rsidP="00F60F42">
      <w:pPr>
        <w:spacing w:line="240" w:lineRule="auto"/>
      </w:pPr>
    </w:p>
    <w:p w:rsidR="00F60F42" w:rsidRPr="00A41557" w:rsidRDefault="00F60F42" w:rsidP="00F60F42">
      <w:pPr>
        <w:spacing w:line="240" w:lineRule="auto"/>
      </w:pPr>
      <w:r w:rsidRPr="00A41557">
        <w:t>Det nuvarande yrkeskvalifikationsdirektivet från 2005 innehåller bestämmelser om erkännande av yrkeskvalifikationer när det gäller reglerade yrken. Den 19 december 2011 presenterade kommissionen förslaget till ändring av yrkes</w:t>
      </w:r>
      <w:r w:rsidRPr="00A41557">
        <w:softHyphen/>
        <w:t>kvalifikationsdirektivet. Syftet med förslaget är att förenkla erkännandeprocessen för den enskilde och förkorta tidsperioden för ett erkännande, vilket bl.a. föreslås uppnås genom införandet av ett europeiskt yrkeskort. Ett led i detta är att i erkännande</w:t>
      </w:r>
      <w:r w:rsidRPr="00A41557">
        <w:softHyphen/>
        <w:t xml:space="preserve">processen i större utsträckning använda informationssystemet för den inre marknaden (IMI). För att uppnå ökad transparens föreslås att medlemsstaterna åläggs att notifiera sina reglerade yrken och att även granska sin egen reglering för att se om den är nödvändig, proportionell och icke-diskriminerande. </w:t>
      </w:r>
    </w:p>
    <w:p w:rsidR="00F60F42" w:rsidRPr="00A41557" w:rsidRDefault="00F60F42" w:rsidP="00F60F42">
      <w:pPr>
        <w:pStyle w:val="RKnormal"/>
      </w:pPr>
    </w:p>
    <w:p w:rsidR="00F60F42" w:rsidRPr="00A41557" w:rsidRDefault="00F60F42" w:rsidP="00F60F42">
      <w:pPr>
        <w:pStyle w:val="RKnormal"/>
      </w:pPr>
      <w:r w:rsidRPr="00A41557">
        <w:t>Det danska ordförandeskapet har under våren 2012 inlett förhandlingarna och avser att hålla en allmän politisk orientering vid KKR (inre marknad) den 30 maj 2012. Inför KKR har DK ORDF tagit fram ett underlag med frågor dels om yrkeskortet, dels om artikeln om transparens, inkl. antalet reglerade yrken.</w:t>
      </w:r>
    </w:p>
    <w:p w:rsidR="00F60F42" w:rsidRPr="00A41557" w:rsidRDefault="00F60F42" w:rsidP="00F60F42">
      <w:pPr>
        <w:pStyle w:val="RKnormal"/>
      </w:pPr>
    </w:p>
    <w:p w:rsidR="00F60F42" w:rsidRPr="00A41557" w:rsidRDefault="00F60F42" w:rsidP="00F60F42">
      <w:pPr>
        <w:pStyle w:val="RKnormal"/>
      </w:pPr>
      <w:r w:rsidRPr="00A41557">
        <w:t>Frågan har i riksdagen endast behandlats i Utbildningsutskottet den 20 mars 2012.</w:t>
      </w:r>
    </w:p>
    <w:p w:rsidR="00F60F42" w:rsidRPr="00A41557" w:rsidRDefault="00F60F42" w:rsidP="00F60F42">
      <w:pPr>
        <w:pStyle w:val="RKnormal"/>
      </w:pPr>
    </w:p>
    <w:p w:rsidR="00F60F42" w:rsidRPr="00A41557" w:rsidRDefault="00F60F42" w:rsidP="00F60F42">
      <w:pPr>
        <w:spacing w:line="240" w:lineRule="auto"/>
      </w:pPr>
      <w:r w:rsidRPr="00A41557">
        <w:rPr>
          <w:u w:val="single"/>
        </w:rPr>
        <w:t>Förslag till svensk ståndpunkt</w:t>
      </w:r>
      <w:r w:rsidRPr="00A41557">
        <w:t>: Regeringen välkomnar initiativet till modernisering av yrkeskvalifikationsdirektivet och de ansträngningar som görs för att underlätta rörligheten inom EU. Möjligheten för arbetstagare och egenföretagare att röra sig inom EU är en nyckelfråga för att tillgodose tillgången på kompetens. Regeringen ser yrkeskvalifikations</w:t>
      </w:r>
      <w:r w:rsidRPr="00A41557">
        <w:softHyphen/>
        <w:t>direktivet som en prioriterad fråga då direktivet kan bidra till ökad tillväxt och sysselsättning på den inre marknaden. Sverige är ett land med få reglerade yrken och en väl fungerande arbetsmarknad. Däremot uppkommer utmaningar för svenska yrkesutövare som vill arbeta i medlemsstater där yrket är reglerat. Regeringen anser att antalet reglerade yrken i EU bör minska då dessa kan utgöra ett hinder för yrkesutövares marknadstillträde. Regeringen är mycket positiv till förslag om ökad transparens, vilket i förlängningen kan bidra till färre reglerade yrken. Ett led i detta är den nya notifieringsprocedur som föreslås där medlemsstaterna tydligt ska motivera reglering av yrken. Regeringen är mycket tveksamt till yrkeskortet och har flera frågor gällande dess nuvarande utformning.</w:t>
      </w:r>
      <w:r w:rsidRPr="00A41557">
        <w:rPr>
          <w:iCs/>
        </w:rPr>
        <w:t xml:space="preserve"> </w:t>
      </w:r>
    </w:p>
    <w:p w:rsidR="00F60F42" w:rsidRPr="00A41557" w:rsidRDefault="00F60F42" w:rsidP="00F60F42">
      <w:pPr>
        <w:pStyle w:val="RKnormal"/>
      </w:pPr>
    </w:p>
    <w:p w:rsidR="00F60F42" w:rsidRPr="00A41557" w:rsidRDefault="00F60F42" w:rsidP="00F60F42">
      <w:pPr>
        <w:pStyle w:val="RKnormal"/>
        <w:rPr>
          <w:i/>
        </w:rPr>
      </w:pPr>
      <w:r w:rsidRPr="00A41557">
        <w:rPr>
          <w:i/>
        </w:rPr>
        <w:t>Se vidare i rådspromemoria.</w:t>
      </w:r>
    </w:p>
    <w:p w:rsidR="00362EA2" w:rsidRPr="00A41557" w:rsidRDefault="00362EA2" w:rsidP="00362EA2">
      <w:pPr>
        <w:spacing w:line="240" w:lineRule="auto"/>
        <w:rPr>
          <w:szCs w:val="24"/>
        </w:rPr>
      </w:pPr>
    </w:p>
    <w:p w:rsidR="00362EA2" w:rsidRPr="00A41557" w:rsidRDefault="00362EA2" w:rsidP="00362EA2">
      <w:pPr>
        <w:spacing w:line="240" w:lineRule="auto"/>
        <w:rPr>
          <w:szCs w:val="24"/>
        </w:rPr>
      </w:pPr>
    </w:p>
    <w:p w:rsidR="00362EA2" w:rsidRPr="00A41557" w:rsidRDefault="00362EA2" w:rsidP="00362EA2">
      <w:pPr>
        <w:spacing w:line="240" w:lineRule="auto"/>
        <w:ind w:left="567" w:hanging="567"/>
        <w:rPr>
          <w:b/>
          <w:iCs/>
          <w:szCs w:val="24"/>
        </w:rPr>
      </w:pPr>
      <w:r w:rsidRPr="00A41557">
        <w:rPr>
          <w:b/>
          <w:iCs/>
          <w:szCs w:val="24"/>
        </w:rPr>
        <w:t>6.</w:t>
      </w:r>
      <w:r w:rsidRPr="00A41557">
        <w:rPr>
          <w:b/>
          <w:iCs/>
          <w:szCs w:val="24"/>
        </w:rPr>
        <w:tab/>
      </w:r>
      <w:r w:rsidRPr="00A41557">
        <w:rPr>
          <w:b/>
        </w:rPr>
        <w:t xml:space="preserve">Förslag till Europaparlamentets och rådets direktiv om </w:t>
      </w:r>
      <w:r w:rsidRPr="00A41557">
        <w:rPr>
          <w:b/>
          <w:bCs/>
        </w:rPr>
        <w:t>offentlig upphandling</w:t>
      </w:r>
      <w:r w:rsidRPr="00A41557">
        <w:rPr>
          <w:b/>
          <w:iCs/>
          <w:szCs w:val="24"/>
        </w:rPr>
        <w:t xml:space="preserve"> (</w:t>
      </w:r>
      <w:r w:rsidRPr="00A41557">
        <w:rPr>
          <w:b/>
          <w:szCs w:val="24"/>
          <w:lang w:eastAsia="en-GB"/>
        </w:rPr>
        <w:t>första behandlingen</w:t>
      </w:r>
      <w:r w:rsidRPr="00A41557">
        <w:rPr>
          <w:b/>
          <w:iCs/>
          <w:szCs w:val="24"/>
        </w:rPr>
        <w:t>)</w:t>
      </w:r>
    </w:p>
    <w:p w:rsidR="00362EA2" w:rsidRPr="00A41557" w:rsidRDefault="00362EA2" w:rsidP="00362EA2">
      <w:pPr>
        <w:spacing w:line="240" w:lineRule="auto"/>
        <w:ind w:left="567"/>
        <w:rPr>
          <w:i/>
          <w:iCs/>
          <w:szCs w:val="24"/>
        </w:rPr>
      </w:pPr>
      <w:r w:rsidRPr="00A41557">
        <w:rPr>
          <w:i/>
          <w:iCs/>
          <w:szCs w:val="24"/>
        </w:rPr>
        <w:t>–</w:t>
      </w:r>
      <w:r w:rsidRPr="00A41557">
        <w:rPr>
          <w:i/>
          <w:iCs/>
          <w:szCs w:val="24"/>
        </w:rPr>
        <w:tab/>
        <w:t>Lägesrapport</w:t>
      </w:r>
    </w:p>
    <w:p w:rsidR="00362EA2" w:rsidRPr="00A41557" w:rsidRDefault="00362EA2" w:rsidP="00362EA2">
      <w:pPr>
        <w:spacing w:line="240" w:lineRule="auto"/>
        <w:ind w:left="567"/>
        <w:rPr>
          <w:i/>
          <w:iCs/>
          <w:szCs w:val="24"/>
        </w:rPr>
      </w:pPr>
      <w:r w:rsidRPr="00A41557">
        <w:rPr>
          <w:i/>
          <w:iCs/>
          <w:szCs w:val="24"/>
        </w:rPr>
        <w:t>–</w:t>
      </w:r>
      <w:r w:rsidRPr="00A41557">
        <w:rPr>
          <w:i/>
          <w:iCs/>
          <w:szCs w:val="24"/>
        </w:rPr>
        <w:tab/>
        <w:t>Riktlinjedebatt</w:t>
      </w:r>
    </w:p>
    <w:p w:rsidR="00362EA2" w:rsidRPr="00A41557" w:rsidRDefault="00362EA2" w:rsidP="00362EA2">
      <w:pPr>
        <w:spacing w:line="240" w:lineRule="auto"/>
        <w:rPr>
          <w:iCs/>
        </w:rPr>
      </w:pPr>
    </w:p>
    <w:p w:rsidR="00362EA2" w:rsidRPr="00A41557" w:rsidRDefault="00E25614" w:rsidP="00362EA2">
      <w:pPr>
        <w:spacing w:line="240" w:lineRule="auto"/>
        <w:rPr>
          <w:iCs/>
        </w:rPr>
      </w:pPr>
      <w:r w:rsidRPr="00A41557">
        <w:rPr>
          <w:iCs/>
        </w:rPr>
        <w:t>Ansvarigt statsråd: Stefan Attefall</w:t>
      </w:r>
    </w:p>
    <w:p w:rsidR="00E25614" w:rsidRPr="00A41557" w:rsidRDefault="00E25614" w:rsidP="00362EA2">
      <w:pPr>
        <w:spacing w:line="240" w:lineRule="auto"/>
        <w:rPr>
          <w:iCs/>
        </w:rPr>
      </w:pPr>
    </w:p>
    <w:p w:rsidR="00F47C3A" w:rsidRPr="00A41557" w:rsidRDefault="00F47C3A" w:rsidP="00F47C3A">
      <w:pPr>
        <w:pStyle w:val="RKnormal"/>
      </w:pPr>
      <w:r w:rsidRPr="00A41557">
        <w:t>Kommissionen presenterade den 20 december 2011 förslag till nya direktiv om offentlig upphandling som ska ersätta det s.k. klassiska direktivet och försörjningsdirektivet samt ett förslag till direktiv om tilldelning av koncessioner. Förhandlingar pågår i rådsarbetsgruppen och vid dessa har stark tonvikt lagts vid det klassiska direktivet. Målsättningen är att förslaget ska kunna antas före utgången av år 2012. Förslaget har tidigare behandlats i EU-nämnden den 17 februari 2012.</w:t>
      </w:r>
    </w:p>
    <w:p w:rsidR="00F47C3A" w:rsidRPr="00A41557" w:rsidRDefault="00F47C3A" w:rsidP="00F47C3A">
      <w:pPr>
        <w:pStyle w:val="RKnormal"/>
      </w:pPr>
    </w:p>
    <w:p w:rsidR="00F47C3A" w:rsidRPr="00A41557" w:rsidRDefault="00F47C3A" w:rsidP="00F47C3A">
      <w:pPr>
        <w:pStyle w:val="RKnormal"/>
      </w:pPr>
      <w:r w:rsidRPr="00A41557">
        <w:t xml:space="preserve">Ordförandeskapet planerar vid konkurrenskraftsrådets möte den 30 maj 2012 att presentera en lägesrapport </w:t>
      </w:r>
      <w:r w:rsidRPr="00A41557">
        <w:rPr>
          <w:i/>
        </w:rPr>
        <w:t>(progress report)</w:t>
      </w:r>
      <w:r w:rsidRPr="00A41557">
        <w:t xml:space="preserve"> som beskriver arbetet så långt det framskridit under det danska ordförandeskapet. Vidare avses en riktlinjedebatt äga rum i två frågor. Frågorna rör dels förslaget att övergå helt till elektronisk kommunikation inom två år efter införandet av direktivet, dels ordförandeskapets kompromissförslag när det gäller förslaget till regler om tillsyn, rapporteringsskyldighet och styrning.</w:t>
      </w:r>
    </w:p>
    <w:p w:rsidR="00F47C3A" w:rsidRPr="00A41557" w:rsidRDefault="00F47C3A" w:rsidP="00F47C3A">
      <w:pPr>
        <w:pStyle w:val="RKnormal"/>
        <w:rPr>
          <w:i/>
          <w:iCs/>
          <w:szCs w:val="24"/>
        </w:rPr>
      </w:pPr>
      <w:r w:rsidRPr="00A41557">
        <w:rPr>
          <w:i/>
          <w:iCs/>
          <w:szCs w:val="24"/>
        </w:rPr>
        <w:t xml:space="preserve"> </w:t>
      </w:r>
    </w:p>
    <w:p w:rsidR="00F47C3A" w:rsidRPr="00A41557" w:rsidRDefault="00F47C3A" w:rsidP="00F47C3A">
      <w:pPr>
        <w:pStyle w:val="RKnormal"/>
      </w:pPr>
      <w:r w:rsidRPr="00A41557">
        <w:rPr>
          <w:u w:val="single"/>
        </w:rPr>
        <w:t>Förslag till svensk ståndpunkt</w:t>
      </w:r>
      <w:r w:rsidRPr="00A41557">
        <w:t xml:space="preserve">: </w:t>
      </w:r>
    </w:p>
    <w:p w:rsidR="00F47C3A" w:rsidRPr="00A41557" w:rsidRDefault="00F47C3A" w:rsidP="00F47C3A">
      <w:pPr>
        <w:pStyle w:val="RKnormal"/>
        <w:spacing w:line="320" w:lineRule="atLeast"/>
      </w:pPr>
      <w:r w:rsidRPr="00A41557">
        <w:t>Regeringen välkomnar innehållet i rapporten. Regeringen kan ställa sig bakom förslaget att helt övergå till elektronisk kommunikation senast två år från direktivets införlivande, men bör betona vikten av att kommissionen bidrar till att underlätta denna övergång för medlemsstaterna. Regeringen stödjer ordförandeskapets ansats när det gäller tillsyn, rapporteringsskyldighet och vägledning. Det bör emellertid inte åvila medlemsstaterna skyldighet att rapportera sådana uppgifter som kan inhämtas genom den europeiska annonsdatabasen TED.</w:t>
      </w:r>
    </w:p>
    <w:p w:rsidR="00F47C3A" w:rsidRPr="00A41557" w:rsidRDefault="00F47C3A" w:rsidP="00F47C3A">
      <w:pPr>
        <w:pStyle w:val="RKnormal"/>
      </w:pPr>
    </w:p>
    <w:p w:rsidR="00F47C3A" w:rsidRPr="00A41557" w:rsidRDefault="00F47C3A" w:rsidP="00F47C3A">
      <w:pPr>
        <w:pStyle w:val="RKnormal"/>
      </w:pPr>
      <w:r w:rsidRPr="00A41557">
        <w:rPr>
          <w:i/>
        </w:rPr>
        <w:t>Se vidare rådspromemoria.</w:t>
      </w:r>
    </w:p>
    <w:p w:rsidR="00E25614" w:rsidRPr="00A41557" w:rsidRDefault="00E25614" w:rsidP="00362EA2">
      <w:pPr>
        <w:spacing w:line="240" w:lineRule="auto"/>
        <w:rPr>
          <w:iCs/>
        </w:rPr>
      </w:pPr>
    </w:p>
    <w:p w:rsidR="00362EA2" w:rsidRPr="00A41557" w:rsidRDefault="00362EA2" w:rsidP="00362EA2">
      <w:pPr>
        <w:spacing w:line="240" w:lineRule="auto"/>
        <w:rPr>
          <w:szCs w:val="24"/>
        </w:rPr>
      </w:pPr>
    </w:p>
    <w:p w:rsidR="00362EA2" w:rsidRPr="00A41557" w:rsidRDefault="00362EA2" w:rsidP="00362EA2">
      <w:pPr>
        <w:spacing w:line="240" w:lineRule="auto"/>
        <w:outlineLvl w:val="0"/>
        <w:rPr>
          <w:b/>
          <w:bCs/>
          <w:u w:val="single"/>
        </w:rPr>
      </w:pPr>
      <w:r w:rsidRPr="00A41557">
        <w:rPr>
          <w:b/>
          <w:bCs/>
          <w:u w:val="single"/>
        </w:rPr>
        <w:t>Icke lagstiftande verksamhet</w:t>
      </w:r>
    </w:p>
    <w:p w:rsidR="00362EA2" w:rsidRPr="00A41557" w:rsidRDefault="00362EA2" w:rsidP="00362EA2">
      <w:pPr>
        <w:spacing w:line="240" w:lineRule="auto"/>
        <w:rPr>
          <w:bCs/>
        </w:rPr>
      </w:pPr>
    </w:p>
    <w:p w:rsidR="00362EA2" w:rsidRPr="00A41557" w:rsidRDefault="00362EA2" w:rsidP="00362EA2">
      <w:pPr>
        <w:spacing w:line="240" w:lineRule="auto"/>
        <w:rPr>
          <w:b/>
        </w:rPr>
      </w:pPr>
      <w:r w:rsidRPr="00A41557">
        <w:rPr>
          <w:b/>
        </w:rPr>
        <w:t>7.</w:t>
      </w:r>
      <w:r w:rsidRPr="00A41557">
        <w:rPr>
          <w:b/>
        </w:rPr>
        <w:tab/>
      </w:r>
      <w:r w:rsidRPr="00A41557">
        <w:rPr>
          <w:b/>
          <w:bCs/>
        </w:rPr>
        <w:t>Digitala inre marknaden</w:t>
      </w:r>
      <w:r w:rsidRPr="00A41557">
        <w:rPr>
          <w:b/>
        </w:rPr>
        <w:t xml:space="preserve"> och styrningen av den inre </w:t>
      </w:r>
    </w:p>
    <w:p w:rsidR="00362EA2" w:rsidRPr="00A41557" w:rsidRDefault="00362EA2" w:rsidP="00362EA2">
      <w:pPr>
        <w:spacing w:line="240" w:lineRule="auto"/>
        <w:rPr>
          <w:b/>
        </w:rPr>
      </w:pPr>
      <w:r w:rsidRPr="00A41557">
        <w:rPr>
          <w:b/>
        </w:rPr>
        <w:t xml:space="preserve">            marknaden</w:t>
      </w:r>
    </w:p>
    <w:p w:rsidR="00A81ADC" w:rsidRPr="00A41557" w:rsidRDefault="00A81ADC" w:rsidP="00362EA2">
      <w:pPr>
        <w:spacing w:line="240" w:lineRule="auto"/>
        <w:rPr>
          <w:i/>
        </w:rPr>
      </w:pPr>
      <w:r w:rsidRPr="00A41557">
        <w:rPr>
          <w:i/>
        </w:rPr>
        <w:tab/>
        <w:t>- Antagande av rådets slutsatser</w:t>
      </w:r>
    </w:p>
    <w:p w:rsidR="00A81ADC" w:rsidRPr="00A41557" w:rsidRDefault="00A81ADC" w:rsidP="00A81ADC">
      <w:pPr>
        <w:spacing w:line="240" w:lineRule="auto"/>
        <w:rPr>
          <w:i/>
        </w:rPr>
      </w:pPr>
    </w:p>
    <w:p w:rsidR="00E27328" w:rsidRPr="00A41557" w:rsidRDefault="00E27328" w:rsidP="00A81ADC">
      <w:pPr>
        <w:spacing w:line="240" w:lineRule="auto"/>
      </w:pPr>
      <w:r w:rsidRPr="00A41557">
        <w:t>Ansvarigt statsråd: Ewa Björling</w:t>
      </w:r>
    </w:p>
    <w:p w:rsidR="00E27328" w:rsidRPr="00A41557" w:rsidRDefault="00E27328" w:rsidP="00A81ADC">
      <w:pPr>
        <w:spacing w:line="240" w:lineRule="auto"/>
        <w:rPr>
          <w:i/>
        </w:rPr>
      </w:pPr>
    </w:p>
    <w:p w:rsidR="00A81ADC" w:rsidRPr="00A41557" w:rsidRDefault="00A81ADC" w:rsidP="00A81ADC">
      <w:pPr>
        <w:spacing w:line="240" w:lineRule="auto"/>
      </w:pPr>
      <w:r w:rsidRPr="00A41557">
        <w:rPr>
          <w:rFonts w:cs="OrigGarmnd BT"/>
          <w:color w:val="000000"/>
          <w:szCs w:val="24"/>
          <w:lang w:eastAsia="sv-SE"/>
        </w:rPr>
        <w:t xml:space="preserve">Kommissionen har för första gången presenterat ett försök till en sammanhållen rapport om styrning av inre marknaden </w:t>
      </w:r>
      <w:r w:rsidRPr="00A41557">
        <w:t>(</w:t>
      </w:r>
      <w:r w:rsidRPr="00A41557">
        <w:rPr>
          <w:i/>
        </w:rPr>
        <w:t>Annual Governance check-up 2011</w:t>
      </w:r>
      <w:r w:rsidRPr="00A41557">
        <w:t xml:space="preserve">) som både inkluderar den statistik och information som vanligtvis ingår i </w:t>
      </w:r>
      <w:r w:rsidRPr="00A41557">
        <w:rPr>
          <w:i/>
        </w:rPr>
        <w:t>Resultattavlan för inre marknaden</w:t>
      </w:r>
      <w:r w:rsidRPr="00A41557">
        <w:t xml:space="preserve"> och information om inre marknadsverktyg. Rapporten kommer att följas upp årligen. </w:t>
      </w:r>
    </w:p>
    <w:p w:rsidR="00A81ADC" w:rsidRPr="00A41557" w:rsidRDefault="00A81ADC" w:rsidP="00A81ADC">
      <w:pPr>
        <w:spacing w:line="240" w:lineRule="auto"/>
        <w:rPr>
          <w:rFonts w:cs="OrigGarmnd BT"/>
          <w:color w:val="000000"/>
          <w:szCs w:val="24"/>
          <w:lang w:eastAsia="sv-SE"/>
        </w:rPr>
      </w:pPr>
    </w:p>
    <w:p w:rsidR="00A81ADC" w:rsidRPr="00A41557" w:rsidRDefault="00A81ADC" w:rsidP="00A81ADC">
      <w:pPr>
        <w:pStyle w:val="RKnormal"/>
      </w:pPr>
      <w:r w:rsidRPr="00A41557">
        <w:t>Den 11 januari presenterade kommissionen ett meddelande om e-handel (se FaktaPM 2011/12:FPM110). Meddelandet består av en åtgärdsplan innehållande 16 initiativ som syftar till att fram till 2015 fördubbla e-handelns andel av detaljhandeln. Den digitala inre marknaden är idag fragmenterad. Exempel på föreslagen åtgärd är att säkerställa att lagstiftning inte diskriminerar mot gränsöverskridande e-handel.</w:t>
      </w:r>
    </w:p>
    <w:p w:rsidR="00A81ADC" w:rsidRPr="00A41557" w:rsidRDefault="00A81ADC" w:rsidP="00A81ADC">
      <w:pPr>
        <w:pStyle w:val="RKnormal"/>
      </w:pPr>
    </w:p>
    <w:p w:rsidR="00A81ADC" w:rsidRPr="00A41557" w:rsidRDefault="00A81ADC" w:rsidP="00A81ADC">
      <w:pPr>
        <w:spacing w:line="240" w:lineRule="auto"/>
        <w:rPr>
          <w:rFonts w:cs="OrigGarmnd BT"/>
          <w:color w:val="000000"/>
          <w:szCs w:val="24"/>
          <w:lang w:eastAsia="sv-SE"/>
        </w:rPr>
      </w:pPr>
      <w:r w:rsidRPr="00A41557">
        <w:rPr>
          <w:rFonts w:cs="OrigGarmnd BT"/>
          <w:color w:val="000000"/>
          <w:szCs w:val="24"/>
          <w:lang w:eastAsia="sv-SE"/>
        </w:rPr>
        <w:t xml:space="preserve">Danska ordförandeskapet har valt att behandla de två dokumenten inom ramen för gemensamma slutsatser. </w:t>
      </w:r>
      <w:r w:rsidRPr="00A41557">
        <w:t>Vid informella konkurrenskraftsrådet 2-3 februari diskuterades hur utbud och efterfrågan på den digitala inre marknaden kan stärkas. Även denna diskussion ligger till grund för slutsatserna.</w:t>
      </w:r>
    </w:p>
    <w:p w:rsidR="00A81ADC" w:rsidRPr="00A41557" w:rsidRDefault="00A81ADC" w:rsidP="00A81ADC">
      <w:pPr>
        <w:spacing w:line="240" w:lineRule="auto"/>
        <w:rPr>
          <w:rFonts w:cs="OrigGarmnd BT"/>
          <w:color w:val="000000"/>
          <w:szCs w:val="24"/>
          <w:lang w:eastAsia="sv-SE"/>
        </w:rPr>
      </w:pPr>
    </w:p>
    <w:p w:rsidR="00A81ADC" w:rsidRPr="00A41557" w:rsidRDefault="00A81ADC" w:rsidP="00A81ADC">
      <w:pPr>
        <w:pStyle w:val="RKnormal"/>
      </w:pPr>
      <w:r w:rsidRPr="00A41557">
        <w:t>EUN har inte tidigare blivit informerade om slutsatserna.</w:t>
      </w:r>
    </w:p>
    <w:p w:rsidR="00A81ADC" w:rsidRPr="00A41557" w:rsidRDefault="00A81ADC" w:rsidP="00A81ADC">
      <w:pPr>
        <w:pStyle w:val="RKnormal"/>
      </w:pPr>
    </w:p>
    <w:p w:rsidR="00A81ADC" w:rsidRPr="00A41557" w:rsidRDefault="00A81ADC" w:rsidP="00A81ADC">
      <w:pPr>
        <w:pStyle w:val="RKnormal"/>
      </w:pPr>
      <w:r w:rsidRPr="00A41557">
        <w:rPr>
          <w:u w:val="single"/>
        </w:rPr>
        <w:t>Förslag till svensk ståndpunkt:</w:t>
      </w:r>
      <w:r w:rsidRPr="00A41557">
        <w:t xml:space="preserve"> Regeringen välkomnar slutsatserna som fokuserar på att förbättra styrningen av inre marknaden och dess funktion samt på hur den digitala inre marknaden och gränsöverskridande e-handel kan utvecklas. Detta är två viktiga områden som har stor potential att stärka tillväxten och öka sysselsättningen.</w:t>
      </w:r>
    </w:p>
    <w:p w:rsidR="00362EA2" w:rsidRPr="00A41557" w:rsidRDefault="00362EA2" w:rsidP="00362EA2">
      <w:pPr>
        <w:spacing w:line="240" w:lineRule="auto"/>
        <w:rPr>
          <w:i/>
        </w:rPr>
      </w:pPr>
    </w:p>
    <w:p w:rsidR="00362EA2" w:rsidRPr="00A41557" w:rsidRDefault="00362EA2" w:rsidP="00362EA2">
      <w:pPr>
        <w:spacing w:line="240" w:lineRule="auto"/>
        <w:rPr>
          <w:i/>
        </w:rPr>
      </w:pPr>
    </w:p>
    <w:p w:rsidR="00362EA2" w:rsidRPr="00A41557" w:rsidRDefault="00362EA2" w:rsidP="00362EA2">
      <w:pPr>
        <w:spacing w:line="240" w:lineRule="auto"/>
        <w:rPr>
          <w:i/>
          <w:iCs/>
        </w:rPr>
      </w:pPr>
      <w:r w:rsidRPr="00A41557">
        <w:rPr>
          <w:b/>
          <w:bCs/>
          <w:u w:val="single"/>
        </w:rPr>
        <w:t>Lagstiftningsöverläggningar</w:t>
      </w:r>
    </w:p>
    <w:p w:rsidR="00362EA2" w:rsidRPr="00A41557" w:rsidRDefault="00362EA2" w:rsidP="00362EA2">
      <w:pPr>
        <w:spacing w:line="240" w:lineRule="auto"/>
        <w:rPr>
          <w:szCs w:val="24"/>
        </w:rPr>
      </w:pPr>
    </w:p>
    <w:p w:rsidR="00362EA2" w:rsidRPr="00A41557" w:rsidRDefault="00362EA2" w:rsidP="00F47C3A">
      <w:pPr>
        <w:tabs>
          <w:tab w:val="left" w:pos="567"/>
        </w:tabs>
        <w:spacing w:line="240" w:lineRule="auto"/>
        <w:ind w:left="1134" w:hanging="1134"/>
        <w:rPr>
          <w:b/>
        </w:rPr>
      </w:pPr>
      <w:r w:rsidRPr="00A41557">
        <w:rPr>
          <w:b/>
          <w:szCs w:val="24"/>
        </w:rPr>
        <w:t>8.</w:t>
      </w:r>
      <w:r w:rsidRPr="00A41557">
        <w:rPr>
          <w:b/>
          <w:szCs w:val="24"/>
        </w:rPr>
        <w:tab/>
        <w:t>a)</w:t>
      </w:r>
      <w:r w:rsidRPr="00A41557">
        <w:rPr>
          <w:b/>
          <w:szCs w:val="24"/>
        </w:rPr>
        <w:tab/>
      </w:r>
      <w:r w:rsidRPr="00A41557">
        <w:rPr>
          <w:b/>
        </w:rPr>
        <w:t xml:space="preserve">Förslag till Europaparlamentets och rådets direktiv om alternativ tvistlösning vid konsumenttvister och om ändring av förordning (EG) nr 2006/2004 och direktiv 2009/22/EG (direktivet om </w:t>
      </w:r>
      <w:r w:rsidRPr="00A41557">
        <w:rPr>
          <w:b/>
          <w:bCs/>
        </w:rPr>
        <w:t>alternativ lösning av konsumenttvister</w:t>
      </w:r>
      <w:r w:rsidRPr="00A41557">
        <w:rPr>
          <w:b/>
        </w:rPr>
        <w:t>)</w:t>
      </w:r>
      <w:r w:rsidRPr="00A41557">
        <w:rPr>
          <w:b/>
          <w:bCs/>
        </w:rPr>
        <w:t xml:space="preserve"> (första behandlingen)</w:t>
      </w:r>
    </w:p>
    <w:p w:rsidR="00362EA2" w:rsidRPr="00A41557" w:rsidRDefault="00362EA2" w:rsidP="00362EA2">
      <w:pPr>
        <w:spacing w:line="240" w:lineRule="auto"/>
        <w:ind w:left="1134" w:hanging="567"/>
        <w:rPr>
          <w:b/>
        </w:rPr>
      </w:pPr>
      <w:r w:rsidRPr="00A41557">
        <w:rPr>
          <w:b/>
        </w:rPr>
        <w:t>b)</w:t>
      </w:r>
      <w:r w:rsidRPr="00A41557">
        <w:rPr>
          <w:b/>
        </w:rPr>
        <w:tab/>
        <w:t xml:space="preserve">Förslag till Europaparlamentets och rådets förordning om tvistlösning online vid konsumenttvister (förordningen om </w:t>
      </w:r>
      <w:r w:rsidRPr="00A41557">
        <w:rPr>
          <w:b/>
          <w:bCs/>
        </w:rPr>
        <w:t>tvistlösning online vid konsumenttvister</w:t>
      </w:r>
      <w:r w:rsidRPr="00A41557">
        <w:rPr>
          <w:b/>
        </w:rPr>
        <w:t>)</w:t>
      </w:r>
      <w:r w:rsidRPr="00A41557">
        <w:rPr>
          <w:b/>
          <w:bCs/>
        </w:rPr>
        <w:t xml:space="preserve"> (första behandlingen)</w:t>
      </w:r>
    </w:p>
    <w:p w:rsidR="00362EA2" w:rsidRPr="00A41557" w:rsidRDefault="00362EA2" w:rsidP="00362EA2">
      <w:pPr>
        <w:spacing w:line="240" w:lineRule="auto"/>
        <w:ind w:left="1134"/>
        <w:rPr>
          <w:i/>
        </w:rPr>
      </w:pPr>
      <w:r w:rsidRPr="00A41557">
        <w:rPr>
          <w:i/>
        </w:rPr>
        <w:t>–</w:t>
      </w:r>
      <w:r w:rsidRPr="00A41557">
        <w:rPr>
          <w:i/>
        </w:rPr>
        <w:tab/>
        <w:t>Allmä</w:t>
      </w:r>
      <w:r w:rsidR="00F47C3A" w:rsidRPr="00A41557">
        <w:rPr>
          <w:i/>
        </w:rPr>
        <w:t>n</w:t>
      </w:r>
      <w:r w:rsidRPr="00A41557">
        <w:rPr>
          <w:i/>
        </w:rPr>
        <w:t>n</w:t>
      </w:r>
      <w:r w:rsidR="00F47C3A" w:rsidRPr="00A41557">
        <w:rPr>
          <w:i/>
        </w:rPr>
        <w:t>a</w:t>
      </w:r>
      <w:r w:rsidRPr="00A41557">
        <w:rPr>
          <w:i/>
        </w:rPr>
        <w:t xml:space="preserve"> riktlinje</w:t>
      </w:r>
      <w:r w:rsidR="00F47C3A" w:rsidRPr="00A41557">
        <w:rPr>
          <w:i/>
        </w:rPr>
        <w:t>r</w:t>
      </w:r>
    </w:p>
    <w:p w:rsidR="00E25614" w:rsidRPr="00A41557" w:rsidRDefault="00E25614" w:rsidP="00362EA2">
      <w:pPr>
        <w:spacing w:line="240" w:lineRule="auto"/>
        <w:rPr>
          <w:iCs/>
          <w:szCs w:val="24"/>
        </w:rPr>
      </w:pPr>
    </w:p>
    <w:p w:rsidR="00E25614" w:rsidRPr="00A41557" w:rsidRDefault="00E25614" w:rsidP="00362EA2">
      <w:pPr>
        <w:spacing w:line="240" w:lineRule="auto"/>
        <w:rPr>
          <w:iCs/>
          <w:szCs w:val="24"/>
        </w:rPr>
      </w:pPr>
      <w:r w:rsidRPr="00A41557">
        <w:rPr>
          <w:iCs/>
          <w:szCs w:val="24"/>
        </w:rPr>
        <w:t>Ansvarigt statsråd: Birgitta Ohlsson</w:t>
      </w:r>
    </w:p>
    <w:p w:rsidR="007010C5" w:rsidRPr="00A41557" w:rsidRDefault="007010C5" w:rsidP="007010C5">
      <w:pPr>
        <w:pStyle w:val="RKrubrik"/>
        <w:spacing w:line="240" w:lineRule="auto"/>
        <w:rPr>
          <w:rFonts w:ascii="OrigGarmnd BT" w:hAnsi="OrigGarmnd BT"/>
          <w:b w:val="0"/>
          <w:sz w:val="24"/>
        </w:rPr>
      </w:pPr>
      <w:r w:rsidRPr="00A41557">
        <w:rPr>
          <w:rFonts w:ascii="OrigGarmnd BT" w:hAnsi="OrigGarmnd BT"/>
          <w:b w:val="0"/>
          <w:sz w:val="24"/>
        </w:rPr>
        <w:t xml:space="preserve">Europeiska kommissionen lade i november 2011 fram ett direktivförslag om alternativ tvistlösning för konsumenter och ett förordningsförslag om tvistlösning online för konsumenttvister. Förslagen syftar till att förbättra den inre marknadens funktion genom att främja konsumenters möjligheter att få rättelse utanför domstol i samband med tvister med näringsidkare inom EU. Mot bakgrund av att det är ett högt prioriterat lagstiftningsarbete har förhandlingsarbetet under våren varit intensivt. Ordförandeskapet har lagt fram kompromissförslag för de båda rättsakterna med målet att rådet ska enas om en allmän inriktning på Konkurrenskraftsrådet.  </w:t>
      </w:r>
    </w:p>
    <w:p w:rsidR="007010C5" w:rsidRPr="00A41557" w:rsidRDefault="007010C5" w:rsidP="007010C5">
      <w:pPr>
        <w:pStyle w:val="RKrubrik"/>
        <w:spacing w:line="240" w:lineRule="auto"/>
        <w:rPr>
          <w:rFonts w:ascii="OrigGarmnd BT" w:hAnsi="OrigGarmnd BT"/>
          <w:b w:val="0"/>
          <w:sz w:val="24"/>
        </w:rPr>
      </w:pPr>
      <w:r w:rsidRPr="00A41557">
        <w:rPr>
          <w:rFonts w:ascii="OrigGarmnd BT" w:hAnsi="OrigGarmnd BT"/>
          <w:b w:val="0"/>
          <w:sz w:val="24"/>
          <w:u w:val="single"/>
        </w:rPr>
        <w:t>Förslag till svensk ståndpunkt:</w:t>
      </w:r>
      <w:r w:rsidRPr="00A41557">
        <w:rPr>
          <w:rFonts w:ascii="OrigGarmnd BT" w:hAnsi="OrigGarmnd BT"/>
          <w:b w:val="0"/>
          <w:sz w:val="24"/>
        </w:rPr>
        <w:t xml:space="preserve"> Regeringen är positiv till kommissionens initiativ och kan stödja kompromissförslaget. </w:t>
      </w:r>
    </w:p>
    <w:p w:rsidR="007010C5" w:rsidRPr="00A41557" w:rsidRDefault="007010C5" w:rsidP="007010C5">
      <w:pPr>
        <w:pStyle w:val="RKnormal"/>
      </w:pPr>
    </w:p>
    <w:p w:rsidR="007010C5" w:rsidRPr="00A41557" w:rsidRDefault="00F47C3A" w:rsidP="007010C5">
      <w:pPr>
        <w:pStyle w:val="RKnormal"/>
        <w:rPr>
          <w:i/>
        </w:rPr>
      </w:pPr>
      <w:r w:rsidRPr="00A41557">
        <w:rPr>
          <w:i/>
        </w:rPr>
        <w:t>Se vidare i rådspromemoria.</w:t>
      </w:r>
    </w:p>
    <w:p w:rsidR="005D34B0" w:rsidRPr="00A41557" w:rsidRDefault="005D34B0" w:rsidP="007010C5">
      <w:pPr>
        <w:pStyle w:val="RKnormal"/>
        <w:rPr>
          <w:i/>
        </w:rPr>
      </w:pPr>
    </w:p>
    <w:p w:rsidR="007010C5" w:rsidRPr="00A41557" w:rsidRDefault="007010C5" w:rsidP="007010C5">
      <w:pPr>
        <w:pStyle w:val="RKnormal"/>
        <w:rPr>
          <w:iCs/>
          <w:szCs w:val="24"/>
        </w:rPr>
      </w:pPr>
    </w:p>
    <w:p w:rsidR="00362EA2" w:rsidRPr="00A41557" w:rsidRDefault="00362EA2" w:rsidP="00362EA2">
      <w:pPr>
        <w:spacing w:line="240" w:lineRule="auto"/>
        <w:outlineLvl w:val="0"/>
        <w:rPr>
          <w:b/>
          <w:bCs/>
          <w:u w:val="single"/>
        </w:rPr>
      </w:pPr>
      <w:r w:rsidRPr="00A41557">
        <w:rPr>
          <w:b/>
          <w:bCs/>
          <w:u w:val="single"/>
        </w:rPr>
        <w:t>Icke lagstiftande verksamhet</w:t>
      </w:r>
    </w:p>
    <w:p w:rsidR="00362EA2" w:rsidRPr="00A41557" w:rsidRDefault="00362EA2" w:rsidP="00362EA2">
      <w:pPr>
        <w:spacing w:line="240" w:lineRule="auto"/>
        <w:rPr>
          <w:bCs/>
        </w:rPr>
      </w:pPr>
    </w:p>
    <w:p w:rsidR="00362EA2" w:rsidRPr="00A41557" w:rsidRDefault="00362EA2" w:rsidP="00362EA2">
      <w:pPr>
        <w:spacing w:line="240" w:lineRule="auto"/>
        <w:rPr>
          <w:b/>
        </w:rPr>
      </w:pPr>
      <w:r w:rsidRPr="00A41557">
        <w:rPr>
          <w:b/>
        </w:rPr>
        <w:t>9.</w:t>
      </w:r>
      <w:r w:rsidRPr="00A41557">
        <w:rPr>
          <w:b/>
        </w:rPr>
        <w:tab/>
        <w:t xml:space="preserve">Utkast till avtal om inrättande av en enhetlig patentdomstol </w:t>
      </w:r>
    </w:p>
    <w:p w:rsidR="00362EA2" w:rsidRPr="00A41557" w:rsidRDefault="00362EA2" w:rsidP="00362EA2">
      <w:pPr>
        <w:spacing w:line="240" w:lineRule="auto"/>
        <w:rPr>
          <w:b/>
        </w:rPr>
      </w:pPr>
      <w:r w:rsidRPr="00A41557">
        <w:rPr>
          <w:b/>
        </w:rPr>
        <w:t xml:space="preserve">            och utkast till stadga</w:t>
      </w:r>
    </w:p>
    <w:p w:rsidR="00362EA2" w:rsidRPr="00A41557" w:rsidRDefault="00362EA2" w:rsidP="00362EA2">
      <w:pPr>
        <w:spacing w:line="240" w:lineRule="auto"/>
        <w:ind w:left="567"/>
        <w:rPr>
          <w:i/>
          <w:iCs/>
        </w:rPr>
      </w:pPr>
      <w:r w:rsidRPr="00A41557">
        <w:rPr>
          <w:i/>
          <w:iCs/>
        </w:rPr>
        <w:t xml:space="preserve">  – Politisk överenskommelse</w:t>
      </w:r>
    </w:p>
    <w:p w:rsidR="00362EA2" w:rsidRPr="00A41557" w:rsidRDefault="00362EA2" w:rsidP="00362EA2">
      <w:pPr>
        <w:spacing w:line="235" w:lineRule="auto"/>
        <w:outlineLvl w:val="0"/>
        <w:rPr>
          <w:b/>
          <w:u w:val="single"/>
        </w:rPr>
      </w:pPr>
    </w:p>
    <w:p w:rsidR="00E476C7" w:rsidRPr="00A41557" w:rsidRDefault="00E476C7" w:rsidP="00E476C7">
      <w:pPr>
        <w:spacing w:line="240" w:lineRule="auto"/>
      </w:pPr>
      <w:r w:rsidRPr="00A41557">
        <w:t>Ansvarigt statsråd: Beatrice Ask</w:t>
      </w:r>
    </w:p>
    <w:p w:rsidR="00E476C7" w:rsidRPr="00A41557" w:rsidRDefault="00E476C7" w:rsidP="00E476C7">
      <w:pPr>
        <w:spacing w:line="240" w:lineRule="auto"/>
      </w:pPr>
    </w:p>
    <w:p w:rsidR="0063399E" w:rsidRPr="00A41557" w:rsidRDefault="0063399E" w:rsidP="0063399E">
      <w:r w:rsidRPr="00A41557">
        <w:t xml:space="preserve">I december 2011 nåddes en informell överenskommelse mellan rådet och EP om de båda patentförordningarna. Vid konkurrenskraftrådet den 5 december kunde medlemsstaterna enas i alla frågor avseende den enhetliga patentdomstolen utom placeringen av domstolens centrala avdelning i första instans. Ordförandeskapet föreslog Paris, vilket inte accepterades av Tyskland och Storbritannien. Enligt slutsatserna från Europeiska rådet i januari och mars bör en överenskommelse om denna sista utestående fråga nås senast i juni 2012. Bilaterala förhandlingar pågår mellan Frankrike, Tyskland och Storbritannien. Frågan kommer att behandlas vid konkurrenskraftrådet den 30 maj och förhoppningen är att en överenskommelse då kan nås. </w:t>
      </w:r>
    </w:p>
    <w:p w:rsidR="0063399E" w:rsidRPr="00A41557" w:rsidRDefault="0063399E" w:rsidP="0063399E"/>
    <w:p w:rsidR="0063399E" w:rsidRPr="00A41557" w:rsidRDefault="0063399E" w:rsidP="0063399E">
      <w:pPr>
        <w:pStyle w:val="RKnormal"/>
      </w:pPr>
      <w:r w:rsidRPr="00A41557">
        <w:rPr>
          <w:u w:val="single"/>
        </w:rPr>
        <w:t>Svensk ståndpunkt</w:t>
      </w:r>
      <w:r w:rsidRPr="00A41557">
        <w:t xml:space="preserve">: Frågan om placeringen av den centrala avdelningen bör lösas snabbt annars finns det risk att överenskommelsen i övriga delar vittrar sönder. </w:t>
      </w:r>
      <w:r w:rsidR="005D34B0" w:rsidRPr="00A41557">
        <w:t xml:space="preserve">Regeringen </w:t>
      </w:r>
      <w:r w:rsidRPr="00A41557">
        <w:t xml:space="preserve">kan acceptera samtliga de orter som är aktuella för placeringen av den centrala avdelningen (München, Paris, London eller Haag). </w:t>
      </w:r>
      <w:r w:rsidR="005D34B0" w:rsidRPr="00A41557">
        <w:t>Regeringen</w:t>
      </w:r>
      <w:r w:rsidRPr="00A41557">
        <w:t xml:space="preserve"> kan även acceptera att den centrala avdelningen delas mellan två av dessa orter.</w:t>
      </w:r>
    </w:p>
    <w:p w:rsidR="0063399E" w:rsidRPr="00A41557" w:rsidRDefault="0063399E" w:rsidP="0063399E">
      <w:pPr>
        <w:pStyle w:val="RKnormal"/>
      </w:pPr>
    </w:p>
    <w:p w:rsidR="0063399E" w:rsidRPr="00A41557" w:rsidRDefault="0063399E" w:rsidP="0063399E">
      <w:pPr>
        <w:pStyle w:val="RKnormal"/>
        <w:rPr>
          <w:i/>
        </w:rPr>
      </w:pPr>
      <w:r w:rsidRPr="00A41557">
        <w:rPr>
          <w:i/>
        </w:rPr>
        <w:t>Se vidare i rådspromemoria.</w:t>
      </w:r>
    </w:p>
    <w:p w:rsidR="00362EA2" w:rsidRPr="00A41557" w:rsidRDefault="00362EA2" w:rsidP="00362EA2">
      <w:pPr>
        <w:spacing w:line="235" w:lineRule="auto"/>
      </w:pPr>
    </w:p>
    <w:p w:rsidR="00362EA2" w:rsidRPr="00A41557" w:rsidRDefault="00362EA2" w:rsidP="00362EA2">
      <w:pPr>
        <w:spacing w:line="235" w:lineRule="auto"/>
      </w:pPr>
    </w:p>
    <w:p w:rsidR="00362EA2" w:rsidRPr="00A41557" w:rsidRDefault="00362EA2" w:rsidP="00362EA2">
      <w:pPr>
        <w:spacing w:line="235" w:lineRule="auto"/>
        <w:outlineLvl w:val="0"/>
        <w:rPr>
          <w:u w:val="single"/>
        </w:rPr>
      </w:pPr>
      <w:r w:rsidRPr="00A41557">
        <w:rPr>
          <w:u w:val="single"/>
        </w:rPr>
        <w:t>FORSKNING</w:t>
      </w:r>
    </w:p>
    <w:p w:rsidR="00362EA2" w:rsidRPr="00A41557" w:rsidRDefault="00362EA2" w:rsidP="00362EA2">
      <w:pPr>
        <w:spacing w:line="235" w:lineRule="auto"/>
      </w:pPr>
    </w:p>
    <w:p w:rsidR="00362EA2" w:rsidRPr="00A41557" w:rsidRDefault="00362EA2" w:rsidP="00362EA2">
      <w:pPr>
        <w:spacing w:line="235" w:lineRule="auto"/>
        <w:outlineLvl w:val="0"/>
        <w:rPr>
          <w:b/>
          <w:bCs/>
          <w:u w:val="single"/>
        </w:rPr>
      </w:pPr>
      <w:r w:rsidRPr="00A41557">
        <w:rPr>
          <w:b/>
          <w:bCs/>
          <w:u w:val="single"/>
        </w:rPr>
        <w:t>Lagstiftningsöverläggningar</w:t>
      </w:r>
    </w:p>
    <w:p w:rsidR="00362EA2" w:rsidRPr="00A41557" w:rsidRDefault="00362EA2" w:rsidP="00362EA2">
      <w:pPr>
        <w:spacing w:line="235" w:lineRule="auto"/>
        <w:rPr>
          <w:b/>
        </w:rPr>
      </w:pPr>
      <w:r w:rsidRPr="00A41557">
        <w:rPr>
          <w:b/>
          <w:bCs/>
        </w:rPr>
        <w:t>(</w:t>
      </w:r>
      <w:r w:rsidRPr="00A41557">
        <w:rPr>
          <w:b/>
          <w:bCs/>
          <w:iCs/>
        </w:rPr>
        <w:t>Offentlig överläggning i enlighet med artikel 16.8 i fördraget om Europeiska unionen</w:t>
      </w:r>
      <w:r w:rsidRPr="00A41557">
        <w:rPr>
          <w:b/>
          <w:bCs/>
        </w:rPr>
        <w:t>)</w:t>
      </w:r>
    </w:p>
    <w:p w:rsidR="00362EA2" w:rsidRPr="00A41557" w:rsidRDefault="00362EA2" w:rsidP="00362EA2">
      <w:pPr>
        <w:spacing w:line="235" w:lineRule="auto"/>
      </w:pPr>
    </w:p>
    <w:p w:rsidR="00362EA2" w:rsidRPr="00A41557" w:rsidRDefault="00362EA2" w:rsidP="00362EA2">
      <w:pPr>
        <w:spacing w:line="235" w:lineRule="auto"/>
        <w:rPr>
          <w:b/>
        </w:rPr>
      </w:pPr>
    </w:p>
    <w:p w:rsidR="00362EA2" w:rsidRPr="00A41557" w:rsidRDefault="00362EA2" w:rsidP="00362EA2">
      <w:pPr>
        <w:spacing w:line="235" w:lineRule="auto"/>
        <w:rPr>
          <w:b/>
        </w:rPr>
      </w:pPr>
      <w:r w:rsidRPr="00A41557">
        <w:rPr>
          <w:b/>
          <w:szCs w:val="24"/>
        </w:rPr>
        <w:t>10</w:t>
      </w:r>
      <w:r w:rsidRPr="00A41557">
        <w:rPr>
          <w:b/>
        </w:rPr>
        <w:t>.</w:t>
      </w:r>
      <w:r w:rsidRPr="00A41557">
        <w:rPr>
          <w:b/>
        </w:rPr>
        <w:tab/>
      </w:r>
      <w:r w:rsidRPr="00A41557">
        <w:rPr>
          <w:b/>
          <w:bCs/>
        </w:rPr>
        <w:t>Horisont 2020</w:t>
      </w:r>
      <w:r w:rsidRPr="00A41557">
        <w:rPr>
          <w:b/>
        </w:rPr>
        <w:t xml:space="preserve"> (</w:t>
      </w:r>
      <w:r w:rsidRPr="00A41557">
        <w:rPr>
          <w:b/>
          <w:iCs/>
        </w:rPr>
        <w:t>första behandlingen</w:t>
      </w:r>
      <w:r w:rsidRPr="00A41557">
        <w:rPr>
          <w:b/>
        </w:rPr>
        <w:t>)</w:t>
      </w:r>
    </w:p>
    <w:p w:rsidR="00362EA2" w:rsidRPr="00A41557" w:rsidRDefault="00362EA2" w:rsidP="00362EA2">
      <w:pPr>
        <w:spacing w:line="235" w:lineRule="auto"/>
      </w:pPr>
    </w:p>
    <w:p w:rsidR="00362EA2" w:rsidRPr="00A41557" w:rsidRDefault="00362EA2" w:rsidP="00362EA2">
      <w:pPr>
        <w:spacing w:line="235" w:lineRule="auto"/>
        <w:ind w:left="1134" w:hanging="567"/>
        <w:rPr>
          <w:b/>
        </w:rPr>
      </w:pPr>
      <w:r w:rsidRPr="00A41557">
        <w:rPr>
          <w:b/>
        </w:rPr>
        <w:t>a)</w:t>
      </w:r>
      <w:r w:rsidRPr="00A41557">
        <w:rPr>
          <w:b/>
        </w:rPr>
        <w:tab/>
        <w:t>Förslag till Europaparlamentets och rådets förordning om inrättande av Horisont 2020 – ramprogrammet för forskning och innovation (2014–2020)</w:t>
      </w:r>
    </w:p>
    <w:p w:rsidR="00362EA2" w:rsidRPr="00A41557" w:rsidRDefault="00E476C7" w:rsidP="00E476C7">
      <w:pPr>
        <w:spacing w:line="235" w:lineRule="auto"/>
        <w:ind w:left="1134"/>
        <w:rPr>
          <w:i/>
        </w:rPr>
      </w:pPr>
      <w:r w:rsidRPr="00A41557">
        <w:rPr>
          <w:i/>
        </w:rPr>
        <w:t>–</w:t>
      </w:r>
      <w:r w:rsidRPr="00A41557">
        <w:rPr>
          <w:i/>
        </w:rPr>
        <w:tab/>
        <w:t>Partiell allmän riktlinje</w:t>
      </w:r>
    </w:p>
    <w:p w:rsidR="00362EA2" w:rsidRPr="00A41557" w:rsidRDefault="00362EA2" w:rsidP="00E476C7">
      <w:pPr>
        <w:spacing w:line="235" w:lineRule="auto"/>
        <w:ind w:left="1134" w:hanging="567"/>
        <w:rPr>
          <w:b/>
        </w:rPr>
      </w:pPr>
      <w:r w:rsidRPr="00A41557">
        <w:rPr>
          <w:b/>
        </w:rPr>
        <w:t>b)</w:t>
      </w:r>
      <w:r w:rsidRPr="00A41557">
        <w:rPr>
          <w:b/>
        </w:rPr>
        <w:tab/>
        <w:t>Förslag till Europaparlamentets och rådets förordning om reglerna för deltagande och spridning i "Horisont 2020 – ramprogrammet för forskn</w:t>
      </w:r>
      <w:r w:rsidR="00E476C7" w:rsidRPr="00A41557">
        <w:rPr>
          <w:b/>
        </w:rPr>
        <w:t>ing och innovation (2014–2020)"</w:t>
      </w:r>
    </w:p>
    <w:p w:rsidR="00362EA2" w:rsidRPr="00A41557" w:rsidRDefault="00362EA2" w:rsidP="00E476C7">
      <w:pPr>
        <w:spacing w:line="235" w:lineRule="auto"/>
        <w:ind w:left="1134" w:hanging="567"/>
        <w:rPr>
          <w:b/>
        </w:rPr>
      </w:pPr>
      <w:r w:rsidRPr="00A41557">
        <w:rPr>
          <w:b/>
        </w:rPr>
        <w:t>c)</w:t>
      </w:r>
      <w:r w:rsidRPr="00A41557">
        <w:rPr>
          <w:b/>
        </w:rPr>
        <w:tab/>
        <w:t>Förslag till rådets beslut om inrättande av det särskilda programmet för genomförande av Horisont 2020 – ramprogrammet för forsk</w:t>
      </w:r>
      <w:r w:rsidR="00E476C7" w:rsidRPr="00A41557">
        <w:rPr>
          <w:b/>
        </w:rPr>
        <w:t>ning och innovation (2014–2020)</w:t>
      </w:r>
    </w:p>
    <w:p w:rsidR="00362EA2" w:rsidRPr="00A41557" w:rsidRDefault="00362EA2" w:rsidP="00A81ADC">
      <w:pPr>
        <w:spacing w:line="235" w:lineRule="auto"/>
        <w:ind w:left="1134" w:hanging="567"/>
        <w:rPr>
          <w:b/>
        </w:rPr>
      </w:pPr>
      <w:r w:rsidRPr="00A41557">
        <w:rPr>
          <w:b/>
        </w:rPr>
        <w:t>d)</w:t>
      </w:r>
      <w:r w:rsidRPr="00A41557">
        <w:rPr>
          <w:b/>
        </w:rPr>
        <w:tab/>
        <w:t>Förslag till rådets förordning om Europeiska atomenergigemenskapens forsknings- och utbildningsprogram (2014–2018) som kompletterar Horisont 2020 – ramprogramm</w:t>
      </w:r>
      <w:r w:rsidR="00A81ADC" w:rsidRPr="00A41557">
        <w:rPr>
          <w:b/>
        </w:rPr>
        <w:t>et för forskning och innovation</w:t>
      </w:r>
    </w:p>
    <w:p w:rsidR="00362EA2" w:rsidRPr="00A41557" w:rsidRDefault="00362EA2" w:rsidP="00A81ADC">
      <w:pPr>
        <w:spacing w:line="235" w:lineRule="auto"/>
        <w:ind w:left="981" w:firstLine="153"/>
        <w:rPr>
          <w:bCs/>
          <w:i/>
        </w:rPr>
      </w:pPr>
      <w:r w:rsidRPr="00A41557">
        <w:rPr>
          <w:i/>
          <w:iCs/>
        </w:rPr>
        <w:t>–</w:t>
      </w:r>
      <w:r w:rsidRPr="00A41557">
        <w:rPr>
          <w:i/>
          <w:iCs/>
        </w:rPr>
        <w:tab/>
        <w:t>Lägesrapport</w:t>
      </w:r>
    </w:p>
    <w:p w:rsidR="00362EA2" w:rsidRPr="00A41557" w:rsidRDefault="00362EA2" w:rsidP="00362EA2">
      <w:pPr>
        <w:spacing w:line="235" w:lineRule="auto"/>
      </w:pPr>
    </w:p>
    <w:p w:rsidR="00E476C7" w:rsidRPr="00A41557" w:rsidRDefault="00E476C7" w:rsidP="00E476C7">
      <w:pPr>
        <w:spacing w:line="240" w:lineRule="auto"/>
      </w:pPr>
      <w:r w:rsidRPr="00A41557">
        <w:t>Ansvarigt statsråd: Jan Björklund</w:t>
      </w:r>
    </w:p>
    <w:p w:rsidR="00E476C7" w:rsidRPr="00A41557" w:rsidRDefault="00E476C7" w:rsidP="00E476C7">
      <w:pPr>
        <w:pStyle w:val="RKnormal"/>
      </w:pPr>
    </w:p>
    <w:p w:rsidR="00E476C7" w:rsidRPr="00A41557" w:rsidRDefault="00E476C7" w:rsidP="00E476C7">
      <w:pPr>
        <w:pStyle w:val="RKnormal"/>
      </w:pPr>
      <w:r w:rsidRPr="00A41557">
        <w:t>Den 30 november 2011 presenterades kommissionens förslag till ramprogram för forskning och innovation - Horisont 2020. Förslaget utgör en del av kommissionens förslag till EU:s fleråriga budgetram för perioden 2014–2020. Horisont 2020 rymmer fyra olika delförslag, varav förordningen för ramprogrammet är det övergripande förslaget. Därtill finns förslag om deltaganderegler, förslag om särskilt program och förslag om Euratoms forsknings- och utbildningsprogram. Horisont 2020 rymmer tre strategiska målsättningar: spetskompetens, industriellt ledarskap och samhälleliga utmaningar. Det danska ordförandeskapet har under våren 2012 fört förhandlingar om förslaget till ramprogram i syfte att besluta om en partiell allmän inriktning vid KKR (forskning) den 31 maj 2012. För övriga förslag inom Horisont 2020 har förhandlingar inletts, vilka presenteras i en framstegsrapport.</w:t>
      </w:r>
    </w:p>
    <w:p w:rsidR="00E476C7" w:rsidRPr="00A41557" w:rsidRDefault="00E476C7" w:rsidP="00E476C7">
      <w:pPr>
        <w:pStyle w:val="RKnormal"/>
      </w:pPr>
    </w:p>
    <w:p w:rsidR="00E476C7" w:rsidRPr="00A41557" w:rsidRDefault="00E476C7" w:rsidP="00E476C7">
      <w:pPr>
        <w:pStyle w:val="RKnormal"/>
      </w:pPr>
      <w:r w:rsidRPr="00A41557">
        <w:rPr>
          <w:u w:val="single"/>
        </w:rPr>
        <w:t>Förslag till svensk ståndpunkt</w:t>
      </w:r>
      <w:r w:rsidRPr="00A41557">
        <w:t xml:space="preserve">: 10a) Regeringen stödjer förslaget till partiell allmän inriktning för ramprogrammet. 10b-d) Regeringen välkomnar ordförandeskapets framstegsrapport gällande förslagen om deltaganderegler, särskilt program och Euratoms forsknings- och utbildningsprogram. </w:t>
      </w:r>
    </w:p>
    <w:p w:rsidR="00E476C7" w:rsidRPr="00A41557" w:rsidRDefault="00E476C7" w:rsidP="00E476C7">
      <w:pPr>
        <w:pStyle w:val="RKnormal"/>
      </w:pPr>
    </w:p>
    <w:p w:rsidR="00E476C7" w:rsidRPr="00A41557" w:rsidRDefault="00E476C7" w:rsidP="00E476C7">
      <w:pPr>
        <w:pStyle w:val="RKnormal"/>
        <w:rPr>
          <w:i/>
          <w:iCs/>
        </w:rPr>
      </w:pPr>
      <w:r w:rsidRPr="00A41557">
        <w:rPr>
          <w:i/>
        </w:rPr>
        <w:t>Se vidare i rådspromemorior.</w:t>
      </w:r>
    </w:p>
    <w:p w:rsidR="00362EA2" w:rsidRPr="00A41557" w:rsidRDefault="00362EA2" w:rsidP="00362EA2">
      <w:pPr>
        <w:spacing w:line="235" w:lineRule="auto"/>
      </w:pPr>
    </w:p>
    <w:p w:rsidR="00362EA2" w:rsidRPr="00A41557" w:rsidRDefault="00362EA2" w:rsidP="00362EA2">
      <w:pPr>
        <w:spacing w:line="235" w:lineRule="auto"/>
      </w:pPr>
    </w:p>
    <w:p w:rsidR="00A81ADC" w:rsidRPr="00A41557" w:rsidRDefault="00362EA2" w:rsidP="00362EA2">
      <w:pPr>
        <w:spacing w:line="235" w:lineRule="auto"/>
        <w:rPr>
          <w:b/>
          <w:iCs/>
        </w:rPr>
      </w:pPr>
      <w:r w:rsidRPr="00A41557">
        <w:rPr>
          <w:b/>
          <w:bCs/>
        </w:rPr>
        <w:t>11.</w:t>
      </w:r>
      <w:r w:rsidRPr="00A41557">
        <w:rPr>
          <w:b/>
          <w:bCs/>
        </w:rPr>
        <w:tab/>
      </w:r>
      <w:r w:rsidRPr="00A41557">
        <w:rPr>
          <w:b/>
        </w:rPr>
        <w:t xml:space="preserve">Europeiska institutet för innovation och teknik </w:t>
      </w:r>
      <w:r w:rsidRPr="00A41557">
        <w:rPr>
          <w:b/>
          <w:bCs/>
        </w:rPr>
        <w:t>(EIT)</w:t>
      </w:r>
      <w:r w:rsidRPr="00A41557">
        <w:rPr>
          <w:b/>
        </w:rPr>
        <w:t xml:space="preserve"> (</w:t>
      </w:r>
      <w:r w:rsidRPr="00A41557">
        <w:rPr>
          <w:b/>
          <w:iCs/>
        </w:rPr>
        <w:t xml:space="preserve">första </w:t>
      </w:r>
      <w:r w:rsidR="00A81ADC" w:rsidRPr="00A41557">
        <w:rPr>
          <w:b/>
          <w:iCs/>
        </w:rPr>
        <w:t xml:space="preserve">  </w:t>
      </w:r>
    </w:p>
    <w:p w:rsidR="00362EA2" w:rsidRPr="00A41557" w:rsidRDefault="00362EA2" w:rsidP="00A81ADC">
      <w:pPr>
        <w:spacing w:line="235" w:lineRule="auto"/>
        <w:ind w:firstLine="720"/>
        <w:rPr>
          <w:b/>
        </w:rPr>
      </w:pPr>
      <w:r w:rsidRPr="00A41557">
        <w:rPr>
          <w:b/>
          <w:iCs/>
        </w:rPr>
        <w:t>behandlingen</w:t>
      </w:r>
      <w:r w:rsidRPr="00A41557">
        <w:rPr>
          <w:b/>
        </w:rPr>
        <w:t>)</w:t>
      </w:r>
    </w:p>
    <w:p w:rsidR="00362EA2" w:rsidRPr="00A41557" w:rsidRDefault="00362EA2" w:rsidP="00362EA2">
      <w:pPr>
        <w:spacing w:line="235" w:lineRule="auto"/>
      </w:pPr>
    </w:p>
    <w:p w:rsidR="00362EA2" w:rsidRPr="00A41557" w:rsidRDefault="00362EA2" w:rsidP="00362EA2">
      <w:pPr>
        <w:spacing w:line="235" w:lineRule="auto"/>
        <w:ind w:left="1134" w:hanging="567"/>
        <w:rPr>
          <w:b/>
        </w:rPr>
      </w:pPr>
      <w:r w:rsidRPr="00A41557">
        <w:rPr>
          <w:b/>
        </w:rPr>
        <w:t>a)</w:t>
      </w:r>
      <w:r w:rsidRPr="00A41557">
        <w:rPr>
          <w:b/>
        </w:rPr>
        <w:tab/>
        <w:t>Förslag till Europaparlamentets och rådets beslut om det strategiska innovationsprogrammet för Europeiska institutet för innovation och teknik (EIT): institutets bidrag till ett mer innovativt Europa</w:t>
      </w:r>
    </w:p>
    <w:p w:rsidR="00362EA2" w:rsidRPr="00A41557" w:rsidRDefault="00362EA2" w:rsidP="00362EA2">
      <w:pPr>
        <w:spacing w:line="235" w:lineRule="auto"/>
        <w:ind w:left="567"/>
        <w:rPr>
          <w:b/>
        </w:rPr>
      </w:pPr>
    </w:p>
    <w:p w:rsidR="00362EA2" w:rsidRPr="00A41557" w:rsidRDefault="00362EA2" w:rsidP="00A81ADC">
      <w:pPr>
        <w:spacing w:line="235" w:lineRule="auto"/>
        <w:ind w:left="1134" w:hanging="567"/>
        <w:rPr>
          <w:b/>
        </w:rPr>
      </w:pPr>
      <w:r w:rsidRPr="00A41557">
        <w:rPr>
          <w:b/>
        </w:rPr>
        <w:t>b)</w:t>
      </w:r>
      <w:r w:rsidRPr="00A41557">
        <w:rPr>
          <w:b/>
        </w:rPr>
        <w:tab/>
        <w:t xml:space="preserve">Förslag till Europaparlamentets och rådets förordning om ändring av förordning (EG) nr 294/2008 om inrättande av Europeiska institutet </w:t>
      </w:r>
      <w:r w:rsidR="00A81ADC" w:rsidRPr="00A41557">
        <w:rPr>
          <w:b/>
        </w:rPr>
        <w:t>för innovation och teknik (EIT)</w:t>
      </w:r>
    </w:p>
    <w:p w:rsidR="00A81ADC" w:rsidRPr="00A41557" w:rsidRDefault="00362EA2" w:rsidP="00A81ADC">
      <w:pPr>
        <w:spacing w:line="235" w:lineRule="auto"/>
        <w:ind w:left="981" w:firstLine="153"/>
        <w:rPr>
          <w:i/>
          <w:iCs/>
        </w:rPr>
      </w:pPr>
      <w:r w:rsidRPr="00A41557">
        <w:rPr>
          <w:i/>
          <w:iCs/>
        </w:rPr>
        <w:t>–</w:t>
      </w:r>
      <w:r w:rsidRPr="00A41557">
        <w:rPr>
          <w:i/>
          <w:iCs/>
        </w:rPr>
        <w:tab/>
        <w:t>Lägesrapport</w:t>
      </w:r>
    </w:p>
    <w:p w:rsidR="00F60F42" w:rsidRPr="00A41557" w:rsidRDefault="00F60F42" w:rsidP="00A81ADC">
      <w:pPr>
        <w:spacing w:line="235" w:lineRule="auto"/>
        <w:ind w:left="981" w:firstLine="153"/>
        <w:rPr>
          <w:i/>
          <w:iCs/>
        </w:rPr>
      </w:pPr>
    </w:p>
    <w:p w:rsidR="00E27328" w:rsidRPr="00A41557" w:rsidRDefault="00E27328" w:rsidP="00E27328">
      <w:pPr>
        <w:pStyle w:val="RKnormal"/>
      </w:pPr>
      <w:r w:rsidRPr="00A41557">
        <w:t>Ansvarigt statsråd: Annie Lööf</w:t>
      </w:r>
    </w:p>
    <w:p w:rsidR="00E27328" w:rsidRPr="00A41557" w:rsidRDefault="00E27328" w:rsidP="00F60F42">
      <w:pPr>
        <w:pStyle w:val="RKnormal"/>
      </w:pPr>
    </w:p>
    <w:p w:rsidR="00F60F42" w:rsidRPr="00A41557" w:rsidRDefault="00F60F42" w:rsidP="00F60F42">
      <w:pPr>
        <w:pStyle w:val="RKnormal"/>
      </w:pPr>
      <w:r w:rsidRPr="00A41557">
        <w:t>Den 30 november 2011 presenterades kommissionens förslag till EIT:s strategiska innovationsagenda 2014-2020 (SIA), samt till anpassning av regelverket, inom ramen för förslaget till nästa ramprogram för forskning och innovation - Horisont 2020. Förslagen utgör en del av kommissionens förslag till EU:s fleråriga budgetram för perioden 2014–2020.</w:t>
      </w:r>
    </w:p>
    <w:p w:rsidR="00F60F42" w:rsidRPr="00A41557" w:rsidRDefault="00F60F42" w:rsidP="00F60F42">
      <w:pPr>
        <w:pStyle w:val="RKnormal"/>
      </w:pPr>
    </w:p>
    <w:p w:rsidR="00F60F42" w:rsidRPr="00A41557" w:rsidRDefault="00F60F42" w:rsidP="00F60F42">
      <w:pPr>
        <w:pStyle w:val="RKnormal"/>
      </w:pPr>
      <w:r w:rsidRPr="00A41557">
        <w:t xml:space="preserve">I SIA och i regelverket beskrivs verksamhetens inriktning, EIT:s roll i Horisont 2020 och hur institutet ska bidra till målen i ramprogrammet genom att integrera kunskapstriangeln; forskning, innovation och utbildning. </w:t>
      </w:r>
      <w:r w:rsidRPr="00A41557">
        <w:tab/>
      </w:r>
    </w:p>
    <w:p w:rsidR="00F60F42" w:rsidRPr="00A41557" w:rsidRDefault="00F60F42" w:rsidP="00F60F42">
      <w:pPr>
        <w:pStyle w:val="RKnormal"/>
      </w:pPr>
    </w:p>
    <w:p w:rsidR="00F60F42" w:rsidRPr="00A41557" w:rsidRDefault="00F60F42" w:rsidP="00F60F42">
      <w:pPr>
        <w:pStyle w:val="RKnormal"/>
      </w:pPr>
      <w:r w:rsidRPr="00A41557">
        <w:t>För att säkerställa en enhetlig ram för deltagare i Horisont 2020, omfattas även EIT av dess förordning om regler för deltagande och spridning. Det danska ordförandeskapet har under våren 2012 fört förhandlingar om förslaget till SIA inklusive det föreslagna regelverket och kommer att presenteras i en framstegsrapport vid KKR (forskning) den 31 maj 2012.</w:t>
      </w:r>
    </w:p>
    <w:p w:rsidR="00F60F42" w:rsidRPr="00A41557" w:rsidRDefault="00F60F42" w:rsidP="00F60F42">
      <w:pPr>
        <w:pStyle w:val="RKnormal"/>
      </w:pPr>
    </w:p>
    <w:p w:rsidR="00651F17" w:rsidRPr="00A41557" w:rsidRDefault="00F60F42" w:rsidP="00F60F42">
      <w:pPr>
        <w:pStyle w:val="RKnormal"/>
      </w:pPr>
      <w:r w:rsidRPr="00A41557">
        <w:rPr>
          <w:u w:val="single"/>
        </w:rPr>
        <w:t>Förslag till svensk ståndpunkt</w:t>
      </w:r>
      <w:r w:rsidRPr="00A41557">
        <w:t xml:space="preserve">: </w:t>
      </w:r>
      <w:r w:rsidR="005D34B0" w:rsidRPr="00A41557">
        <w:t xml:space="preserve">Regeringen </w:t>
      </w:r>
      <w:r w:rsidRPr="00A41557">
        <w:t xml:space="preserve">välkomnar ordförandeskapets framstegsrapport gällande förslagen till EIT:s strategiska innovationsagenda 2014-2020 (SIA), samt till anpassning av EIT:s regelverk. </w:t>
      </w:r>
    </w:p>
    <w:p w:rsidR="00651F17" w:rsidRPr="00A41557" w:rsidRDefault="00651F17" w:rsidP="00F60F42">
      <w:pPr>
        <w:pStyle w:val="RKnormal"/>
      </w:pPr>
    </w:p>
    <w:p w:rsidR="00F60F42" w:rsidRPr="00A41557" w:rsidRDefault="00651F17" w:rsidP="00F60F42">
      <w:pPr>
        <w:pStyle w:val="RKnormal"/>
        <w:rPr>
          <w:i/>
        </w:rPr>
      </w:pPr>
      <w:r w:rsidRPr="00A41557">
        <w:rPr>
          <w:i/>
        </w:rPr>
        <w:t>Se vidare i rådspromemoria.</w:t>
      </w:r>
    </w:p>
    <w:p w:rsidR="00F60F42" w:rsidRPr="00A41557" w:rsidRDefault="00F60F42" w:rsidP="00A81ADC">
      <w:pPr>
        <w:spacing w:line="235" w:lineRule="auto"/>
        <w:ind w:left="981" w:firstLine="153"/>
        <w:rPr>
          <w:i/>
          <w:iCs/>
        </w:rPr>
      </w:pPr>
    </w:p>
    <w:p w:rsidR="00A81ADC" w:rsidRPr="00A41557" w:rsidRDefault="00A81ADC" w:rsidP="00A81ADC">
      <w:pPr>
        <w:spacing w:line="235" w:lineRule="auto"/>
        <w:ind w:left="981" w:firstLine="153"/>
        <w:rPr>
          <w:i/>
          <w:iCs/>
        </w:rPr>
      </w:pPr>
    </w:p>
    <w:p w:rsidR="00362EA2" w:rsidRPr="00A41557" w:rsidRDefault="00362EA2" w:rsidP="00A81ADC">
      <w:pPr>
        <w:spacing w:line="235" w:lineRule="auto"/>
        <w:ind w:left="981" w:firstLine="153"/>
        <w:rPr>
          <w:i/>
          <w:iCs/>
        </w:rPr>
      </w:pPr>
      <w:r w:rsidRPr="00A41557">
        <w:rPr>
          <w:b/>
          <w:bCs/>
          <w:u w:val="single"/>
        </w:rPr>
        <w:t>Icke lagstiftande verksamhet</w:t>
      </w:r>
    </w:p>
    <w:p w:rsidR="00362EA2" w:rsidRPr="00A41557" w:rsidRDefault="00362EA2" w:rsidP="00362EA2">
      <w:pPr>
        <w:spacing w:line="240" w:lineRule="auto"/>
        <w:rPr>
          <w:iCs/>
        </w:rPr>
      </w:pPr>
    </w:p>
    <w:p w:rsidR="00362EA2" w:rsidRPr="00A41557" w:rsidRDefault="00362EA2" w:rsidP="00362EA2">
      <w:pPr>
        <w:spacing w:line="240" w:lineRule="auto"/>
        <w:rPr>
          <w:b/>
          <w:iCs/>
        </w:rPr>
      </w:pPr>
      <w:r w:rsidRPr="00A41557">
        <w:rPr>
          <w:b/>
          <w:iCs/>
        </w:rPr>
        <w:t>12.</w:t>
      </w:r>
      <w:r w:rsidRPr="00A41557">
        <w:rPr>
          <w:b/>
          <w:iCs/>
        </w:rPr>
        <w:tab/>
      </w:r>
      <w:r w:rsidRPr="00A41557">
        <w:rPr>
          <w:b/>
        </w:rPr>
        <w:t>Europeiska innovationspartnerskap</w:t>
      </w:r>
    </w:p>
    <w:p w:rsidR="00362EA2" w:rsidRPr="00A41557" w:rsidRDefault="00A81ADC" w:rsidP="00362EA2">
      <w:pPr>
        <w:spacing w:line="240" w:lineRule="auto"/>
        <w:ind w:left="567"/>
        <w:rPr>
          <w:i/>
          <w:iCs/>
        </w:rPr>
      </w:pPr>
      <w:r w:rsidRPr="00A41557">
        <w:rPr>
          <w:i/>
          <w:iCs/>
        </w:rPr>
        <w:t xml:space="preserve">  – </w:t>
      </w:r>
      <w:r w:rsidR="00362EA2" w:rsidRPr="00A41557">
        <w:rPr>
          <w:i/>
          <w:iCs/>
        </w:rPr>
        <w:t>Antagande av rådets slutsatser</w:t>
      </w:r>
    </w:p>
    <w:p w:rsidR="00E476C7" w:rsidRPr="00A41557" w:rsidRDefault="00E476C7" w:rsidP="00362EA2">
      <w:pPr>
        <w:spacing w:line="240" w:lineRule="auto"/>
        <w:ind w:left="567"/>
        <w:rPr>
          <w:i/>
          <w:iCs/>
        </w:rPr>
      </w:pPr>
    </w:p>
    <w:p w:rsidR="00E476C7" w:rsidRPr="00A41557" w:rsidRDefault="00E476C7" w:rsidP="00E476C7">
      <w:pPr>
        <w:spacing w:line="240" w:lineRule="auto"/>
      </w:pPr>
      <w:r w:rsidRPr="00A41557">
        <w:t>Ansvarigt statsråd: Jan Björklund</w:t>
      </w:r>
    </w:p>
    <w:p w:rsidR="00E476C7" w:rsidRPr="00A41557" w:rsidRDefault="00E476C7" w:rsidP="00E476C7">
      <w:pPr>
        <w:pStyle w:val="RKnormal"/>
      </w:pPr>
    </w:p>
    <w:p w:rsidR="00E476C7" w:rsidRPr="00A41557" w:rsidRDefault="00E476C7" w:rsidP="00E476C7">
      <w:pPr>
        <w:pStyle w:val="RKnormal"/>
      </w:pPr>
      <w:r w:rsidRPr="00A41557">
        <w:t xml:space="preserve">Europeiska innovationspartnerskap (EIP) föreslogs av KOM i flaggskeppsinitiativet Innovationsunionen (KOM 2010 546) som är en del av strategin Europa 2020. KKR antog slutsatser om Innovationsunionen i november 2010. EIP ska ta fram förslag för att stärka hela innovationskedjan. De ska vara drivna av utmatningar samt integrera och förbättra samordningen av befintliga instrument och initiativ. </w:t>
      </w:r>
    </w:p>
    <w:p w:rsidR="00E476C7" w:rsidRPr="00A41557" w:rsidRDefault="00E476C7" w:rsidP="00E476C7">
      <w:pPr>
        <w:pStyle w:val="RKnormal"/>
      </w:pPr>
    </w:p>
    <w:p w:rsidR="00E476C7" w:rsidRPr="00A41557" w:rsidRDefault="00E476C7" w:rsidP="00E476C7">
      <w:pPr>
        <w:pStyle w:val="RKnormal"/>
      </w:pPr>
      <w:r w:rsidRPr="00A41557">
        <w:t>Rådslutsatserna fastställer framförallt att det är relevant rådsformation som ska fatta beslut om kommissionens förslag till nya EIP. Slutsatserna framhåller också Konkurrenskraftsrådets koordinerande roll.</w:t>
      </w:r>
    </w:p>
    <w:p w:rsidR="00E476C7" w:rsidRPr="00A41557" w:rsidRDefault="00E476C7" w:rsidP="00E476C7">
      <w:pPr>
        <w:pStyle w:val="RKnormal"/>
      </w:pPr>
    </w:p>
    <w:p w:rsidR="00E476C7" w:rsidRPr="00A41557" w:rsidRDefault="00E476C7" w:rsidP="00E476C7">
      <w:pPr>
        <w:pStyle w:val="RKnormal"/>
      </w:pPr>
      <w:r w:rsidRPr="00A41557">
        <w:rPr>
          <w:u w:val="single"/>
        </w:rPr>
        <w:t>Förslag till svensk ståndpunkt</w:t>
      </w:r>
      <w:r w:rsidRPr="00A41557">
        <w:t>: Regeringen stödjer förslaget till rådslutsatser.</w:t>
      </w:r>
    </w:p>
    <w:p w:rsidR="00362EA2" w:rsidRPr="00A41557" w:rsidRDefault="00362EA2" w:rsidP="00362EA2">
      <w:pPr>
        <w:spacing w:line="240" w:lineRule="auto"/>
        <w:rPr>
          <w:iCs/>
        </w:rPr>
      </w:pPr>
    </w:p>
    <w:p w:rsidR="00951931" w:rsidRPr="00A41557" w:rsidRDefault="00951931" w:rsidP="00951931">
      <w:pPr>
        <w:pStyle w:val="RKnormal"/>
        <w:rPr>
          <w:i/>
        </w:rPr>
      </w:pPr>
      <w:r w:rsidRPr="00A41557">
        <w:rPr>
          <w:i/>
        </w:rPr>
        <w:t>Se vidare i rådspromemoria.</w:t>
      </w:r>
    </w:p>
    <w:p w:rsidR="00951931" w:rsidRPr="00A41557" w:rsidRDefault="00951931" w:rsidP="00362EA2">
      <w:pPr>
        <w:spacing w:line="240" w:lineRule="auto"/>
        <w:rPr>
          <w:iCs/>
        </w:rPr>
      </w:pPr>
    </w:p>
    <w:p w:rsidR="00362EA2" w:rsidRPr="00A41557" w:rsidRDefault="00362EA2" w:rsidP="00362EA2">
      <w:pPr>
        <w:spacing w:line="240" w:lineRule="auto"/>
      </w:pPr>
    </w:p>
    <w:p w:rsidR="00362EA2" w:rsidRPr="00A41557" w:rsidRDefault="00362EA2" w:rsidP="00362EA2">
      <w:pPr>
        <w:spacing w:line="240" w:lineRule="auto"/>
        <w:outlineLvl w:val="0"/>
        <w:rPr>
          <w:b/>
          <w:szCs w:val="24"/>
          <w:u w:val="single"/>
        </w:rPr>
      </w:pPr>
      <w:r w:rsidRPr="00A41557">
        <w:rPr>
          <w:b/>
          <w:szCs w:val="24"/>
          <w:u w:val="single"/>
        </w:rPr>
        <w:t>Övriga frågor</w:t>
      </w:r>
    </w:p>
    <w:p w:rsidR="00362EA2" w:rsidRPr="00A41557" w:rsidRDefault="00362EA2" w:rsidP="00362EA2">
      <w:pPr>
        <w:spacing w:line="240" w:lineRule="auto"/>
        <w:rPr>
          <w:szCs w:val="24"/>
        </w:rPr>
      </w:pPr>
    </w:p>
    <w:p w:rsidR="00362EA2" w:rsidRPr="00A41557" w:rsidRDefault="00362EA2" w:rsidP="00362EA2">
      <w:pPr>
        <w:spacing w:line="240" w:lineRule="auto"/>
        <w:outlineLvl w:val="0"/>
        <w:rPr>
          <w:szCs w:val="24"/>
          <w:u w:val="single"/>
        </w:rPr>
      </w:pPr>
      <w:r w:rsidRPr="00A41557">
        <w:rPr>
          <w:szCs w:val="24"/>
          <w:u w:val="single"/>
        </w:rPr>
        <w:t>Inre marknaden och industri</w:t>
      </w:r>
    </w:p>
    <w:p w:rsidR="00362EA2" w:rsidRPr="00A41557" w:rsidRDefault="00362EA2" w:rsidP="00362EA2">
      <w:pPr>
        <w:spacing w:line="240" w:lineRule="auto"/>
      </w:pPr>
    </w:p>
    <w:p w:rsidR="00362EA2" w:rsidRPr="00A41557" w:rsidRDefault="00362EA2" w:rsidP="00362EA2">
      <w:pPr>
        <w:spacing w:line="240" w:lineRule="auto"/>
        <w:rPr>
          <w:b/>
        </w:rPr>
      </w:pPr>
      <w:r w:rsidRPr="00A41557">
        <w:rPr>
          <w:b/>
        </w:rPr>
        <w:t>13.</w:t>
      </w:r>
      <w:r w:rsidRPr="00A41557">
        <w:rPr>
          <w:b/>
        </w:rPr>
        <w:tab/>
        <w:t>a)</w:t>
      </w:r>
      <w:r w:rsidRPr="00A41557">
        <w:rPr>
          <w:b/>
        </w:rPr>
        <w:tab/>
        <w:t>Reform av statligt stöd</w:t>
      </w:r>
    </w:p>
    <w:p w:rsidR="00362EA2" w:rsidRPr="00A41557" w:rsidRDefault="00A81ADC" w:rsidP="00362EA2">
      <w:pPr>
        <w:spacing w:line="240" w:lineRule="auto"/>
        <w:ind w:left="1134"/>
        <w:rPr>
          <w:i/>
        </w:rPr>
      </w:pPr>
      <w:r w:rsidRPr="00A41557">
        <w:t xml:space="preserve">    </w:t>
      </w:r>
      <w:r w:rsidRPr="00A41557">
        <w:rPr>
          <w:i/>
        </w:rPr>
        <w:t xml:space="preserve">–  </w:t>
      </w:r>
      <w:r w:rsidR="00362EA2" w:rsidRPr="00A41557">
        <w:rPr>
          <w:i/>
        </w:rPr>
        <w:t>Information från kommissionen</w:t>
      </w:r>
    </w:p>
    <w:p w:rsidR="00E27328" w:rsidRPr="00A41557" w:rsidRDefault="00E27328" w:rsidP="00362EA2">
      <w:pPr>
        <w:spacing w:line="240" w:lineRule="auto"/>
        <w:ind w:left="1134"/>
        <w:rPr>
          <w:i/>
        </w:rPr>
      </w:pPr>
    </w:p>
    <w:p w:rsidR="00E27328" w:rsidRPr="00A41557" w:rsidRDefault="00E27328" w:rsidP="00E27328">
      <w:pPr>
        <w:pStyle w:val="RKnormal"/>
      </w:pPr>
      <w:r w:rsidRPr="00A41557">
        <w:t>Ansvarigt statsråd: Annie Lööf</w:t>
      </w:r>
    </w:p>
    <w:p w:rsidR="00E476C7" w:rsidRPr="00A41557" w:rsidRDefault="00E476C7" w:rsidP="00E27328">
      <w:pPr>
        <w:pStyle w:val="RKnormal"/>
      </w:pPr>
    </w:p>
    <w:p w:rsidR="00E27328" w:rsidRPr="00A41557" w:rsidRDefault="00E27328" w:rsidP="00E27328">
      <w:pPr>
        <w:spacing w:line="240" w:lineRule="auto"/>
      </w:pPr>
      <w:r w:rsidRPr="00A41557">
        <w:t>Konkurrenskommissionär Joaquín Almunia har under 2012 initierat ett arbete med att förbereda en modernisering av statsstödsregelverket. Den 8 maj 2012 överlämnade kommissionen ett meddelande i frågan till Europaparlamentet, rådet, Europeiska ekonomiska och sociala kommittén samt regionkommittén. Kommissionens övergripande ambition med reformen är att förtydliga och förenkla regelverket. Delar av ett tänkbart reformpaket, såsom t.ex. ändringar rådets bemyndigandeförordning och procedurförordningen, kan möjligen antas före utgången av 2013.</w:t>
      </w:r>
    </w:p>
    <w:p w:rsidR="00E27328" w:rsidRPr="00A41557" w:rsidRDefault="00E27328" w:rsidP="00E27328">
      <w:pPr>
        <w:spacing w:line="240" w:lineRule="auto"/>
      </w:pPr>
    </w:p>
    <w:p w:rsidR="00E27328" w:rsidRPr="00A41557" w:rsidRDefault="00E27328" w:rsidP="00E27328">
      <w:pPr>
        <w:spacing w:line="240" w:lineRule="auto"/>
        <w:rPr>
          <w:i/>
        </w:rPr>
      </w:pPr>
      <w:r w:rsidRPr="00A41557">
        <w:rPr>
          <w:u w:val="single"/>
        </w:rPr>
        <w:t>Förslag till svensk ståndpunkt</w:t>
      </w:r>
      <w:r w:rsidRPr="00A41557">
        <w:t xml:space="preserve">: </w:t>
      </w:r>
      <w:r w:rsidR="00E476C7" w:rsidRPr="00A41557">
        <w:t xml:space="preserve">Regeringen </w:t>
      </w:r>
      <w:r w:rsidRPr="00A41557">
        <w:t>välkomnar information från kommissionen om den kommande översynen av statsstödsregelverket.</w:t>
      </w:r>
    </w:p>
    <w:p w:rsidR="00E27328" w:rsidRPr="00A41557" w:rsidRDefault="00E27328" w:rsidP="00E27328">
      <w:pPr>
        <w:spacing w:line="240" w:lineRule="auto"/>
        <w:rPr>
          <w:i/>
        </w:rPr>
      </w:pPr>
    </w:p>
    <w:p w:rsidR="00362EA2" w:rsidRPr="00A41557" w:rsidRDefault="00362EA2" w:rsidP="00362EA2">
      <w:pPr>
        <w:spacing w:line="240" w:lineRule="auto"/>
        <w:rPr>
          <w:highlight w:val="yellow"/>
        </w:rPr>
      </w:pPr>
    </w:p>
    <w:p w:rsidR="00A81ADC" w:rsidRPr="00A41557" w:rsidRDefault="00A81ADC" w:rsidP="00362EA2">
      <w:pPr>
        <w:spacing w:line="240" w:lineRule="auto"/>
        <w:ind w:left="567"/>
        <w:rPr>
          <w:b/>
          <w:bCs/>
        </w:rPr>
      </w:pPr>
      <w:r w:rsidRPr="00A41557">
        <w:rPr>
          <w:b/>
          <w:bCs/>
        </w:rPr>
        <w:t xml:space="preserve"> </w:t>
      </w:r>
      <w:r w:rsidR="00362EA2" w:rsidRPr="00A41557">
        <w:rPr>
          <w:b/>
          <w:bCs/>
        </w:rPr>
        <w:t>b)</w:t>
      </w:r>
      <w:r w:rsidR="00362EA2" w:rsidRPr="00A41557">
        <w:rPr>
          <w:b/>
          <w:bCs/>
        </w:rPr>
        <w:tab/>
      </w:r>
      <w:r w:rsidR="00362EA2" w:rsidRPr="00A41557">
        <w:rPr>
          <w:b/>
          <w:bCs/>
          <w:szCs w:val="24"/>
        </w:rPr>
        <w:t xml:space="preserve">Högnivåmöte om </w:t>
      </w:r>
      <w:r w:rsidR="00362EA2" w:rsidRPr="00A41557">
        <w:rPr>
          <w:b/>
        </w:rPr>
        <w:t>tillväxtagendan</w:t>
      </w:r>
      <w:r w:rsidR="00362EA2" w:rsidRPr="00A41557">
        <w:rPr>
          <w:b/>
          <w:bCs/>
          <w:szCs w:val="24"/>
        </w:rPr>
        <w:t xml:space="preserve"> och </w:t>
      </w:r>
      <w:r w:rsidR="00362EA2" w:rsidRPr="00A41557">
        <w:rPr>
          <w:b/>
          <w:bCs/>
        </w:rPr>
        <w:t xml:space="preserve">den inre </w:t>
      </w:r>
      <w:r w:rsidRPr="00A41557">
        <w:rPr>
          <w:b/>
          <w:bCs/>
        </w:rPr>
        <w:t xml:space="preserve">   </w:t>
      </w:r>
    </w:p>
    <w:p w:rsidR="00362EA2" w:rsidRPr="00A41557" w:rsidRDefault="00A81ADC" w:rsidP="00A81ADC">
      <w:pPr>
        <w:spacing w:line="240" w:lineRule="auto"/>
        <w:ind w:left="567"/>
        <w:rPr>
          <w:b/>
          <w:bCs/>
        </w:rPr>
      </w:pPr>
      <w:r w:rsidRPr="00A41557">
        <w:rPr>
          <w:b/>
          <w:bCs/>
        </w:rPr>
        <w:t xml:space="preserve">              </w:t>
      </w:r>
      <w:r w:rsidR="00362EA2" w:rsidRPr="00A41557">
        <w:rPr>
          <w:b/>
          <w:bCs/>
        </w:rPr>
        <w:t>marknaden (Vilnius den 18 april 2012)</w:t>
      </w:r>
    </w:p>
    <w:p w:rsidR="00362EA2" w:rsidRPr="00A41557" w:rsidRDefault="00A81ADC" w:rsidP="00362EA2">
      <w:pPr>
        <w:spacing w:line="240" w:lineRule="auto"/>
        <w:ind w:left="1134"/>
        <w:rPr>
          <w:bCs/>
          <w:i/>
        </w:rPr>
      </w:pPr>
      <w:r w:rsidRPr="00A41557">
        <w:rPr>
          <w:bCs/>
          <w:i/>
        </w:rPr>
        <w:t xml:space="preserve">    – </w:t>
      </w:r>
      <w:r w:rsidR="00362EA2" w:rsidRPr="00A41557">
        <w:rPr>
          <w:bCs/>
          <w:i/>
        </w:rPr>
        <w:t xml:space="preserve">Information från den litauiska delegationen </w:t>
      </w:r>
    </w:p>
    <w:p w:rsidR="00F47C3A" w:rsidRPr="00A41557" w:rsidRDefault="00F47C3A" w:rsidP="00362EA2">
      <w:pPr>
        <w:spacing w:line="240" w:lineRule="auto"/>
        <w:ind w:left="1134"/>
      </w:pPr>
    </w:p>
    <w:p w:rsidR="00F47C3A" w:rsidRPr="00A41557" w:rsidRDefault="00F47C3A" w:rsidP="00F47C3A">
      <w:pPr>
        <w:spacing w:line="240" w:lineRule="auto"/>
      </w:pPr>
      <w:r w:rsidRPr="00A41557">
        <w:t xml:space="preserve">Ansvarigt statsråd: Ewa Björling </w:t>
      </w:r>
    </w:p>
    <w:p w:rsidR="00F47C3A" w:rsidRPr="00A41557" w:rsidRDefault="00F47C3A" w:rsidP="00F47C3A">
      <w:pPr>
        <w:spacing w:line="240" w:lineRule="auto"/>
      </w:pPr>
    </w:p>
    <w:p w:rsidR="00F47C3A" w:rsidRPr="00A41557" w:rsidRDefault="00F47C3A" w:rsidP="00F47C3A">
      <w:pPr>
        <w:spacing w:line="240" w:lineRule="auto"/>
      </w:pPr>
      <w:r w:rsidRPr="00A41557">
        <w:t xml:space="preserve">Litauens ekonomiminister förväntas vid mötet att presentera den övergripande inriktning som ett antal likasinnade länder vill se avseende nästa etapp av den s.k. inremarknadsakten (SMA II), och som kommissionen förväntas att presentera i början av oktober. </w:t>
      </w:r>
      <w:r w:rsidR="005D34B0" w:rsidRPr="00A41557">
        <w:t xml:space="preserve">Sverige </w:t>
      </w:r>
      <w:r w:rsidRPr="00A41557">
        <w:t>och ett tiotal andra medlemsländer som delar synen på behovet av tillväxtfrämjande strukturåtgärder på inremarknadsområdet står bakom initiativet.</w:t>
      </w:r>
    </w:p>
    <w:p w:rsidR="00F47C3A" w:rsidRPr="00A41557" w:rsidRDefault="00F47C3A" w:rsidP="00F47C3A">
      <w:pPr>
        <w:spacing w:line="240" w:lineRule="auto"/>
      </w:pPr>
    </w:p>
    <w:p w:rsidR="00F47C3A" w:rsidRPr="00A41557" w:rsidRDefault="00F47C3A" w:rsidP="00F47C3A">
      <w:pPr>
        <w:pStyle w:val="RKnormal"/>
      </w:pPr>
      <w:r w:rsidRPr="00A41557">
        <w:rPr>
          <w:u w:val="single"/>
        </w:rPr>
        <w:t>Förslag till svensk ståndpunkt</w:t>
      </w:r>
      <w:r w:rsidRPr="00A41557">
        <w:t>: Regeringen välkomnar informationen.</w:t>
      </w:r>
    </w:p>
    <w:p w:rsidR="00F47C3A" w:rsidRPr="00A41557" w:rsidRDefault="00F47C3A" w:rsidP="00F47C3A">
      <w:pPr>
        <w:spacing w:line="240" w:lineRule="auto"/>
        <w:rPr>
          <w:bCs/>
          <w:i/>
        </w:rPr>
      </w:pPr>
    </w:p>
    <w:p w:rsidR="00A81ADC" w:rsidRPr="00A41557" w:rsidRDefault="00A81ADC" w:rsidP="00362EA2">
      <w:pPr>
        <w:spacing w:line="240" w:lineRule="auto"/>
        <w:rPr>
          <w:bCs/>
        </w:rPr>
      </w:pPr>
    </w:p>
    <w:p w:rsidR="00362EA2" w:rsidRPr="00A41557" w:rsidRDefault="00362EA2" w:rsidP="00362EA2">
      <w:pPr>
        <w:spacing w:line="240" w:lineRule="auto"/>
        <w:outlineLvl w:val="0"/>
        <w:rPr>
          <w:bCs/>
          <w:u w:val="single"/>
        </w:rPr>
      </w:pPr>
      <w:r w:rsidRPr="00A41557">
        <w:rPr>
          <w:bCs/>
          <w:u w:val="single"/>
        </w:rPr>
        <w:t>Forskning</w:t>
      </w:r>
    </w:p>
    <w:p w:rsidR="00362EA2" w:rsidRPr="00A41557" w:rsidRDefault="00362EA2" w:rsidP="00362EA2">
      <w:pPr>
        <w:spacing w:line="240" w:lineRule="auto"/>
        <w:rPr>
          <w:bCs/>
        </w:rPr>
      </w:pPr>
    </w:p>
    <w:p w:rsidR="00362EA2" w:rsidRPr="00A41557" w:rsidRDefault="00362EA2" w:rsidP="00362EA2">
      <w:pPr>
        <w:spacing w:line="240" w:lineRule="auto"/>
        <w:ind w:left="1134" w:hanging="567"/>
        <w:rPr>
          <w:b/>
          <w:bCs/>
        </w:rPr>
      </w:pPr>
      <w:r w:rsidRPr="00A41557">
        <w:rPr>
          <w:b/>
          <w:bCs/>
        </w:rPr>
        <w:t>c)</w:t>
      </w:r>
      <w:r w:rsidRPr="00A41557">
        <w:rPr>
          <w:b/>
          <w:bCs/>
        </w:rPr>
        <w:tab/>
        <w:t>S</w:t>
      </w:r>
      <w:r w:rsidRPr="00A41557">
        <w:rPr>
          <w:b/>
        </w:rPr>
        <w:t>trategiska forumet för internationellt samarbete inom vetenskap och teknik – Lägesrapport</w:t>
      </w:r>
    </w:p>
    <w:p w:rsidR="00362EA2" w:rsidRPr="00A41557" w:rsidRDefault="00362EA2" w:rsidP="00362EA2">
      <w:pPr>
        <w:spacing w:line="240" w:lineRule="auto"/>
        <w:ind w:left="1134"/>
        <w:rPr>
          <w:b/>
          <w:bCs/>
        </w:rPr>
      </w:pPr>
      <w:r w:rsidRPr="00A41557">
        <w:rPr>
          <w:b/>
          <w:bCs/>
        </w:rPr>
        <w:sym w:font="Symbol" w:char="F0B7"/>
      </w:r>
      <w:r w:rsidRPr="00A41557">
        <w:rPr>
          <w:b/>
          <w:bCs/>
        </w:rPr>
        <w:tab/>
        <w:t>Årsrapport</w:t>
      </w:r>
    </w:p>
    <w:p w:rsidR="00362EA2" w:rsidRPr="00A41557" w:rsidRDefault="00362EA2" w:rsidP="00362EA2">
      <w:pPr>
        <w:spacing w:line="240" w:lineRule="auto"/>
        <w:ind w:left="1134"/>
        <w:rPr>
          <w:b/>
          <w:bCs/>
          <w:iCs/>
        </w:rPr>
      </w:pPr>
      <w:r w:rsidRPr="00A41557">
        <w:rPr>
          <w:b/>
          <w:bCs/>
        </w:rPr>
        <w:sym w:font="Symbol" w:char="F0B7"/>
      </w:r>
      <w:r w:rsidRPr="00A41557">
        <w:rPr>
          <w:b/>
          <w:bCs/>
        </w:rPr>
        <w:tab/>
        <w:t>EU</w:t>
      </w:r>
      <w:r w:rsidRPr="00A41557">
        <w:rPr>
          <w:b/>
          <w:bCs/>
          <w:iCs/>
        </w:rPr>
        <w:t>/Medlemsstaterna–Indien: Strategisk agenda om forskning och innovation</w:t>
      </w:r>
    </w:p>
    <w:p w:rsidR="00362EA2" w:rsidRPr="00A41557" w:rsidRDefault="00362EA2" w:rsidP="00362EA2">
      <w:pPr>
        <w:spacing w:line="240" w:lineRule="auto"/>
        <w:ind w:left="1701" w:hanging="567"/>
        <w:rPr>
          <w:bCs/>
          <w:i/>
        </w:rPr>
      </w:pPr>
      <w:r w:rsidRPr="00A41557">
        <w:rPr>
          <w:bCs/>
          <w:i/>
        </w:rPr>
        <w:t>–</w:t>
      </w:r>
      <w:r w:rsidRPr="00A41557">
        <w:rPr>
          <w:bCs/>
          <w:i/>
        </w:rPr>
        <w:tab/>
        <w:t xml:space="preserve">Information från ordföranden för </w:t>
      </w:r>
      <w:r w:rsidRPr="00A41557">
        <w:rPr>
          <w:i/>
        </w:rPr>
        <w:t>det strategiska forumet för internationellt samarbete</w:t>
      </w:r>
      <w:r w:rsidRPr="00A41557">
        <w:rPr>
          <w:bCs/>
          <w:i/>
        </w:rPr>
        <w:t xml:space="preserve"> inom vetenskap och teknik</w:t>
      </w:r>
    </w:p>
    <w:p w:rsidR="00362EA2" w:rsidRPr="00A41557" w:rsidRDefault="00362EA2" w:rsidP="00362EA2">
      <w:pPr>
        <w:spacing w:line="240" w:lineRule="auto"/>
        <w:ind w:left="567"/>
        <w:rPr>
          <w:bCs/>
        </w:rPr>
      </w:pPr>
    </w:p>
    <w:p w:rsidR="00E476C7" w:rsidRPr="00A41557" w:rsidRDefault="00E476C7" w:rsidP="00E476C7">
      <w:pPr>
        <w:spacing w:line="240" w:lineRule="auto"/>
      </w:pPr>
      <w:r w:rsidRPr="00A41557">
        <w:t>Ansvarigt statsråd: Jan Björklund</w:t>
      </w:r>
    </w:p>
    <w:p w:rsidR="00E476C7" w:rsidRPr="00A41557" w:rsidRDefault="00E476C7" w:rsidP="00E476C7">
      <w:pPr>
        <w:pStyle w:val="RKnormal"/>
      </w:pPr>
    </w:p>
    <w:p w:rsidR="00E476C7" w:rsidRPr="00A41557" w:rsidRDefault="00E476C7" w:rsidP="00E476C7">
      <w:pPr>
        <w:pStyle w:val="RKnormal"/>
      </w:pPr>
      <w:r w:rsidRPr="00A41557">
        <w:t>SFIC är ett rådgivande organ till rådet, kommissionen och medlemsstaterna i internationella forskningsfrågor. Ordföranden för SFIC avser att presenta årsrapport samt samarbetet med Indien.</w:t>
      </w:r>
    </w:p>
    <w:p w:rsidR="00E476C7" w:rsidRPr="00A41557" w:rsidRDefault="00E476C7" w:rsidP="00E476C7">
      <w:pPr>
        <w:pStyle w:val="RKnormal"/>
      </w:pPr>
    </w:p>
    <w:p w:rsidR="00E476C7" w:rsidRPr="00A41557" w:rsidRDefault="00E476C7" w:rsidP="00E476C7">
      <w:pPr>
        <w:pStyle w:val="RKnormal"/>
      </w:pPr>
      <w:r w:rsidRPr="00A41557">
        <w:rPr>
          <w:u w:val="single"/>
        </w:rPr>
        <w:t>Förslag till svensk ståndpunkt</w:t>
      </w:r>
      <w:r w:rsidRPr="00A41557">
        <w:t>: Regeringen välkomnar informationen.</w:t>
      </w:r>
    </w:p>
    <w:p w:rsidR="00E476C7" w:rsidRPr="00A41557" w:rsidRDefault="00E476C7" w:rsidP="00362EA2">
      <w:pPr>
        <w:spacing w:line="240" w:lineRule="auto"/>
        <w:ind w:left="567"/>
        <w:rPr>
          <w:bCs/>
        </w:rPr>
      </w:pPr>
    </w:p>
    <w:p w:rsidR="00E476C7" w:rsidRPr="00A41557" w:rsidRDefault="00E476C7" w:rsidP="00362EA2">
      <w:pPr>
        <w:spacing w:line="240" w:lineRule="auto"/>
        <w:ind w:left="567"/>
        <w:rPr>
          <w:bCs/>
        </w:rPr>
      </w:pPr>
    </w:p>
    <w:p w:rsidR="00A81ADC" w:rsidRPr="00A41557" w:rsidRDefault="00A81ADC" w:rsidP="00362EA2">
      <w:pPr>
        <w:spacing w:line="240" w:lineRule="auto"/>
        <w:ind w:left="567"/>
        <w:rPr>
          <w:b/>
          <w:bCs/>
        </w:rPr>
      </w:pPr>
      <w:r w:rsidRPr="00A41557">
        <w:rPr>
          <w:b/>
          <w:bCs/>
        </w:rPr>
        <w:t xml:space="preserve">d) </w:t>
      </w:r>
      <w:r w:rsidRPr="00A41557">
        <w:rPr>
          <w:b/>
          <w:bCs/>
        </w:rPr>
        <w:tab/>
      </w:r>
      <w:r w:rsidR="00362EA2" w:rsidRPr="00A41557">
        <w:rPr>
          <w:b/>
          <w:bCs/>
        </w:rPr>
        <w:t>R</w:t>
      </w:r>
      <w:r w:rsidRPr="00A41557">
        <w:rPr>
          <w:b/>
          <w:bCs/>
        </w:rPr>
        <w:t xml:space="preserve">esultat av forskningsrelaterade </w:t>
      </w:r>
    </w:p>
    <w:p w:rsidR="00362EA2" w:rsidRPr="00A41557" w:rsidRDefault="00A81ADC" w:rsidP="00362EA2">
      <w:pPr>
        <w:spacing w:line="240" w:lineRule="auto"/>
        <w:ind w:left="567"/>
        <w:rPr>
          <w:b/>
          <w:bCs/>
        </w:rPr>
      </w:pPr>
      <w:r w:rsidRPr="00A41557">
        <w:rPr>
          <w:b/>
          <w:bCs/>
        </w:rPr>
        <w:t xml:space="preserve">               </w:t>
      </w:r>
      <w:r w:rsidR="00362EA2" w:rsidRPr="00A41557">
        <w:rPr>
          <w:b/>
          <w:bCs/>
        </w:rPr>
        <w:t>ordförandeskapskonferenser och ministermöten</w:t>
      </w:r>
    </w:p>
    <w:p w:rsidR="00362EA2" w:rsidRPr="00A41557" w:rsidRDefault="00A81ADC" w:rsidP="00362EA2">
      <w:pPr>
        <w:spacing w:line="240" w:lineRule="auto"/>
        <w:ind w:left="1134"/>
        <w:rPr>
          <w:bCs/>
          <w:i/>
        </w:rPr>
      </w:pPr>
      <w:r w:rsidRPr="00A41557">
        <w:rPr>
          <w:bCs/>
          <w:i/>
        </w:rPr>
        <w:t xml:space="preserve">     – </w:t>
      </w:r>
      <w:r w:rsidR="00362EA2" w:rsidRPr="00A41557">
        <w:rPr>
          <w:bCs/>
          <w:i/>
        </w:rPr>
        <w:t>Information från ordförandeskapet</w:t>
      </w:r>
    </w:p>
    <w:p w:rsidR="00E476C7" w:rsidRPr="00A41557" w:rsidRDefault="00E476C7" w:rsidP="00362EA2">
      <w:pPr>
        <w:spacing w:line="240" w:lineRule="auto"/>
        <w:ind w:left="1134"/>
        <w:rPr>
          <w:bCs/>
          <w:i/>
        </w:rPr>
      </w:pPr>
    </w:p>
    <w:p w:rsidR="00E476C7" w:rsidRPr="00A41557" w:rsidRDefault="00E476C7" w:rsidP="00E476C7">
      <w:pPr>
        <w:pStyle w:val="RKnormal"/>
      </w:pPr>
      <w:r w:rsidRPr="00A41557">
        <w:t>Presentation av utfallet av de konferenser och ministermöten som hållits under ordförandeskapet.</w:t>
      </w:r>
    </w:p>
    <w:p w:rsidR="00E476C7" w:rsidRPr="00A41557" w:rsidRDefault="00E476C7" w:rsidP="00362EA2">
      <w:pPr>
        <w:spacing w:line="240" w:lineRule="auto"/>
        <w:ind w:left="1134"/>
        <w:rPr>
          <w:bCs/>
          <w:i/>
        </w:rPr>
      </w:pPr>
    </w:p>
    <w:p w:rsidR="00362EA2" w:rsidRPr="00A41557" w:rsidRDefault="00E476C7" w:rsidP="00F84FA7">
      <w:pPr>
        <w:pStyle w:val="RKnormal"/>
      </w:pPr>
      <w:r w:rsidRPr="00A41557">
        <w:rPr>
          <w:u w:val="single"/>
        </w:rPr>
        <w:t>Förslag till svensk ståndpunkt</w:t>
      </w:r>
      <w:r w:rsidRPr="00A41557">
        <w:t>: Regeringen välkomnar informationen.</w:t>
      </w:r>
    </w:p>
    <w:p w:rsidR="00F84FA7" w:rsidRPr="00A41557" w:rsidRDefault="00F84FA7" w:rsidP="00F84FA7">
      <w:pPr>
        <w:pStyle w:val="RKnormal"/>
      </w:pPr>
    </w:p>
    <w:p w:rsidR="00362EA2" w:rsidRPr="00A41557" w:rsidRDefault="00362EA2" w:rsidP="00362EA2">
      <w:pPr>
        <w:jc w:val="center"/>
        <w:rPr>
          <w:snapToGrid w:val="0"/>
        </w:rPr>
      </w:pPr>
      <w:r w:rsidRPr="00A41557">
        <w:rPr>
          <w:snapToGrid w:val="0"/>
        </w:rPr>
        <w:t>o</w:t>
      </w:r>
    </w:p>
    <w:p w:rsidR="00362EA2" w:rsidRPr="00A41557" w:rsidRDefault="00362EA2" w:rsidP="00362EA2">
      <w:pPr>
        <w:jc w:val="center"/>
        <w:rPr>
          <w:snapToGrid w:val="0"/>
        </w:rPr>
      </w:pPr>
      <w:r w:rsidRPr="00A41557">
        <w:rPr>
          <w:snapToGrid w:val="0"/>
        </w:rPr>
        <w:t>o</w:t>
      </w:r>
      <w:r w:rsidRPr="00A41557">
        <w:rPr>
          <w:snapToGrid w:val="0"/>
        </w:rPr>
        <w:tab/>
        <w:t>o</w:t>
      </w:r>
    </w:p>
    <w:p w:rsidR="00362EA2" w:rsidRPr="00A41557" w:rsidRDefault="00362EA2" w:rsidP="00362EA2">
      <w:pPr>
        <w:spacing w:line="240" w:lineRule="auto"/>
        <w:ind w:left="567"/>
        <w:rPr>
          <w:bCs/>
        </w:rPr>
      </w:pPr>
    </w:p>
    <w:p w:rsidR="00362EA2" w:rsidRPr="00A41557" w:rsidRDefault="00362EA2" w:rsidP="00362EA2">
      <w:pPr>
        <w:spacing w:line="240" w:lineRule="auto"/>
        <w:ind w:left="567"/>
        <w:rPr>
          <w:b/>
          <w:bCs/>
        </w:rPr>
      </w:pPr>
    </w:p>
    <w:p w:rsidR="00362EA2" w:rsidRPr="00A41557" w:rsidRDefault="00362EA2" w:rsidP="00362EA2">
      <w:pPr>
        <w:spacing w:line="240" w:lineRule="auto"/>
        <w:ind w:left="567"/>
        <w:rPr>
          <w:b/>
        </w:rPr>
      </w:pPr>
      <w:r w:rsidRPr="00A41557">
        <w:rPr>
          <w:b/>
          <w:bCs/>
        </w:rPr>
        <w:t>e)</w:t>
      </w:r>
      <w:r w:rsidRPr="00A41557">
        <w:rPr>
          <w:b/>
          <w:bCs/>
        </w:rPr>
        <w:tab/>
      </w:r>
      <w:r w:rsidRPr="00A41557">
        <w:rPr>
          <w:b/>
        </w:rPr>
        <w:t>Arbetsprogram för det tillträdande ordförandeskapet</w:t>
      </w:r>
    </w:p>
    <w:p w:rsidR="00362EA2" w:rsidRPr="00A41557" w:rsidRDefault="00A81ADC" w:rsidP="00362EA2">
      <w:pPr>
        <w:spacing w:line="240" w:lineRule="auto"/>
        <w:ind w:left="1134"/>
        <w:rPr>
          <w:bCs/>
          <w:i/>
        </w:rPr>
      </w:pPr>
      <w:r w:rsidRPr="00A41557">
        <w:rPr>
          <w:i/>
          <w:iCs/>
        </w:rPr>
        <w:t xml:space="preserve">    – </w:t>
      </w:r>
      <w:r w:rsidR="00362EA2" w:rsidRPr="00A41557">
        <w:rPr>
          <w:i/>
          <w:iCs/>
        </w:rPr>
        <w:t>Information från den cypriotiska delegationen</w:t>
      </w:r>
    </w:p>
    <w:p w:rsidR="00176C47" w:rsidRPr="00A41557" w:rsidRDefault="00176C47" w:rsidP="00176C47">
      <w:pPr>
        <w:spacing w:line="240" w:lineRule="auto"/>
        <w:rPr>
          <w:b/>
        </w:rPr>
      </w:pPr>
    </w:p>
    <w:p w:rsidR="00E476C7" w:rsidRPr="00A41557" w:rsidRDefault="00E476C7" w:rsidP="00E476C7">
      <w:pPr>
        <w:pStyle w:val="RKnormal"/>
      </w:pPr>
      <w:r w:rsidRPr="00A41557">
        <w:rPr>
          <w:u w:val="single"/>
        </w:rPr>
        <w:t>Förslag till svensk ståndpunkt</w:t>
      </w:r>
      <w:r w:rsidRPr="00A41557">
        <w:t>: Regeringen välkomnar informationen.</w:t>
      </w:r>
    </w:p>
    <w:p w:rsidR="00A369B0" w:rsidRPr="00A41557" w:rsidRDefault="00A369B0" w:rsidP="001C6B9F">
      <w:pPr>
        <w:spacing w:line="240" w:lineRule="auto"/>
        <w:ind w:left="480" w:hanging="567"/>
      </w:pPr>
    </w:p>
    <w:p w:rsidR="00E92894" w:rsidRPr="00A41557" w:rsidRDefault="00CB1E0A" w:rsidP="006C412E">
      <w:pPr>
        <w:spacing w:line="240" w:lineRule="auto"/>
        <w:ind w:left="480" w:hanging="567"/>
        <w:jc w:val="center"/>
        <w:rPr>
          <w:b/>
        </w:rPr>
      </w:pPr>
      <w:r w:rsidRPr="00A41557">
        <w:rPr>
          <w:b/>
        </w:rPr>
        <w:t>*****</w:t>
      </w:r>
    </w:p>
    <w:sectPr w:rsidR="00E92894" w:rsidRPr="00A41557" w:rsidSect="00816F5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2857" w:rsidRPr="00A41557" w:rsidRDefault="00DA2857">
      <w:r w:rsidRPr="00A41557">
        <w:separator/>
      </w:r>
    </w:p>
  </w:endnote>
  <w:endnote w:type="continuationSeparator" w:id="0">
    <w:p w:rsidR="00DA2857" w:rsidRPr="00A41557" w:rsidRDefault="00DA2857">
      <w:r w:rsidRPr="00A415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2857" w:rsidRPr="00A41557" w:rsidRDefault="00DA2857">
      <w:r w:rsidRPr="00A41557">
        <w:separator/>
      </w:r>
    </w:p>
  </w:footnote>
  <w:footnote w:type="continuationSeparator" w:id="0">
    <w:p w:rsidR="00DA2857" w:rsidRPr="00A41557" w:rsidRDefault="00DA2857">
      <w:r w:rsidRPr="00A415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C3A" w:rsidRPr="00A41557" w:rsidRDefault="00F47C3A" w:rsidP="00816F5B">
    <w:pPr>
      <w:pStyle w:val="Sidhuvud"/>
      <w:framePr w:wrap="around" w:vAnchor="text" w:hAnchor="margin" w:xAlign="outside" w:y="1"/>
      <w:rPr>
        <w:rStyle w:val="Sidnummer"/>
      </w:rPr>
    </w:pPr>
    <w:r w:rsidRPr="00A41557">
      <w:rPr>
        <w:rStyle w:val="Sidnummer"/>
      </w:rPr>
      <w:fldChar w:fldCharType="begin" w:fldLock="1"/>
    </w:r>
    <w:r w:rsidRPr="00A41557">
      <w:rPr>
        <w:rStyle w:val="Sidnummer"/>
      </w:rPr>
      <w:instrText xml:space="preserve">PAGE  </w:instrText>
    </w:r>
    <w:r w:rsidRPr="00A41557">
      <w:rPr>
        <w:rStyle w:val="Sidnummer"/>
      </w:rPr>
      <w:fldChar w:fldCharType="separate"/>
    </w:r>
    <w:r w:rsidR="00FE4E27" w:rsidRPr="00A41557">
      <w:rPr>
        <w:rStyle w:val="Sidnummer"/>
      </w:rPr>
      <w:t>10</w:t>
    </w:r>
    <w:r w:rsidRPr="00A4155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47C3A" w:rsidRPr="00A41557">
      <w:tblPrEx>
        <w:tblCellMar>
          <w:top w:w="0" w:type="dxa"/>
          <w:bottom w:w="0" w:type="dxa"/>
        </w:tblCellMar>
      </w:tblPrEx>
      <w:trPr>
        <w:cantSplit/>
      </w:trPr>
      <w:tc>
        <w:tcPr>
          <w:tcW w:w="3119" w:type="dxa"/>
        </w:tcPr>
        <w:p w:rsidR="00F47C3A" w:rsidRPr="00A41557" w:rsidRDefault="00F47C3A" w:rsidP="00816F5B">
          <w:pPr>
            <w:pStyle w:val="Sidhuvud"/>
            <w:spacing w:line="200" w:lineRule="atLeast"/>
            <w:ind w:right="360" w:firstLine="360"/>
            <w:rPr>
              <w:rFonts w:ascii="TradeGothic" w:hAnsi="TradeGothic"/>
              <w:b/>
              <w:bCs/>
              <w:sz w:val="16"/>
            </w:rPr>
          </w:pPr>
        </w:p>
      </w:tc>
      <w:tc>
        <w:tcPr>
          <w:tcW w:w="4111" w:type="dxa"/>
          <w:tcMar>
            <w:left w:w="567" w:type="dxa"/>
          </w:tcMar>
        </w:tcPr>
        <w:p w:rsidR="00F47C3A" w:rsidRPr="00A41557" w:rsidRDefault="00F47C3A">
          <w:pPr>
            <w:pStyle w:val="Sidhuvud"/>
            <w:ind w:right="360"/>
          </w:pPr>
        </w:p>
      </w:tc>
      <w:tc>
        <w:tcPr>
          <w:tcW w:w="1525" w:type="dxa"/>
        </w:tcPr>
        <w:p w:rsidR="00F47C3A" w:rsidRPr="00A41557" w:rsidRDefault="00F47C3A">
          <w:pPr>
            <w:pStyle w:val="Sidhuvud"/>
            <w:ind w:right="360"/>
          </w:pPr>
        </w:p>
      </w:tc>
    </w:tr>
  </w:tbl>
  <w:p w:rsidR="00F47C3A" w:rsidRPr="00A41557" w:rsidRDefault="00F47C3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C3A" w:rsidRPr="00A41557" w:rsidRDefault="00F47C3A" w:rsidP="00816F5B">
    <w:pPr>
      <w:pStyle w:val="Sidhuvud"/>
      <w:framePr w:wrap="around" w:vAnchor="text" w:hAnchor="margin" w:xAlign="outside" w:y="1"/>
      <w:rPr>
        <w:rStyle w:val="Sidnummer"/>
      </w:rPr>
    </w:pPr>
    <w:r w:rsidRPr="00A41557">
      <w:rPr>
        <w:rStyle w:val="Sidnummer"/>
      </w:rPr>
      <w:fldChar w:fldCharType="begin" w:fldLock="1"/>
    </w:r>
    <w:r w:rsidRPr="00A41557">
      <w:rPr>
        <w:rStyle w:val="Sidnummer"/>
      </w:rPr>
      <w:instrText xml:space="preserve">PAGE  </w:instrText>
    </w:r>
    <w:r w:rsidRPr="00A41557">
      <w:rPr>
        <w:rStyle w:val="Sidnummer"/>
      </w:rPr>
      <w:fldChar w:fldCharType="separate"/>
    </w:r>
    <w:r w:rsidR="00FE4E27" w:rsidRPr="00A41557">
      <w:rPr>
        <w:rStyle w:val="Sidnummer"/>
      </w:rPr>
      <w:t>9</w:t>
    </w:r>
    <w:r w:rsidRPr="00A4155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F47C3A" w:rsidRPr="00A41557">
      <w:tblPrEx>
        <w:tblCellMar>
          <w:top w:w="0" w:type="dxa"/>
          <w:bottom w:w="0" w:type="dxa"/>
        </w:tblCellMar>
      </w:tblPrEx>
      <w:trPr>
        <w:cantSplit/>
      </w:trPr>
      <w:tc>
        <w:tcPr>
          <w:tcW w:w="3119" w:type="dxa"/>
        </w:tcPr>
        <w:p w:rsidR="00F47C3A" w:rsidRPr="00A41557" w:rsidRDefault="00F47C3A" w:rsidP="00816F5B">
          <w:pPr>
            <w:pStyle w:val="Sidhuvud"/>
            <w:spacing w:line="200" w:lineRule="atLeast"/>
            <w:ind w:right="360" w:firstLine="360"/>
            <w:rPr>
              <w:rFonts w:ascii="TradeGothic" w:hAnsi="TradeGothic"/>
              <w:b/>
              <w:bCs/>
              <w:sz w:val="16"/>
            </w:rPr>
          </w:pPr>
        </w:p>
      </w:tc>
      <w:tc>
        <w:tcPr>
          <w:tcW w:w="4111" w:type="dxa"/>
          <w:tcMar>
            <w:left w:w="567" w:type="dxa"/>
          </w:tcMar>
        </w:tcPr>
        <w:p w:rsidR="00F47C3A" w:rsidRPr="00A41557" w:rsidRDefault="00F47C3A">
          <w:pPr>
            <w:pStyle w:val="Sidhuvud"/>
            <w:ind w:right="360"/>
          </w:pPr>
        </w:p>
      </w:tc>
      <w:tc>
        <w:tcPr>
          <w:tcW w:w="1525" w:type="dxa"/>
        </w:tcPr>
        <w:p w:rsidR="00F47C3A" w:rsidRPr="00A41557" w:rsidRDefault="00F47C3A">
          <w:pPr>
            <w:pStyle w:val="Sidhuvud"/>
            <w:ind w:right="360"/>
          </w:pPr>
        </w:p>
      </w:tc>
    </w:tr>
  </w:tbl>
  <w:p w:rsidR="00F47C3A" w:rsidRPr="00A41557" w:rsidRDefault="00F47C3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7C3A" w:rsidRPr="00A41557" w:rsidRDefault="00A41557">
    <w:pPr>
      <w:framePr w:w="2948" w:h="1321" w:hRule="exact" w:wrap="notBeside" w:vAnchor="page" w:hAnchor="page" w:x="1362" w:y="653"/>
    </w:pPr>
    <w:r w:rsidRPr="00A41557">
      <w:rPr>
        <w:noProof/>
      </w:rPr>
      <w:drawing>
        <wp:inline distT="0" distB="0" distL="0" distR="0">
          <wp:extent cx="1872615" cy="8166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16610"/>
                  </a:xfrm>
                  <a:prstGeom prst="rect">
                    <a:avLst/>
                  </a:prstGeom>
                  <a:noFill/>
                  <a:ln>
                    <a:noFill/>
                  </a:ln>
                </pic:spPr>
              </pic:pic>
            </a:graphicData>
          </a:graphic>
        </wp:inline>
      </w:drawing>
    </w:r>
  </w:p>
  <w:p w:rsidR="00F47C3A" w:rsidRPr="00A41557" w:rsidRDefault="00F47C3A">
    <w:pPr>
      <w:pStyle w:val="Sidhuvud"/>
    </w:pPr>
  </w:p>
  <w:p w:rsidR="00F47C3A" w:rsidRPr="00A41557" w:rsidRDefault="00F47C3A">
    <w:pPr>
      <w:pStyle w:val="RKrubrik"/>
      <w:keepNext w:val="0"/>
      <w:tabs>
        <w:tab w:val="clear" w:pos="1134"/>
        <w:tab w:val="clear" w:pos="2835"/>
      </w:tabs>
      <w:spacing w:before="0" w:after="0" w:line="320" w:lineRule="atLeast"/>
      <w:rPr>
        <w:bCs/>
      </w:rPr>
    </w:pPr>
  </w:p>
  <w:p w:rsidR="00F47C3A" w:rsidRPr="00A41557" w:rsidRDefault="00F47C3A">
    <w:pPr>
      <w:rPr>
        <w:rFonts w:ascii="TradeGothic" w:hAnsi="TradeGothic"/>
        <w:b/>
        <w:bCs/>
        <w:spacing w:val="12"/>
        <w:sz w:val="22"/>
      </w:rPr>
    </w:pPr>
  </w:p>
  <w:p w:rsidR="00F47C3A" w:rsidRPr="00A41557" w:rsidRDefault="00F47C3A">
    <w:pPr>
      <w:pStyle w:val="RKrubrik"/>
      <w:keepNext w:val="0"/>
      <w:tabs>
        <w:tab w:val="clear" w:pos="1134"/>
        <w:tab w:val="clear" w:pos="2835"/>
      </w:tabs>
      <w:spacing w:before="0" w:after="0" w:line="320" w:lineRule="atLeast"/>
      <w:rPr>
        <w:bCs/>
      </w:rPr>
    </w:pPr>
  </w:p>
  <w:p w:rsidR="00F47C3A" w:rsidRPr="00A41557" w:rsidRDefault="00F47C3A">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53B53"/>
    <w:multiLevelType w:val="multilevel"/>
    <w:tmpl w:val="7772BCFE"/>
    <w:name w:val="List Number 3"/>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66A50BE4"/>
    <w:multiLevelType w:val="hybridMultilevel"/>
    <w:tmpl w:val="E1F04416"/>
    <w:lvl w:ilvl="0" w:tplc="5290DC60">
      <w:start w:val="2008"/>
      <w:numFmt w:val="bullet"/>
      <w:lvlText w:val="-"/>
      <w:lvlJc w:val="left"/>
      <w:pPr>
        <w:ind w:left="1080" w:hanging="360"/>
      </w:pPr>
      <w:rPr>
        <w:rFonts w:ascii="Calibri" w:eastAsia="Times New Roman" w:hAnsi="Calibri" w:hint="default"/>
      </w:rPr>
    </w:lvl>
    <w:lvl w:ilvl="1" w:tplc="040E0019">
      <w:start w:val="1"/>
      <w:numFmt w:val="bullet"/>
      <w:lvlText w:val="o"/>
      <w:lvlJc w:val="left"/>
      <w:pPr>
        <w:ind w:left="2700" w:hanging="360"/>
      </w:pPr>
      <w:rPr>
        <w:rFonts w:ascii="Courier New" w:hAnsi="Courier New" w:hint="default"/>
      </w:rPr>
    </w:lvl>
    <w:lvl w:ilvl="2" w:tplc="040E001B">
      <w:start w:val="1"/>
      <w:numFmt w:val="bullet"/>
      <w:lvlText w:val=""/>
      <w:lvlJc w:val="left"/>
      <w:pPr>
        <w:ind w:left="3420" w:hanging="360"/>
      </w:pPr>
      <w:rPr>
        <w:rFonts w:ascii="Wingdings" w:hAnsi="Wingdings" w:hint="default"/>
      </w:rPr>
    </w:lvl>
    <w:lvl w:ilvl="3" w:tplc="040E000F" w:tentative="1">
      <w:start w:val="1"/>
      <w:numFmt w:val="bullet"/>
      <w:lvlText w:val=""/>
      <w:lvlJc w:val="left"/>
      <w:pPr>
        <w:ind w:left="4140" w:hanging="360"/>
      </w:pPr>
      <w:rPr>
        <w:rFonts w:ascii="Symbol" w:hAnsi="Symbol" w:hint="default"/>
      </w:rPr>
    </w:lvl>
    <w:lvl w:ilvl="4" w:tplc="040E0019" w:tentative="1">
      <w:start w:val="1"/>
      <w:numFmt w:val="bullet"/>
      <w:lvlText w:val="o"/>
      <w:lvlJc w:val="left"/>
      <w:pPr>
        <w:ind w:left="4860" w:hanging="360"/>
      </w:pPr>
      <w:rPr>
        <w:rFonts w:ascii="Courier New" w:hAnsi="Courier New" w:hint="default"/>
      </w:rPr>
    </w:lvl>
    <w:lvl w:ilvl="5" w:tplc="040E001B" w:tentative="1">
      <w:start w:val="1"/>
      <w:numFmt w:val="bullet"/>
      <w:lvlText w:val=""/>
      <w:lvlJc w:val="left"/>
      <w:pPr>
        <w:ind w:left="5580" w:hanging="360"/>
      </w:pPr>
      <w:rPr>
        <w:rFonts w:ascii="Wingdings" w:hAnsi="Wingdings" w:hint="default"/>
      </w:rPr>
    </w:lvl>
    <w:lvl w:ilvl="6" w:tplc="040E000F" w:tentative="1">
      <w:start w:val="1"/>
      <w:numFmt w:val="bullet"/>
      <w:lvlText w:val=""/>
      <w:lvlJc w:val="left"/>
      <w:pPr>
        <w:ind w:left="6300" w:hanging="360"/>
      </w:pPr>
      <w:rPr>
        <w:rFonts w:ascii="Symbol" w:hAnsi="Symbol" w:hint="default"/>
      </w:rPr>
    </w:lvl>
    <w:lvl w:ilvl="7" w:tplc="040E0019" w:tentative="1">
      <w:start w:val="1"/>
      <w:numFmt w:val="bullet"/>
      <w:lvlText w:val="o"/>
      <w:lvlJc w:val="left"/>
      <w:pPr>
        <w:ind w:left="7020" w:hanging="360"/>
      </w:pPr>
      <w:rPr>
        <w:rFonts w:ascii="Courier New" w:hAnsi="Courier New" w:hint="default"/>
      </w:rPr>
    </w:lvl>
    <w:lvl w:ilvl="8" w:tplc="040E001B" w:tentative="1">
      <w:start w:val="1"/>
      <w:numFmt w:val="bullet"/>
      <w:lvlText w:val=""/>
      <w:lvlJc w:val="left"/>
      <w:pPr>
        <w:ind w:left="7740" w:hanging="360"/>
      </w:pPr>
      <w:rPr>
        <w:rFonts w:ascii="Wingdings" w:hAnsi="Wingdings" w:hint="default"/>
      </w:rPr>
    </w:lvl>
  </w:abstractNum>
  <w:abstractNum w:abstractNumId="2" w15:restartNumberingAfterBreak="0">
    <w:nsid w:val="694D06DF"/>
    <w:multiLevelType w:val="hybridMultilevel"/>
    <w:tmpl w:val="91E0DC96"/>
    <w:lvl w:ilvl="0" w:tplc="08090001">
      <w:start w:val="1"/>
      <w:numFmt w:val="bullet"/>
      <w:lvlText w:val=""/>
      <w:lvlJc w:val="left"/>
      <w:pPr>
        <w:tabs>
          <w:tab w:val="num" w:pos="1494"/>
        </w:tabs>
        <w:ind w:left="1494" w:hanging="360"/>
      </w:pPr>
      <w:rPr>
        <w:rFonts w:ascii="Symbol" w:hAnsi="Symbol" w:hint="default"/>
      </w:rPr>
    </w:lvl>
    <w:lvl w:ilvl="1" w:tplc="F7A883D6">
      <w:numFmt w:val="bullet"/>
      <w:lvlText w:val="-"/>
      <w:lvlJc w:val="left"/>
      <w:pPr>
        <w:tabs>
          <w:tab w:val="num" w:pos="2409"/>
        </w:tabs>
        <w:ind w:left="2409" w:hanging="555"/>
      </w:pPr>
      <w:rPr>
        <w:rFonts w:ascii="Times New Roman" w:eastAsia="Times New Roman" w:hAnsi="Times New Roman" w:cs="Times New Roman" w:hint="default"/>
      </w:rPr>
    </w:lvl>
    <w:lvl w:ilvl="2" w:tplc="08090005">
      <w:start w:val="1"/>
      <w:numFmt w:val="bullet"/>
      <w:lvlText w:val=""/>
      <w:lvlJc w:val="left"/>
      <w:pPr>
        <w:tabs>
          <w:tab w:val="num" w:pos="2934"/>
        </w:tabs>
        <w:ind w:left="2934" w:hanging="360"/>
      </w:pPr>
      <w:rPr>
        <w:rFonts w:ascii="Wingdings" w:hAnsi="Wingdings" w:hint="default"/>
      </w:rPr>
    </w:lvl>
    <w:lvl w:ilvl="3" w:tplc="08090001">
      <w:start w:val="1"/>
      <w:numFmt w:val="bullet"/>
      <w:lvlText w:val=""/>
      <w:lvlJc w:val="left"/>
      <w:pPr>
        <w:tabs>
          <w:tab w:val="num" w:pos="3654"/>
        </w:tabs>
        <w:ind w:left="3654" w:hanging="360"/>
      </w:pPr>
      <w:rPr>
        <w:rFonts w:ascii="Symbol" w:hAnsi="Symbol" w:hint="default"/>
      </w:rPr>
    </w:lvl>
    <w:lvl w:ilvl="4" w:tplc="08090003">
      <w:start w:val="1"/>
      <w:numFmt w:val="bullet"/>
      <w:lvlText w:val="o"/>
      <w:lvlJc w:val="left"/>
      <w:pPr>
        <w:tabs>
          <w:tab w:val="num" w:pos="4374"/>
        </w:tabs>
        <w:ind w:left="4374" w:hanging="360"/>
      </w:pPr>
      <w:rPr>
        <w:rFonts w:ascii="Courier New" w:hAnsi="Courier New" w:cs="Courier New" w:hint="default"/>
      </w:rPr>
    </w:lvl>
    <w:lvl w:ilvl="5" w:tplc="08090005">
      <w:start w:val="1"/>
      <w:numFmt w:val="bullet"/>
      <w:lvlText w:val=""/>
      <w:lvlJc w:val="left"/>
      <w:pPr>
        <w:tabs>
          <w:tab w:val="num" w:pos="5094"/>
        </w:tabs>
        <w:ind w:left="5094" w:hanging="360"/>
      </w:pPr>
      <w:rPr>
        <w:rFonts w:ascii="Wingdings" w:hAnsi="Wingdings" w:hint="default"/>
      </w:rPr>
    </w:lvl>
    <w:lvl w:ilvl="6" w:tplc="08090001">
      <w:start w:val="1"/>
      <w:numFmt w:val="bullet"/>
      <w:lvlText w:val=""/>
      <w:lvlJc w:val="left"/>
      <w:pPr>
        <w:tabs>
          <w:tab w:val="num" w:pos="5814"/>
        </w:tabs>
        <w:ind w:left="5814" w:hanging="360"/>
      </w:pPr>
      <w:rPr>
        <w:rFonts w:ascii="Symbol" w:hAnsi="Symbol" w:hint="default"/>
      </w:rPr>
    </w:lvl>
    <w:lvl w:ilvl="7" w:tplc="08090003">
      <w:start w:val="1"/>
      <w:numFmt w:val="bullet"/>
      <w:lvlText w:val="o"/>
      <w:lvlJc w:val="left"/>
      <w:pPr>
        <w:tabs>
          <w:tab w:val="num" w:pos="6534"/>
        </w:tabs>
        <w:ind w:left="6534" w:hanging="360"/>
      </w:pPr>
      <w:rPr>
        <w:rFonts w:ascii="Courier New" w:hAnsi="Courier New" w:cs="Courier New" w:hint="default"/>
      </w:rPr>
    </w:lvl>
    <w:lvl w:ilvl="8" w:tplc="08090005">
      <w:start w:val="1"/>
      <w:numFmt w:val="bullet"/>
      <w:lvlText w:val=""/>
      <w:lvlJc w:val="left"/>
      <w:pPr>
        <w:tabs>
          <w:tab w:val="num" w:pos="7254"/>
        </w:tabs>
        <w:ind w:left="7254" w:hanging="360"/>
      </w:pPr>
      <w:rPr>
        <w:rFonts w:ascii="Wingdings" w:hAnsi="Wingdings" w:hint="default"/>
      </w:rPr>
    </w:lvl>
  </w:abstractNum>
  <w:num w:numId="1" w16cid:durableId="2144155185">
    <w:abstractNumId w:val="1"/>
  </w:num>
  <w:num w:numId="2" w16cid:durableId="10894291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27355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3"/>
    <w:docVar w:name="docDep" w:val="3"/>
    <w:docVar w:name="docSprak" w:val="0"/>
  </w:docVars>
  <w:rsids>
    <w:rsidRoot w:val="00816F5B"/>
    <w:rsid w:val="00003DD7"/>
    <w:rsid w:val="000247EC"/>
    <w:rsid w:val="00036335"/>
    <w:rsid w:val="0003716F"/>
    <w:rsid w:val="000952A1"/>
    <w:rsid w:val="000C75A1"/>
    <w:rsid w:val="000F2757"/>
    <w:rsid w:val="001103F6"/>
    <w:rsid w:val="00150384"/>
    <w:rsid w:val="00153CF4"/>
    <w:rsid w:val="00176C47"/>
    <w:rsid w:val="001805B7"/>
    <w:rsid w:val="001A23D1"/>
    <w:rsid w:val="001C6B9F"/>
    <w:rsid w:val="002269B5"/>
    <w:rsid w:val="0029208D"/>
    <w:rsid w:val="002A5C54"/>
    <w:rsid w:val="002C6E2E"/>
    <w:rsid w:val="003173C7"/>
    <w:rsid w:val="0032484A"/>
    <w:rsid w:val="00362EA2"/>
    <w:rsid w:val="00383DD6"/>
    <w:rsid w:val="003B48B1"/>
    <w:rsid w:val="004A328D"/>
    <w:rsid w:val="004B76BD"/>
    <w:rsid w:val="0056033B"/>
    <w:rsid w:val="005821DC"/>
    <w:rsid w:val="0058762B"/>
    <w:rsid w:val="005B6B80"/>
    <w:rsid w:val="005D34B0"/>
    <w:rsid w:val="006142A5"/>
    <w:rsid w:val="00630AD0"/>
    <w:rsid w:val="0063399E"/>
    <w:rsid w:val="00651F17"/>
    <w:rsid w:val="006B10E6"/>
    <w:rsid w:val="006B1384"/>
    <w:rsid w:val="006C412E"/>
    <w:rsid w:val="006C76B8"/>
    <w:rsid w:val="006E2BF0"/>
    <w:rsid w:val="006E4E11"/>
    <w:rsid w:val="006F4C30"/>
    <w:rsid w:val="007010C5"/>
    <w:rsid w:val="00703920"/>
    <w:rsid w:val="00707B64"/>
    <w:rsid w:val="007242A3"/>
    <w:rsid w:val="00740BE1"/>
    <w:rsid w:val="007A6855"/>
    <w:rsid w:val="007E006C"/>
    <w:rsid w:val="00816F5B"/>
    <w:rsid w:val="008C051E"/>
    <w:rsid w:val="008D2E47"/>
    <w:rsid w:val="008F17BD"/>
    <w:rsid w:val="00951931"/>
    <w:rsid w:val="00A10ABC"/>
    <w:rsid w:val="00A369B0"/>
    <w:rsid w:val="00A41557"/>
    <w:rsid w:val="00A51F8C"/>
    <w:rsid w:val="00A81ADC"/>
    <w:rsid w:val="00AA6A49"/>
    <w:rsid w:val="00AC7627"/>
    <w:rsid w:val="00AD7A3D"/>
    <w:rsid w:val="00B80689"/>
    <w:rsid w:val="00B96DA8"/>
    <w:rsid w:val="00BC375C"/>
    <w:rsid w:val="00BC7403"/>
    <w:rsid w:val="00BD26EA"/>
    <w:rsid w:val="00C50787"/>
    <w:rsid w:val="00CB1E0A"/>
    <w:rsid w:val="00CD6C19"/>
    <w:rsid w:val="00D133D7"/>
    <w:rsid w:val="00D73682"/>
    <w:rsid w:val="00D90B82"/>
    <w:rsid w:val="00DA2857"/>
    <w:rsid w:val="00DD0127"/>
    <w:rsid w:val="00DD7D02"/>
    <w:rsid w:val="00E25614"/>
    <w:rsid w:val="00E27328"/>
    <w:rsid w:val="00E476C7"/>
    <w:rsid w:val="00E724F2"/>
    <w:rsid w:val="00E9114C"/>
    <w:rsid w:val="00E92894"/>
    <w:rsid w:val="00EC25F9"/>
    <w:rsid w:val="00ED415A"/>
    <w:rsid w:val="00ED4A1D"/>
    <w:rsid w:val="00ED583F"/>
    <w:rsid w:val="00F20DDF"/>
    <w:rsid w:val="00F23B0D"/>
    <w:rsid w:val="00F47C3A"/>
    <w:rsid w:val="00F60F42"/>
    <w:rsid w:val="00F613F5"/>
    <w:rsid w:val="00F67A30"/>
    <w:rsid w:val="00F84FA7"/>
    <w:rsid w:val="00F95E5E"/>
    <w:rsid w:val="00FB5294"/>
    <w:rsid w:val="00FE4E27"/>
    <w:rsid w:val="00FE57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1E6BE1-0F23-409D-8F53-B530F8A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740BE1"/>
    <w:rPr>
      <w:rFonts w:ascii="OrigGarmnd BT" w:hAnsi="OrigGarmnd BT"/>
      <w:sz w:val="24"/>
      <w:lang w:val="sv-SE" w:eastAsia="en-US" w:bidi="ar-SA"/>
    </w:rPr>
  </w:style>
  <w:style w:type="paragraph" w:styleId="Normalwebb">
    <w:name w:val="Normal (Web)"/>
    <w:basedOn w:val="Normal"/>
    <w:rsid w:val="002A5C54"/>
    <w:pPr>
      <w:overflowPunct/>
      <w:autoSpaceDE/>
      <w:autoSpaceDN/>
      <w:adjustRightInd/>
      <w:spacing w:line="240" w:lineRule="auto"/>
      <w:textAlignment w:val="auto"/>
    </w:pPr>
    <w:rPr>
      <w:rFonts w:ascii="Times New Roman" w:hAnsi="Times New Roman"/>
      <w:szCs w:val="24"/>
      <w:lang w:val="hu-HU" w:eastAsia="hu-HU"/>
    </w:rPr>
  </w:style>
  <w:style w:type="character" w:styleId="Stark">
    <w:name w:val="Strong"/>
    <w:qFormat/>
    <w:rsid w:val="002A5C54"/>
    <w:rPr>
      <w:b/>
      <w:bCs/>
    </w:rPr>
  </w:style>
  <w:style w:type="paragraph" w:customStyle="1" w:styleId="Akapitzlist">
    <w:name w:val="Akapit z listą"/>
    <w:basedOn w:val="Normal"/>
    <w:qFormat/>
    <w:rsid w:val="00DD7D02"/>
    <w:pPr>
      <w:overflowPunct/>
      <w:autoSpaceDE/>
      <w:autoSpaceDN/>
      <w:adjustRightInd/>
      <w:spacing w:after="200" w:line="276" w:lineRule="auto"/>
      <w:ind w:left="720"/>
      <w:contextualSpacing/>
      <w:textAlignment w:val="auto"/>
    </w:pPr>
    <w:rPr>
      <w:rFonts w:ascii="Calibri" w:eastAsia="Calibri" w:hAnsi="Calibri"/>
      <w:sz w:val="22"/>
      <w:szCs w:val="22"/>
      <w:lang w:val="pl-PL"/>
    </w:rPr>
  </w:style>
  <w:style w:type="character" w:customStyle="1" w:styleId="Par-number1Char">
    <w:name w:val="Par-number 1. Char"/>
    <w:link w:val="Par-number1"/>
    <w:locked/>
    <w:rsid w:val="00176C47"/>
    <w:rPr>
      <w:sz w:val="24"/>
      <w:lang w:val="en-GB" w:eastAsia="fr-BE"/>
    </w:rPr>
  </w:style>
  <w:style w:type="paragraph" w:customStyle="1" w:styleId="Par-number1">
    <w:name w:val="Par-number 1."/>
    <w:basedOn w:val="Normal"/>
    <w:next w:val="Normal"/>
    <w:link w:val="Par-number1Char"/>
    <w:rsid w:val="00176C47"/>
    <w:pPr>
      <w:widowControl w:val="0"/>
      <w:tabs>
        <w:tab w:val="num" w:pos="360"/>
      </w:tabs>
      <w:overflowPunct/>
      <w:autoSpaceDE/>
      <w:autoSpaceDN/>
      <w:adjustRightInd/>
      <w:spacing w:line="360" w:lineRule="auto"/>
      <w:textAlignment w:val="auto"/>
    </w:pPr>
    <w:rPr>
      <w:rFonts w:ascii="Times New Roman" w:hAnsi="Times New Roman"/>
      <w:lang w:val="en-GB" w:eastAsia="fr-BE"/>
    </w:rPr>
  </w:style>
  <w:style w:type="paragraph" w:customStyle="1" w:styleId="EntRefer">
    <w:name w:val="EntRefer"/>
    <w:basedOn w:val="Normal"/>
    <w:rsid w:val="00176C47"/>
    <w:pPr>
      <w:widowControl w:val="0"/>
      <w:overflowPunct/>
      <w:autoSpaceDE/>
      <w:autoSpaceDN/>
      <w:adjustRightInd/>
      <w:spacing w:line="240" w:lineRule="auto"/>
      <w:textAlignment w:val="auto"/>
    </w:pPr>
    <w:rPr>
      <w:rFonts w:ascii="Times New Roman" w:hAnsi="Times New Roman"/>
      <w:b/>
      <w:lang w:val="en-GB" w:eastAsia="fr-BE"/>
    </w:rPr>
  </w:style>
  <w:style w:type="paragraph" w:customStyle="1" w:styleId="NumPar1">
    <w:name w:val="NumPar 1"/>
    <w:basedOn w:val="Normal"/>
    <w:next w:val="Normal"/>
    <w:rsid w:val="00176C47"/>
    <w:pPr>
      <w:numPr>
        <w:numId w:val="2"/>
      </w:numPr>
      <w:overflowPunct/>
      <w:autoSpaceDE/>
      <w:autoSpaceDN/>
      <w:adjustRightInd/>
      <w:spacing w:before="120" w:after="120" w:line="240" w:lineRule="auto"/>
      <w:jc w:val="both"/>
      <w:textAlignment w:val="auto"/>
    </w:pPr>
    <w:rPr>
      <w:rFonts w:ascii="Times New Roman" w:hAnsi="Times New Roman"/>
      <w:lang w:val="en-GB" w:eastAsia="en-GB"/>
    </w:rPr>
  </w:style>
  <w:style w:type="paragraph" w:customStyle="1" w:styleId="NumPar2">
    <w:name w:val="NumPar 2"/>
    <w:basedOn w:val="Normal"/>
    <w:next w:val="Normal"/>
    <w:rsid w:val="00176C47"/>
    <w:pPr>
      <w:numPr>
        <w:ilvl w:val="1"/>
        <w:numId w:val="2"/>
      </w:numPr>
      <w:overflowPunct/>
      <w:autoSpaceDE/>
      <w:autoSpaceDN/>
      <w:adjustRightInd/>
      <w:spacing w:before="120" w:after="120" w:line="240" w:lineRule="auto"/>
      <w:jc w:val="both"/>
      <w:textAlignment w:val="auto"/>
    </w:pPr>
    <w:rPr>
      <w:rFonts w:ascii="Times New Roman" w:hAnsi="Times New Roman"/>
      <w:lang w:val="en-GB" w:eastAsia="en-GB"/>
    </w:rPr>
  </w:style>
  <w:style w:type="paragraph" w:customStyle="1" w:styleId="NumPar3">
    <w:name w:val="NumPar 3"/>
    <w:basedOn w:val="Normal"/>
    <w:next w:val="Normal"/>
    <w:rsid w:val="00176C47"/>
    <w:pPr>
      <w:numPr>
        <w:ilvl w:val="2"/>
        <w:numId w:val="2"/>
      </w:numPr>
      <w:overflowPunct/>
      <w:autoSpaceDE/>
      <w:autoSpaceDN/>
      <w:adjustRightInd/>
      <w:spacing w:before="120" w:after="120" w:line="240" w:lineRule="auto"/>
      <w:jc w:val="both"/>
      <w:textAlignment w:val="auto"/>
    </w:pPr>
    <w:rPr>
      <w:rFonts w:ascii="Times New Roman" w:hAnsi="Times New Roman"/>
      <w:lang w:val="en-GB" w:eastAsia="en-GB"/>
    </w:rPr>
  </w:style>
  <w:style w:type="paragraph" w:customStyle="1" w:styleId="NumPar4">
    <w:name w:val="NumPar 4"/>
    <w:basedOn w:val="Normal"/>
    <w:next w:val="Normal"/>
    <w:rsid w:val="00176C47"/>
    <w:pPr>
      <w:numPr>
        <w:ilvl w:val="3"/>
        <w:numId w:val="2"/>
      </w:numPr>
      <w:overflowPunct/>
      <w:autoSpaceDE/>
      <w:autoSpaceDN/>
      <w:adjustRightInd/>
      <w:spacing w:before="120" w:after="120" w:line="240" w:lineRule="auto"/>
      <w:jc w:val="both"/>
      <w:textAlignment w:val="auto"/>
    </w:pPr>
    <w:rPr>
      <w:rFonts w:ascii="Times New Roman" w:hAnsi="Times New Roman"/>
      <w:lang w:val="en-GB" w:eastAsia="en-GB"/>
    </w:rPr>
  </w:style>
  <w:style w:type="paragraph" w:customStyle="1" w:styleId="akapitzlist0">
    <w:name w:val="akapitzlist"/>
    <w:basedOn w:val="Normal"/>
    <w:rsid w:val="00176C47"/>
    <w:pPr>
      <w:overflowPunct/>
      <w:autoSpaceDE/>
      <w:autoSpaceDN/>
      <w:adjustRightInd/>
      <w:spacing w:before="100" w:beforeAutospacing="1" w:after="100" w:afterAutospacing="1" w:line="240" w:lineRule="auto"/>
      <w:textAlignment w:val="auto"/>
    </w:pPr>
    <w:rPr>
      <w:rFonts w:ascii="Times New Roman" w:hAnsi="Times New Roman"/>
      <w:szCs w:val="24"/>
      <w:lang w:val="fr-BE" w:eastAsia="fr-BE"/>
    </w:rPr>
  </w:style>
  <w:style w:type="paragraph" w:customStyle="1" w:styleId="CharZchnZchn">
    <w:name w:val=" Char Zchn Zchn"/>
    <w:basedOn w:val="Normal"/>
    <w:rsid w:val="00362EA2"/>
    <w:pPr>
      <w:overflowPunct/>
      <w:autoSpaceDE/>
      <w:autoSpaceDN/>
      <w:adjustRightInd/>
      <w:spacing w:line="240" w:lineRule="auto"/>
      <w:textAlignment w:val="auto"/>
    </w:pPr>
    <w:rPr>
      <w:rFonts w:ascii="Times New Roman" w:hAnsi="Times New Roman"/>
      <w:szCs w:val="24"/>
      <w:lang w:val="pl-PL" w:eastAsia="pl-PL"/>
    </w:rPr>
  </w:style>
  <w:style w:type="paragraph" w:customStyle="1" w:styleId="CharCharCharCharChar">
    <w:name w:val=" Char Char Char Char Char"/>
    <w:basedOn w:val="Normal"/>
    <w:rsid w:val="00F60F42"/>
    <w:pPr>
      <w:overflowPunct/>
      <w:autoSpaceDE/>
      <w:autoSpaceDN/>
      <w:adjustRightInd/>
      <w:spacing w:after="160" w:line="240" w:lineRule="exact"/>
      <w:textAlignment w:val="auto"/>
    </w:pPr>
    <w:rPr>
      <w:rFonts w:ascii="Tahoma" w:hAnsi="Tahoma"/>
      <w:sz w:val="20"/>
      <w:lang w:val="en-US"/>
    </w:rPr>
  </w:style>
  <w:style w:type="paragraph" w:styleId="Ballongtext">
    <w:name w:val="Balloon Text"/>
    <w:basedOn w:val="Normal"/>
    <w:link w:val="BallongtextChar"/>
    <w:rsid w:val="00F613F5"/>
    <w:pPr>
      <w:spacing w:line="240" w:lineRule="auto"/>
    </w:pPr>
    <w:rPr>
      <w:rFonts w:ascii="Tahoma" w:hAnsi="Tahoma" w:cs="Tahoma"/>
      <w:sz w:val="16"/>
      <w:szCs w:val="16"/>
    </w:rPr>
  </w:style>
  <w:style w:type="character" w:customStyle="1" w:styleId="BallongtextChar">
    <w:name w:val="Ballongtext Char"/>
    <w:link w:val="Ballongtext"/>
    <w:rsid w:val="00F613F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5416">
      <w:bodyDiv w:val="1"/>
      <w:marLeft w:val="0"/>
      <w:marRight w:val="0"/>
      <w:marTop w:val="0"/>
      <w:marBottom w:val="0"/>
      <w:divBdr>
        <w:top w:val="none" w:sz="0" w:space="0" w:color="auto"/>
        <w:left w:val="none" w:sz="0" w:space="0" w:color="auto"/>
        <w:bottom w:val="none" w:sz="0" w:space="0" w:color="auto"/>
        <w:right w:val="none" w:sz="0" w:space="0" w:color="auto"/>
      </w:divBdr>
    </w:div>
    <w:div w:id="529340074">
      <w:bodyDiv w:val="1"/>
      <w:marLeft w:val="0"/>
      <w:marRight w:val="0"/>
      <w:marTop w:val="0"/>
      <w:marBottom w:val="0"/>
      <w:divBdr>
        <w:top w:val="none" w:sz="0" w:space="0" w:color="auto"/>
        <w:left w:val="none" w:sz="0" w:space="0" w:color="auto"/>
        <w:bottom w:val="none" w:sz="0" w:space="0" w:color="auto"/>
        <w:right w:val="none" w:sz="0" w:space="0" w:color="auto"/>
      </w:divBdr>
    </w:div>
    <w:div w:id="863712594">
      <w:bodyDiv w:val="1"/>
      <w:marLeft w:val="0"/>
      <w:marRight w:val="0"/>
      <w:marTop w:val="0"/>
      <w:marBottom w:val="0"/>
      <w:divBdr>
        <w:top w:val="none" w:sz="0" w:space="0" w:color="auto"/>
        <w:left w:val="none" w:sz="0" w:space="0" w:color="auto"/>
        <w:bottom w:val="none" w:sz="0" w:space="0" w:color="auto"/>
        <w:right w:val="none" w:sz="0" w:space="0" w:color="auto"/>
      </w:divBdr>
    </w:div>
    <w:div w:id="981958456">
      <w:bodyDiv w:val="1"/>
      <w:marLeft w:val="0"/>
      <w:marRight w:val="0"/>
      <w:marTop w:val="0"/>
      <w:marBottom w:val="0"/>
      <w:divBdr>
        <w:top w:val="none" w:sz="0" w:space="0" w:color="auto"/>
        <w:left w:val="none" w:sz="0" w:space="0" w:color="auto"/>
        <w:bottom w:val="none" w:sz="0" w:space="0" w:color="auto"/>
        <w:right w:val="none" w:sz="0" w:space="0" w:color="auto"/>
      </w:divBdr>
    </w:div>
    <w:div w:id="1098870250">
      <w:bodyDiv w:val="1"/>
      <w:marLeft w:val="0"/>
      <w:marRight w:val="0"/>
      <w:marTop w:val="0"/>
      <w:marBottom w:val="0"/>
      <w:divBdr>
        <w:top w:val="none" w:sz="0" w:space="0" w:color="auto"/>
        <w:left w:val="none" w:sz="0" w:space="0" w:color="auto"/>
        <w:bottom w:val="none" w:sz="0" w:space="0" w:color="auto"/>
        <w:right w:val="none" w:sz="0" w:space="0" w:color="auto"/>
      </w:divBdr>
    </w:div>
    <w:div w:id="1381395892">
      <w:bodyDiv w:val="1"/>
      <w:marLeft w:val="0"/>
      <w:marRight w:val="0"/>
      <w:marTop w:val="0"/>
      <w:marBottom w:val="0"/>
      <w:divBdr>
        <w:top w:val="none" w:sz="0" w:space="0" w:color="auto"/>
        <w:left w:val="none" w:sz="0" w:space="0" w:color="auto"/>
        <w:bottom w:val="none" w:sz="0" w:space="0" w:color="auto"/>
        <w:right w:val="none" w:sz="0" w:space="0" w:color="auto"/>
      </w:divBdr>
    </w:div>
    <w:div w:id="1809281199">
      <w:bodyDiv w:val="1"/>
      <w:marLeft w:val="0"/>
      <w:marRight w:val="0"/>
      <w:marTop w:val="0"/>
      <w:marBottom w:val="0"/>
      <w:divBdr>
        <w:top w:val="none" w:sz="0" w:space="0" w:color="auto"/>
        <w:left w:val="none" w:sz="0" w:space="0" w:color="auto"/>
        <w:bottom w:val="none" w:sz="0" w:space="0" w:color="auto"/>
        <w:right w:val="none" w:sz="0" w:space="0" w:color="auto"/>
      </w:divBdr>
    </w:div>
    <w:div w:id="199468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2388</Words>
  <Characters>16030</Characters>
  <Application>Microsoft Office Word</Application>
  <DocSecurity>4</DocSecurity>
  <Lines>445</Lines>
  <Paragraphs>152</Paragraphs>
  <ScaleCrop>false</ScaleCrop>
  <HeadingPairs>
    <vt:vector size="2" baseType="variant">
      <vt:variant>
        <vt:lpstr>Rubrik</vt:lpstr>
      </vt:variant>
      <vt:variant>
        <vt:i4>1</vt:i4>
      </vt:variant>
    </vt:vector>
  </HeadingPairs>
  <TitlesOfParts>
    <vt:vector size="1" baseType="lpstr">
      <vt:lpstr>Konkurrenskraftsrådet den 30 maj - sr Björlings ansvarsområden</vt:lpstr>
    </vt:vector>
  </TitlesOfParts>
  <Company>Regeringskansliet</Company>
  <LinksUpToDate>false</LinksUpToDate>
  <CharactersWithSpaces>18266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Konkurrenskraftsrådet den 30 maj - sr Björlings ansvarsområden</dc:title>
  <dc:subject>Konkurrenskraftsrådet den 30 maj - sr Björlings ansvarsområden</dc:subject>
  <dc:creator>Riksdagen</dc:creator>
  <cp:keywords>Riksdagen</cp:keywords>
  <cp:lastModifiedBy>Lars Brink</cp:lastModifiedBy>
  <cp:revision>2</cp:revision>
  <cp:lastPrinted>2012-05-21T08:47:00Z</cp:lastPrinted>
  <dcterms:created xsi:type="dcterms:W3CDTF">2025-12-17T21:42:00Z</dcterms:created>
  <dcterms:modified xsi:type="dcterms:W3CDTF">2025-12-17T21:42:00Z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7</vt:i4>
  </property>
  <property fmtid="{D5CDD505-2E9C-101B-9397-08002B2CF9AE}" pid="5" name="ContentType">
    <vt:lpwstr>Word</vt:lpwstr>
  </property>
  <property fmtid="{D5CDD505-2E9C-101B-9397-08002B2CF9AE}" pid="6" name="RKOrdnaDepartement">
    <vt:lpwstr>Utrikesdepartementet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Utrikesdepartementet</vt:lpwstr>
  </property>
  <property fmtid="{D5CDD505-2E9C-101B-9397-08002B2CF9AE}" pid="12" name="RKOrdnaActivityCategory2">
    <vt:lpwstr>4.1. Europeiska unionen</vt:lpwstr>
  </property>
  <property fmtid="{D5CDD505-2E9C-101B-9397-08002B2CF9AE}" pid="13" name="RKOrdnaClass">
    <vt:lpwstr/>
  </property>
  <property fmtid="{D5CDD505-2E9C-101B-9397-08002B2CF9AE}" pid="14" name="RKOrdnaCheckInComment">
    <vt:lpwstr/>
  </property>
  <property fmtid="{D5CDD505-2E9C-101B-9397-08002B2CF9AE}" pid="15" name="ContentTypeId">
    <vt:lpwstr>0x010100D4E2D80DC721422ABBDF033BB3857F490300E4047BEA53C46247B1FE29ED514F36E1</vt:lpwstr>
  </property>
</Properties>
</file>