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BE1" w:rsidRPr="00F508F1" w:rsidRDefault="00535BE1" w:rsidP="00535BE1">
      <w:pPr>
        <w:pStyle w:val="Hemstlrubrik"/>
      </w:pPr>
      <w:r w:rsidRPr="00F508F1">
        <w:t>Förslag till riksdagsbeslut</w:t>
      </w:r>
    </w:p>
    <w:p w:rsidR="00535BE1" w:rsidRPr="00F508F1" w:rsidRDefault="00535BE1" w:rsidP="00535BE1">
      <w:pPr>
        <w:pStyle w:val="Hemstlatt"/>
      </w:pPr>
      <w:r w:rsidRPr="00F508F1">
        <w:t>Riksdagen avslår regeringens förslag om skyldighet att tillhandahålla förnybara drivmedel.</w:t>
      </w:r>
    </w:p>
    <w:p w:rsidR="00535BE1" w:rsidRPr="00F508F1" w:rsidRDefault="00535BE1" w:rsidP="00535BE1">
      <w:pPr>
        <w:pStyle w:val="Hemstlatt"/>
      </w:pPr>
      <w:r w:rsidRPr="00F508F1">
        <w:t xml:space="preserve">Riksdagen </w:t>
      </w:r>
      <w:r w:rsidR="00EF06D7" w:rsidRPr="00F508F1">
        <w:t xml:space="preserve">godkänner, med ändring av regeringens förslag, </w:t>
      </w:r>
      <w:r w:rsidRPr="00F508F1">
        <w:t>att det vägl</w:t>
      </w:r>
      <w:r w:rsidRPr="00F508F1">
        <w:t>e</w:t>
      </w:r>
      <w:r w:rsidRPr="00F508F1">
        <w:t>dande målet för användningen av biodrivmedel och andra förnybara drivm</w:t>
      </w:r>
      <w:r w:rsidRPr="00F508F1">
        <w:t>e</w:t>
      </w:r>
      <w:r w:rsidRPr="00F508F1">
        <w:t>del i Sverige fr</w:t>
      </w:r>
      <w:r w:rsidR="00EF06D7" w:rsidRPr="00F508F1">
        <w:t>.</w:t>
      </w:r>
      <w:r w:rsidRPr="00F508F1">
        <w:t>o</w:t>
      </w:r>
      <w:r w:rsidR="00EF06D7" w:rsidRPr="00F508F1">
        <w:t>.</w:t>
      </w:r>
      <w:r w:rsidRPr="00F508F1">
        <w:t>m</w:t>
      </w:r>
      <w:r w:rsidR="00EF06D7" w:rsidRPr="00F508F1">
        <w:t>.</w:t>
      </w:r>
      <w:r w:rsidRPr="00F508F1">
        <w:t xml:space="preserve"> år 2010 skall vara att sådana</w:t>
      </w:r>
      <w:r w:rsidR="00EF06D7" w:rsidRPr="00F508F1">
        <w:t xml:space="preserve"> drivmedel skall utg</w:t>
      </w:r>
      <w:r w:rsidR="00EF06D7" w:rsidRPr="00F508F1">
        <w:t>ö</w:t>
      </w:r>
      <w:r w:rsidR="00EF06D7" w:rsidRPr="00F508F1">
        <w:t>ra minst 8 </w:t>
      </w:r>
      <w:r w:rsidRPr="00F508F1">
        <w:t>% av den totala användningen av bensin och diesel för transportä</w:t>
      </w:r>
      <w:r w:rsidRPr="00F508F1">
        <w:t>n</w:t>
      </w:r>
      <w:r w:rsidRPr="00F508F1">
        <w:t>damål beräknat på energiinnehåll.</w:t>
      </w:r>
    </w:p>
    <w:p w:rsidR="00535BE1" w:rsidRPr="00F508F1" w:rsidRDefault="00535BE1" w:rsidP="00535BE1">
      <w:pPr>
        <w:pStyle w:val="Rubrik1"/>
      </w:pPr>
      <w:r w:rsidRPr="00F508F1">
        <w:t>Bakgrund</w:t>
      </w:r>
    </w:p>
    <w:p w:rsidR="00535BE1" w:rsidRPr="00F508F1" w:rsidRDefault="00535BE1" w:rsidP="007D465A">
      <w:pPr>
        <w:pStyle w:val="Normaltindrag"/>
        <w:spacing w:before="125"/>
        <w:ind w:firstLine="0"/>
      </w:pPr>
      <w:r w:rsidRPr="00F508F1">
        <w:t>I propositionen föreslår regeringen i samarbete med Miljöpartiet en ny lag om skyldighet att tillhandahålla förnybara drivmedel. Skyldigheten ska</w:t>
      </w:r>
      <w:r w:rsidR="00A40062" w:rsidRPr="00F508F1">
        <w:t>ll</w:t>
      </w:r>
      <w:r w:rsidRPr="00F508F1">
        <w:t xml:space="preserve"> gälla näringsidkare som tillhandahåller drivmedel för vägburna transporter till allmänheten. Skyldigheten skall från den 1 feb</w:t>
      </w:r>
      <w:r w:rsidR="00A40062" w:rsidRPr="00F508F1">
        <w:t>ruari</w:t>
      </w:r>
      <w:r w:rsidRPr="00F508F1">
        <w:t xml:space="preserve"> 2006 gälla de volymmä</w:t>
      </w:r>
      <w:r w:rsidRPr="00F508F1">
        <w:t>s</w:t>
      </w:r>
      <w:r w:rsidRPr="00F508F1">
        <w:t xml:space="preserve">sigt största försäljningsställena för att därefter fram till år 2009 årligen vidgas till att gälla alla de försäljningsställen som årligen tillhandahåller minst </w:t>
      </w:r>
      <w:smartTag w:uri="urn:schemas-microsoft-com:office:smarttags" w:element="metricconverter">
        <w:smartTagPr>
          <w:attr w:name="ProductID" w:val="1ﾠ000 kubikmeter"/>
        </w:smartTagPr>
        <w:r w:rsidRPr="00F508F1">
          <w:t>1</w:t>
        </w:r>
        <w:r w:rsidR="00A40062" w:rsidRPr="00F508F1">
          <w:t> </w:t>
        </w:r>
        <w:r w:rsidRPr="00F508F1">
          <w:t>000 kubikmeter</w:t>
        </w:r>
      </w:smartTag>
      <w:r w:rsidRPr="00F508F1">
        <w:t xml:space="preserve"> konventionella bränslen.</w:t>
      </w:r>
    </w:p>
    <w:p w:rsidR="00535BE1" w:rsidRPr="00F508F1" w:rsidRDefault="00535BE1" w:rsidP="00EF06D7">
      <w:pPr>
        <w:pStyle w:val="Normaltindrag"/>
      </w:pPr>
      <w:r w:rsidRPr="00F508F1">
        <w:t>Vidare föreslår regeringen och Miljöpartiet ett nytt nationellt mål för and</w:t>
      </w:r>
      <w:r w:rsidRPr="00F508F1">
        <w:t>e</w:t>
      </w:r>
      <w:r w:rsidRPr="00F508F1">
        <w:t>len biodrivmedel 2010. Målet bygger på Europaparlamentets och rådets dire</w:t>
      </w:r>
      <w:r w:rsidRPr="00F508F1">
        <w:t>k</w:t>
      </w:r>
      <w:r w:rsidRPr="00F508F1">
        <w:t>tiv 2003/30/EG och säger att det vägledande målet för användningen av bi</w:t>
      </w:r>
      <w:r w:rsidRPr="00F508F1">
        <w:t>o</w:t>
      </w:r>
      <w:r w:rsidRPr="00F508F1">
        <w:t>drivmedel och andra förnybara drivmedel i Sverige från och med år 2010 skall vara att sådana drivmedel skall utgöra minst 5,75 % av den totala a</w:t>
      </w:r>
      <w:r w:rsidRPr="00F508F1">
        <w:t>n</w:t>
      </w:r>
      <w:r w:rsidRPr="00F508F1">
        <w:t>vändningen av bensin och diesel för transportändamål beräknat på energii</w:t>
      </w:r>
      <w:r w:rsidRPr="00F508F1">
        <w:t>n</w:t>
      </w:r>
      <w:r w:rsidRPr="00F508F1">
        <w:t>nehåll.</w:t>
      </w:r>
    </w:p>
    <w:p w:rsidR="00535BE1" w:rsidRPr="00F508F1" w:rsidRDefault="00535BE1" w:rsidP="00EF06D7">
      <w:pPr>
        <w:pStyle w:val="Rubrik1"/>
      </w:pPr>
      <w:r w:rsidRPr="00F508F1">
        <w:lastRenderedPageBreak/>
        <w:t>Inledning</w:t>
      </w:r>
    </w:p>
    <w:p w:rsidR="00535BE1" w:rsidRPr="00F508F1" w:rsidRDefault="00535BE1" w:rsidP="007D465A">
      <w:pPr>
        <w:pStyle w:val="Normaltindrag"/>
        <w:spacing w:before="125"/>
        <w:ind w:firstLine="0"/>
        <w:rPr>
          <w:u w:val="single"/>
        </w:rPr>
      </w:pPr>
      <w:r w:rsidRPr="00F508F1">
        <w:t xml:space="preserve">Det finns ingen anledning att upprepa argumentationen varför vi måste bryta vårt oljeberoende av såväl miljömässiga, ekonomiska som säkerhetspolitiska skäl. Istället bör vi ägna oss åt att fatta de politiska beslut som på effektivast sätt kan få näringslivet och medborgarna att bryta oljeberoendet och våga satsa på framtidens teknik, som använder förnybara bränslen. Omställningen är en lång kedja av åtgärder och politiska styrmedel. Det gäller att göra saker och ting i rätt ordning </w:t>
      </w:r>
      <w:r w:rsidRPr="00F508F1">
        <w:rPr>
          <w:highlight w:val="green"/>
        </w:rPr>
        <w:t>och inte låsa fast mark</w:t>
      </w:r>
      <w:r w:rsidR="00A40062" w:rsidRPr="00F508F1">
        <w:rPr>
          <w:highlight w:val="green"/>
        </w:rPr>
        <w:t>n</w:t>
      </w:r>
      <w:r w:rsidRPr="00F508F1">
        <w:rPr>
          <w:highlight w:val="green"/>
        </w:rPr>
        <w:t>aden i oflexibla lösningar.</w:t>
      </w:r>
      <w:r w:rsidRPr="00F508F1">
        <w:t xml:space="preserve"> Ett bra exempel är Centerpartiets mål om att det efter 2015 skall vara förbjudet att </w:t>
      </w:r>
      <w:r w:rsidRPr="00F508F1">
        <w:rPr>
          <w:szCs w:val="19"/>
        </w:rPr>
        <w:t xml:space="preserve">sälja nytillverkade fordon som enbart kan drivas av fossila bränslen. </w:t>
      </w:r>
      <w:r w:rsidRPr="00F508F1">
        <w:t>G</w:t>
      </w:r>
      <w:r w:rsidRPr="00F508F1">
        <w:t>e</w:t>
      </w:r>
      <w:r w:rsidRPr="00F508F1">
        <w:t>nom att sätta upp en tydlig slutgräns ger vi ett kraftigt incitament till fordon</w:t>
      </w:r>
      <w:r w:rsidRPr="00F508F1">
        <w:t>s</w:t>
      </w:r>
      <w:r w:rsidRPr="00F508F1">
        <w:t xml:space="preserve">industrin att producera och utveckla miljöbilar. </w:t>
      </w:r>
      <w:r w:rsidRPr="00F508F1">
        <w:rPr>
          <w:szCs w:val="19"/>
        </w:rPr>
        <w:t xml:space="preserve">För att lyckas genomföra en sådan stor omställning behövs det en </w:t>
      </w:r>
      <w:r w:rsidRPr="00F508F1">
        <w:t>ökad satsning på olika former av alte</w:t>
      </w:r>
      <w:r w:rsidRPr="00F508F1">
        <w:t>r</w:t>
      </w:r>
      <w:r w:rsidRPr="00F508F1">
        <w:t>nativa drivmedel. Exempelvis går en ökad produktion av inhemsk etanol att förverkliga och kan generera många nya jobb liksom en ökad tillväxt i Sver</w:t>
      </w:r>
      <w:r w:rsidRPr="00F508F1">
        <w:t>i</w:t>
      </w:r>
      <w:r w:rsidRPr="00F508F1">
        <w:t>ge. Idag ser vi också att målet är realistiskt. Det som väcker stör</w:t>
      </w:r>
      <w:r w:rsidR="00A40062" w:rsidRPr="00F508F1">
        <w:t>s</w:t>
      </w:r>
      <w:r w:rsidRPr="00F508F1">
        <w:t>t intresse på bilmässor runt om i världen är nya modeller av olika typer av miljöbilar. Var 10:e bil som såldes i Sverige under september månad var en miljöbil. Efte</w:t>
      </w:r>
      <w:r w:rsidRPr="00F508F1">
        <w:t>r</w:t>
      </w:r>
      <w:r w:rsidRPr="00F508F1">
        <w:t>frågan och marknaden finns redan och att då, som regeringen gör i denna proposition, föreslå lagstiftning är att bli omsprungen av verkligheten. U</w:t>
      </w:r>
      <w:r w:rsidRPr="00F508F1">
        <w:t>t</w:t>
      </w:r>
      <w:r w:rsidRPr="00F508F1">
        <w:t xml:space="preserve">byggnaden av tankställen kommer att ske ändå, nu när efterfrågan börjar tillta alltmer. </w:t>
      </w:r>
    </w:p>
    <w:p w:rsidR="00535BE1" w:rsidRPr="00F508F1" w:rsidRDefault="00535BE1" w:rsidP="00EF06D7">
      <w:pPr>
        <w:pStyle w:val="Normaltindrag"/>
      </w:pPr>
      <w:r w:rsidRPr="00F508F1">
        <w:t>Vi måste redan nu staka ut riktningen för hur vi ska</w:t>
      </w:r>
      <w:r w:rsidR="00A40062" w:rsidRPr="00F508F1">
        <w:t>ll</w:t>
      </w:r>
      <w:r w:rsidRPr="00F508F1">
        <w:t xml:space="preserve"> kunna nå det mål som Sveriges </w:t>
      </w:r>
      <w:r w:rsidR="00A40062" w:rsidRPr="00F508F1">
        <w:t xml:space="preserve">riksdag </w:t>
      </w:r>
      <w:r w:rsidRPr="00F508F1">
        <w:t>har satt upp – att Sveriges utsläpp av växthusgaser ska</w:t>
      </w:r>
      <w:r w:rsidR="00A40062" w:rsidRPr="00F508F1">
        <w:t>ll</w:t>
      </w:r>
      <w:r w:rsidRPr="00F508F1">
        <w:t xml:space="preserve"> halveras till år 2050. Vi är beredda att fatta beslut om delmål som pekar ut riktningen för näringslivet och medborgarna. Detta är oerhört viktigt för att investeringar ska</w:t>
      </w:r>
      <w:r w:rsidR="00A40062" w:rsidRPr="00F508F1">
        <w:t>ll</w:t>
      </w:r>
      <w:r w:rsidRPr="00F508F1">
        <w:t xml:space="preserve"> komma till stånd och prioriteringar av forskningsresurser ska</w:t>
      </w:r>
      <w:r w:rsidR="00A40062" w:rsidRPr="00F508F1">
        <w:t>ll</w:t>
      </w:r>
      <w:r w:rsidRPr="00F508F1">
        <w:t xml:space="preserve"> kunna göras. Avgörande för om målet ska</w:t>
      </w:r>
      <w:r w:rsidR="00A40062" w:rsidRPr="00F508F1">
        <w:t>ll</w:t>
      </w:r>
      <w:r w:rsidRPr="00F508F1">
        <w:t xml:space="preserve"> kunna nås är hur vi lyckas med ett teknikskifte inom trafik- och drivmedelssektorn. </w:t>
      </w:r>
    </w:p>
    <w:p w:rsidR="00535BE1" w:rsidRPr="00F508F1" w:rsidRDefault="00535BE1" w:rsidP="00535BE1">
      <w:pPr>
        <w:pStyle w:val="Rubrik1"/>
      </w:pPr>
      <w:r w:rsidRPr="00F508F1">
        <w:t>Skyldighet att tillhandahålla förnybara drivmedel</w:t>
      </w:r>
    </w:p>
    <w:p w:rsidR="00535BE1" w:rsidRPr="00F508F1" w:rsidRDefault="00535BE1" w:rsidP="007D465A">
      <w:pPr>
        <w:pStyle w:val="Normaltindrag"/>
        <w:spacing w:before="125"/>
        <w:ind w:firstLine="0"/>
      </w:pPr>
      <w:r w:rsidRPr="00F508F1">
        <w:t>Centerpartiet delar inte regeringens och Miljöpartiets idé om att tvinga be</w:t>
      </w:r>
      <w:r w:rsidRPr="00F508F1">
        <w:t>n</w:t>
      </w:r>
      <w:r w:rsidRPr="00F508F1">
        <w:t>sinstationerna att tillhandahålla ett förnybart bränsle. Vårt främsta argument är att vi hellre ser att man från politiskt håll stimulerar marknaden så att efte</w:t>
      </w:r>
      <w:r w:rsidRPr="00F508F1">
        <w:t>r</w:t>
      </w:r>
      <w:r w:rsidRPr="00F508F1">
        <w:t>frågan på miljövänliga fordon och alternativa drivmedel ökar. Med en efte</w:t>
      </w:r>
      <w:r w:rsidRPr="00F508F1">
        <w:t>r</w:t>
      </w:r>
      <w:r w:rsidRPr="00F508F1">
        <w:t>frågan kommer också utbudet att öka. Att tvinga fram en utbyggnad som inte bygger på efterfrågan kan snarare komma att sätta käppar i hjulet för tekni</w:t>
      </w:r>
      <w:r w:rsidRPr="00F508F1">
        <w:t>k</w:t>
      </w:r>
      <w:r w:rsidRPr="00F508F1">
        <w:t>skiftet till förnybara fordonsbränslen, istället för att bidra till omställningen.</w:t>
      </w:r>
    </w:p>
    <w:p w:rsidR="00535BE1" w:rsidRPr="00F508F1" w:rsidRDefault="00535BE1" w:rsidP="00EF06D7">
      <w:pPr>
        <w:pStyle w:val="Normaltindrag"/>
        <w:rPr>
          <w:rFonts w:ascii="Helv" w:hAnsi="Helv" w:cs="Helv"/>
          <w:color w:val="000000"/>
          <w:sz w:val="20"/>
        </w:rPr>
      </w:pPr>
      <w:r w:rsidRPr="00F508F1">
        <w:t>En framtvingad utbyggnad av tankställen skulle dessutom inte vara tekni</w:t>
      </w:r>
      <w:r w:rsidRPr="00F508F1">
        <w:t>k</w:t>
      </w:r>
      <w:r w:rsidRPr="00F508F1">
        <w:t>neutral eftersom det i dagsläget är väldigt mycket</w:t>
      </w:r>
      <w:r w:rsidRPr="00F508F1">
        <w:rPr>
          <w:rFonts w:ascii="Helv" w:hAnsi="Helv" w:cs="Helv"/>
          <w:color w:val="000000"/>
          <w:sz w:val="20"/>
        </w:rPr>
        <w:t xml:space="preserve"> </w:t>
      </w:r>
      <w:r w:rsidR="00D01EE5" w:rsidRPr="00F508F1">
        <w:t xml:space="preserve">billigare att bygga en E </w:t>
      </w:r>
      <w:r w:rsidRPr="00F508F1">
        <w:t>85-pump än en pump för till exempel biogas (300</w:t>
      </w:r>
      <w:r w:rsidR="00D01EE5" w:rsidRPr="00F508F1">
        <w:t> 000 kr för en etanolpump och 3–</w:t>
      </w:r>
      <w:r w:rsidRPr="00F508F1">
        <w:t>4 miljoner kr</w:t>
      </w:r>
      <w:r w:rsidR="007D465A" w:rsidRPr="00F508F1">
        <w:t>onor</w:t>
      </w:r>
      <w:r w:rsidRPr="00F508F1">
        <w:t xml:space="preserve"> för en gasmack). Centerpartiet anser att de politiska sty</w:t>
      </w:r>
      <w:r w:rsidRPr="00F508F1">
        <w:t>r</w:t>
      </w:r>
      <w:r w:rsidRPr="00F508F1">
        <w:t>medlen för omställningen till ett hållbart samhälle inte får styra tekniken. Vad framtidens forskning och utveckling har att bidra med vet vi antagligen inte mycket om. Finessen är att utveckla samtliga styrmedel och forskningsinsa</w:t>
      </w:r>
      <w:r w:rsidRPr="00F508F1">
        <w:t>t</w:t>
      </w:r>
      <w:r w:rsidRPr="00F508F1">
        <w:t>ser helt teknikneutrala. Det ska</w:t>
      </w:r>
      <w:r w:rsidR="00D01EE5" w:rsidRPr="00F508F1">
        <w:t>ll</w:t>
      </w:r>
      <w:r w:rsidRPr="00F508F1">
        <w:t xml:space="preserve"> inte spela någon roll om man väljer biogas eller etanol och inte heller om man framställer biogas genom en biologisk process eller en kemisk process. Vårt enda krav är att det ska</w:t>
      </w:r>
      <w:r w:rsidR="00D01EE5" w:rsidRPr="00F508F1">
        <w:t>ll</w:t>
      </w:r>
      <w:r w:rsidRPr="00F508F1">
        <w:t xml:space="preserve"> vara förnybara bränslen som driver framtidens bilar. </w:t>
      </w:r>
      <w:r w:rsidRPr="00F508F1">
        <w:rPr>
          <w:highlight w:val="green"/>
        </w:rPr>
        <w:t>Vi vill inte heller tvinga fram en infr</w:t>
      </w:r>
      <w:r w:rsidRPr="00F508F1">
        <w:rPr>
          <w:highlight w:val="green"/>
        </w:rPr>
        <w:t>a</w:t>
      </w:r>
      <w:r w:rsidRPr="00F508F1">
        <w:rPr>
          <w:highlight w:val="green"/>
        </w:rPr>
        <w:t>struktur som inte är flexibel, varför vi till exempel ser mycket positivt på de nya typerna av bränsleflexibla pumpar, i vilka man kan välja andelen i</w:t>
      </w:r>
      <w:r w:rsidRPr="00F508F1">
        <w:rPr>
          <w:highlight w:val="green"/>
        </w:rPr>
        <w:t>n</w:t>
      </w:r>
      <w:r w:rsidRPr="00F508F1">
        <w:rPr>
          <w:highlight w:val="green"/>
        </w:rPr>
        <w:t>blandning av etanol.</w:t>
      </w:r>
    </w:p>
    <w:p w:rsidR="00535BE1" w:rsidRPr="00F508F1" w:rsidRDefault="00535BE1" w:rsidP="00EF06D7">
      <w:pPr>
        <w:pStyle w:val="Normaltindrag"/>
      </w:pPr>
      <w:r w:rsidRPr="00F508F1">
        <w:t>Vi känner också en oro för att landsbygden kommer att bli utan al</w:t>
      </w:r>
      <w:r w:rsidR="00D01EE5" w:rsidRPr="00F508F1">
        <w:t>ternativa bränslen, trots ”pump</w:t>
      </w:r>
      <w:r w:rsidRPr="00F508F1">
        <w:t>tvånget”. De bensinstationer med de största volymerna (som kommer att beröras i det första skedet) ligger mestadels i storstadsomr</w:t>
      </w:r>
      <w:r w:rsidRPr="00F508F1">
        <w:t>å</w:t>
      </w:r>
      <w:r w:rsidRPr="00F508F1">
        <w:t>dena där det redan idag finns tillgång till alternativa driv</w:t>
      </w:r>
      <w:r w:rsidR="00D01EE5" w:rsidRPr="00F508F1">
        <w:t>medel. Om ”pum</w:t>
      </w:r>
      <w:r w:rsidR="00D01EE5" w:rsidRPr="00F508F1">
        <w:t>p</w:t>
      </w:r>
      <w:r w:rsidRPr="00F508F1">
        <w:t>tvånget” blir verklighet kommer bensinbolagen att tvingas prioritera efter lagen, snarare än efter var kunderna vill ha produkterna. Entreprenörskapac</w:t>
      </w:r>
      <w:r w:rsidRPr="00F508F1">
        <w:t>i</w:t>
      </w:r>
      <w:r w:rsidRPr="00F508F1">
        <w:t>teten för att bygga nya pumpar är också begränsad och att bygga om de st</w:t>
      </w:r>
      <w:r w:rsidRPr="00F508F1">
        <w:t>a</w:t>
      </w:r>
      <w:r w:rsidRPr="00F508F1">
        <w:t xml:space="preserve">tioner som säljer mer än </w:t>
      </w:r>
      <w:smartTag w:uri="urn:schemas-microsoft-com:office:smarttags" w:element="metricconverter">
        <w:smartTagPr>
          <w:attr w:name="ProductID" w:val="3ﾠ000 m3"/>
        </w:smartTagPr>
        <w:r w:rsidRPr="00F508F1">
          <w:t>3</w:t>
        </w:r>
        <w:r w:rsidR="00D01EE5" w:rsidRPr="00F508F1">
          <w:t> </w:t>
        </w:r>
        <w:r w:rsidRPr="00F508F1">
          <w:t>000 m</w:t>
        </w:r>
        <w:r w:rsidRPr="00F508F1">
          <w:rPr>
            <w:vertAlign w:val="superscript"/>
          </w:rPr>
          <w:t>3</w:t>
        </w:r>
      </w:smartTag>
      <w:r w:rsidRPr="00F508F1">
        <w:t xml:space="preserve"> bränsle, skulle kräva alla resurser under flera år.</w:t>
      </w:r>
    </w:p>
    <w:p w:rsidR="00535BE1" w:rsidRPr="00F508F1" w:rsidRDefault="00535BE1" w:rsidP="00EF06D7">
      <w:pPr>
        <w:pStyle w:val="Normaltindrag"/>
      </w:pPr>
      <w:r w:rsidRPr="00F508F1">
        <w:t>Det finns också ett problem i att den föreslagna lagen riktar sig till enskilda bensinhandlare och inte till oljebolagen, vilka i normala fall står för investe</w:t>
      </w:r>
      <w:r w:rsidRPr="00F508F1">
        <w:t>r</w:t>
      </w:r>
      <w:r w:rsidRPr="00F508F1">
        <w:t>ingar i utrustning. Förslaget kan få till följd att mindre och medelstora mackar tvingas stänga, eftersom kostnaden för att tillhandahålla ett alternativt dri</w:t>
      </w:r>
      <w:r w:rsidRPr="00F508F1">
        <w:t>v</w:t>
      </w:r>
      <w:r w:rsidRPr="00F508F1">
        <w:t>medel skulle bli så märkbar i företagets ekonomi. Ett glesare nät av mackar gynnar varken miljön eller människors privatekonomi.</w:t>
      </w:r>
    </w:p>
    <w:p w:rsidR="00535BE1" w:rsidRPr="00F508F1" w:rsidRDefault="00C42176" w:rsidP="00EF06D7">
      <w:pPr>
        <w:pStyle w:val="Normaltindrag"/>
      </w:pPr>
      <w:r w:rsidRPr="00F508F1">
        <w:t>Kritiken mot ”pump</w:t>
      </w:r>
      <w:r w:rsidR="00535BE1" w:rsidRPr="00F508F1">
        <w:t>tvånget” har varit massiv. Till exempel konstaterar Lagrådet att förslaget är illa genomtänkt då det inte beaktar sambandet mellan distribution, återförsäljare och kunder tillräckligt och för att det föreslår ett dyrt och komplext system utan att marknadsförutsättningarna är tillräckligt utredda. Konsumentverket menar att …</w:t>
      </w:r>
      <w:r w:rsidRPr="00F508F1">
        <w:t xml:space="preserve"> </w:t>
      </w:r>
      <w:r w:rsidR="00535BE1" w:rsidRPr="00F508F1">
        <w:t>”en tvångslag skulle också gynna vissa bränslen på bekostnad av andra då det finns stora skillnader i investe</w:t>
      </w:r>
      <w:r w:rsidR="00535BE1" w:rsidRPr="00F508F1">
        <w:t>r</w:t>
      </w:r>
      <w:r w:rsidR="00535BE1" w:rsidRPr="00F508F1">
        <w:t xml:space="preserve">ingskostnader mellan pumpar för gas och pumpar för flytande </w:t>
      </w:r>
      <w:r w:rsidRPr="00F508F1">
        <w:t>bränsle</w:t>
      </w:r>
      <w:r w:rsidR="00535BE1" w:rsidRPr="00F508F1">
        <w:t>”</w:t>
      </w:r>
      <w:r w:rsidRPr="00F508F1">
        <w:t>.</w:t>
      </w:r>
      <w:r w:rsidR="00535BE1" w:rsidRPr="00F508F1">
        <w:t xml:space="preserve"> Inte heller miljörörel</w:t>
      </w:r>
      <w:r w:rsidRPr="00F508F1">
        <w:t>sen jublar enhälligt över ”pump</w:t>
      </w:r>
      <w:r w:rsidR="00535BE1" w:rsidRPr="00F508F1">
        <w:t>tvånget” utan SNF skriver exempelvis i sitt remissyttrande att de skulle föredra en annan modell där pumputbyggnaden istället stimuleras via en särskild fond från vilken enskilda bensinmacksägare kan söka delfinansiering för att täcka extrakostnaderna.</w:t>
      </w:r>
      <w:r w:rsidR="00535BE1" w:rsidRPr="00F508F1">
        <w:rPr>
          <w:rFonts w:ascii="Akzidenz Grotesk BE Light" w:hAnsi="Akzidenz Grotesk BE Light" w:cs="Akzidenz Grotesk BE Light"/>
          <w:color w:val="000000"/>
          <w:sz w:val="22"/>
          <w:szCs w:val="22"/>
        </w:rPr>
        <w:t xml:space="preserve"> </w:t>
      </w:r>
      <w:r w:rsidR="00535BE1" w:rsidRPr="00F508F1">
        <w:rPr>
          <w:highlight w:val="green"/>
        </w:rPr>
        <w:t>Vi är inte främmande för att titta på en sådan typ av lösning, istället för ett la</w:t>
      </w:r>
      <w:r w:rsidR="00535BE1" w:rsidRPr="00F508F1">
        <w:rPr>
          <w:highlight w:val="green"/>
        </w:rPr>
        <w:t>g</w:t>
      </w:r>
      <w:r w:rsidR="00535BE1" w:rsidRPr="00F508F1">
        <w:rPr>
          <w:highlight w:val="green"/>
        </w:rPr>
        <w:t>krav.</w:t>
      </w:r>
    </w:p>
    <w:p w:rsidR="00535BE1" w:rsidRPr="00F508F1" w:rsidRDefault="00535BE1" w:rsidP="00EF06D7">
      <w:pPr>
        <w:pStyle w:val="Normaltindrag"/>
      </w:pPr>
      <w:r w:rsidRPr="00F508F1">
        <w:t>Centerpartiet anser att riksdagen bör avslå regeringens förslag om skyldi</w:t>
      </w:r>
      <w:r w:rsidRPr="00F508F1">
        <w:t>g</w:t>
      </w:r>
      <w:r w:rsidRPr="00F508F1">
        <w:t>het att tillhandahålla förnybara drivmedel.</w:t>
      </w:r>
    </w:p>
    <w:p w:rsidR="00535BE1" w:rsidRPr="00F508F1" w:rsidRDefault="00535BE1" w:rsidP="00535BE1">
      <w:pPr>
        <w:pStyle w:val="Rubrik1"/>
      </w:pPr>
      <w:r w:rsidRPr="00F508F1">
        <w:t>Målet om 5,75 % förnybara drivmedel 2010</w:t>
      </w:r>
    </w:p>
    <w:p w:rsidR="00535BE1" w:rsidRPr="00F508F1" w:rsidRDefault="00535BE1" w:rsidP="007D465A">
      <w:pPr>
        <w:pStyle w:val="Normaltindrag"/>
        <w:spacing w:before="125"/>
        <w:ind w:firstLine="0"/>
      </w:pPr>
      <w:r w:rsidRPr="00F508F1">
        <w:t>Centerpartiet ser teknikskiftet till förnybara drivmedel som en möjlighet, inte som en börda. De förnybara drivmedlen kräver ny teknik och vi hoppas att svenska innovatörer kommer att ligga i frontlinjen med framtidens teknik. Det är inte bara tekniken som kan gynna svenskt näringsliv utan även drivmedel</w:t>
      </w:r>
      <w:r w:rsidRPr="00F508F1">
        <w:t>s</w:t>
      </w:r>
      <w:r w:rsidRPr="00F508F1">
        <w:t xml:space="preserve">produktionen. Tänk att slippa vara beroende av oljans världsmarknadspris utan istället använda inhemska bränslen. Framtidens ”oljeshejker” kanske finns i </w:t>
      </w:r>
      <w:r w:rsidR="00C42176" w:rsidRPr="00F508F1">
        <w:t xml:space="preserve">Norrlands </w:t>
      </w:r>
      <w:r w:rsidRPr="00F508F1">
        <w:t>inland?! Centerpartiet vill fatta de politiska besluten som kan skapa förutsättningar för detta.</w:t>
      </w:r>
    </w:p>
    <w:p w:rsidR="00535BE1" w:rsidRPr="00F508F1" w:rsidRDefault="00535BE1" w:rsidP="00EF06D7">
      <w:pPr>
        <w:pStyle w:val="Normaltindrag"/>
      </w:pPr>
      <w:r w:rsidRPr="00F508F1">
        <w:t>EU:s mål för användningen av förnybara drivmedel från och med år 2010 skall utgöra minst 5,75 % av den totala användningen av bensin och diesel ser vi som mycket positivt. Centerpartiet menar dock att detta är en miniminivå och vi vill att Sverige ska ha högre ambitioner på miljöområdet än så. Redan idag utgör andelen förnybara drivmedel 3 %. Enligt scenarier som LRF har gjort för potentialen i drivmedelsproduktion från svensk skogs- och åkermark kan man år 2010 få ut motsvarande drygt 5 % av den totala användningen av bensin och diesel. Idag baseras utbudet av förnybara drivmedel till stora delar på import från bl</w:t>
      </w:r>
      <w:r w:rsidR="00C42176" w:rsidRPr="00F508F1">
        <w:t>and annat</w:t>
      </w:r>
      <w:r w:rsidRPr="00F508F1">
        <w:t xml:space="preserve"> Brasilien. Vi räknar med att vi även år 2010 ko</w:t>
      </w:r>
      <w:r w:rsidRPr="00F508F1">
        <w:t>m</w:t>
      </w:r>
      <w:r w:rsidRPr="00F508F1">
        <w:t>mer att importera</w:t>
      </w:r>
      <w:r w:rsidR="00C42176" w:rsidRPr="00F508F1">
        <w:t xml:space="preserve"> drivmedel motsvarande 2–3 %. </w:t>
      </w:r>
      <w:r w:rsidRPr="00F508F1">
        <w:t>Målet för andelen förnyb</w:t>
      </w:r>
      <w:r w:rsidRPr="00F508F1">
        <w:t>a</w:t>
      </w:r>
      <w:r w:rsidRPr="00F508F1">
        <w:t>ra drivmedel vill vi sätta till 8 %, där vi räknar med att minst 5 % kommer från inhemsk produktion och resterande andel importeras. För att målet ska real</w:t>
      </w:r>
      <w:r w:rsidRPr="00F508F1">
        <w:t>i</w:t>
      </w:r>
      <w:r w:rsidRPr="00F508F1">
        <w:t>seras, är vi också beredda att fatta de politiska beslut som krävs för att stim</w:t>
      </w:r>
      <w:r w:rsidRPr="00F508F1">
        <w:t>u</w:t>
      </w:r>
      <w:r w:rsidRPr="00F508F1">
        <w:t>lera till detta. Vad som ovan anförts om att det vägledande målet för använ</w:t>
      </w:r>
      <w:r w:rsidRPr="00F508F1">
        <w:t>d</w:t>
      </w:r>
      <w:r w:rsidRPr="00F508F1">
        <w:t>ningen av biodrivmedel och andra förnybara drivmedel i Sverige från och med år 2010 skall vara att sådana drivmedel skall utgöra minst 8 % av den totala användningen av bensin och diesel för transportändamål beräknat på energiinnehåll bör ges regeringen till</w:t>
      </w:r>
      <w:r w:rsidR="00C42176" w:rsidRPr="00F508F1">
        <w:t xml:space="preserve"> </w:t>
      </w:r>
      <w:r w:rsidRPr="00F508F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2176" w:rsidRPr="00F508F1">
        <w:tblPrEx>
          <w:tblCellMar>
            <w:top w:w="0" w:type="dxa"/>
            <w:bottom w:w="0" w:type="dxa"/>
          </w:tblCellMar>
        </w:tblPrEx>
        <w:trPr>
          <w:cantSplit/>
        </w:trPr>
        <w:tc>
          <w:tcPr>
            <w:tcW w:w="3046" w:type="dxa"/>
          </w:tcPr>
          <w:p w:rsidR="00C42176" w:rsidRPr="00F508F1" w:rsidRDefault="00C42176" w:rsidP="00C42176">
            <w:pPr>
              <w:pStyle w:val="UnderskriftDatum"/>
              <w:spacing w:before="240"/>
            </w:pPr>
            <w:r w:rsidRPr="00F508F1">
              <w:t>Stockholm den 3 november 2005</w:t>
            </w:r>
          </w:p>
        </w:tc>
        <w:tc>
          <w:tcPr>
            <w:tcW w:w="3047" w:type="dxa"/>
          </w:tcPr>
          <w:p w:rsidR="00C42176" w:rsidRPr="00F508F1" w:rsidRDefault="00C42176" w:rsidP="00C42176">
            <w:pPr>
              <w:pStyle w:val="Underskrifter"/>
              <w:spacing w:before="240"/>
            </w:pPr>
          </w:p>
        </w:tc>
      </w:tr>
      <w:tr w:rsidR="00C42176" w:rsidRPr="00F508F1">
        <w:tblPrEx>
          <w:tblCellMar>
            <w:top w:w="0" w:type="dxa"/>
            <w:bottom w:w="0" w:type="dxa"/>
          </w:tblCellMar>
        </w:tblPrEx>
        <w:trPr>
          <w:cantSplit/>
        </w:trPr>
        <w:tc>
          <w:tcPr>
            <w:tcW w:w="3046" w:type="dxa"/>
          </w:tcPr>
          <w:p w:rsidR="00C42176" w:rsidRPr="00F508F1" w:rsidRDefault="00C42176" w:rsidP="00C42176">
            <w:pPr>
              <w:pStyle w:val="Underskrifter"/>
            </w:pPr>
            <w:r w:rsidRPr="00F508F1">
              <w:t>Sven Bergström (c)</w:t>
            </w:r>
          </w:p>
        </w:tc>
        <w:tc>
          <w:tcPr>
            <w:tcW w:w="3047" w:type="dxa"/>
          </w:tcPr>
          <w:p w:rsidR="00C42176" w:rsidRPr="00F508F1" w:rsidRDefault="00C42176" w:rsidP="00C42176">
            <w:pPr>
              <w:pStyle w:val="Underskrifter"/>
            </w:pPr>
          </w:p>
        </w:tc>
      </w:tr>
      <w:tr w:rsidR="00C42176" w:rsidRPr="00F508F1">
        <w:tblPrEx>
          <w:tblCellMar>
            <w:top w:w="0" w:type="dxa"/>
            <w:bottom w:w="0" w:type="dxa"/>
          </w:tblCellMar>
        </w:tblPrEx>
        <w:trPr>
          <w:cantSplit/>
        </w:trPr>
        <w:tc>
          <w:tcPr>
            <w:tcW w:w="3046" w:type="dxa"/>
          </w:tcPr>
          <w:p w:rsidR="00C42176" w:rsidRPr="00F508F1" w:rsidRDefault="00C42176" w:rsidP="00C42176">
            <w:pPr>
              <w:pStyle w:val="Underskrifter"/>
            </w:pPr>
            <w:r w:rsidRPr="00F508F1">
              <w:t>Roger Tiefensee (c)</w:t>
            </w:r>
          </w:p>
        </w:tc>
        <w:tc>
          <w:tcPr>
            <w:tcW w:w="3047" w:type="dxa"/>
          </w:tcPr>
          <w:p w:rsidR="00C42176" w:rsidRPr="00F508F1" w:rsidRDefault="00C42176" w:rsidP="00C42176">
            <w:pPr>
              <w:pStyle w:val="Underskrifter"/>
            </w:pPr>
            <w:r w:rsidRPr="00F508F1">
              <w:t>Staffan Danielsson (c)</w:t>
            </w:r>
          </w:p>
        </w:tc>
      </w:tr>
      <w:tr w:rsidR="00C42176" w:rsidRPr="00F508F1">
        <w:tblPrEx>
          <w:tblCellMar>
            <w:top w:w="0" w:type="dxa"/>
            <w:bottom w:w="0" w:type="dxa"/>
          </w:tblCellMar>
        </w:tblPrEx>
        <w:trPr>
          <w:cantSplit/>
        </w:trPr>
        <w:tc>
          <w:tcPr>
            <w:tcW w:w="3046" w:type="dxa"/>
          </w:tcPr>
          <w:p w:rsidR="00C42176" w:rsidRPr="00F508F1" w:rsidRDefault="00C42176" w:rsidP="00C42176">
            <w:pPr>
              <w:pStyle w:val="Underskrifter"/>
            </w:pPr>
            <w:r w:rsidRPr="00F508F1">
              <w:t>Åsa Torstensson (c)</w:t>
            </w:r>
          </w:p>
        </w:tc>
        <w:tc>
          <w:tcPr>
            <w:tcW w:w="3047" w:type="dxa"/>
          </w:tcPr>
          <w:p w:rsidR="00C42176" w:rsidRPr="00F508F1" w:rsidRDefault="00C42176" w:rsidP="00C42176">
            <w:pPr>
              <w:pStyle w:val="Underskrifter"/>
            </w:pPr>
            <w:r w:rsidRPr="00F508F1">
              <w:t>Rigmor Stenmark (c)</w:t>
            </w:r>
          </w:p>
        </w:tc>
      </w:tr>
      <w:tr w:rsidR="00C42176" w:rsidRPr="00F508F1">
        <w:tblPrEx>
          <w:tblCellMar>
            <w:top w:w="0" w:type="dxa"/>
            <w:bottom w:w="0" w:type="dxa"/>
          </w:tblCellMar>
        </w:tblPrEx>
        <w:trPr>
          <w:cantSplit/>
        </w:trPr>
        <w:tc>
          <w:tcPr>
            <w:tcW w:w="3046" w:type="dxa"/>
          </w:tcPr>
          <w:p w:rsidR="00C42176" w:rsidRPr="00F508F1" w:rsidRDefault="00C42176" w:rsidP="00C42176">
            <w:pPr>
              <w:pStyle w:val="Underskrifter"/>
            </w:pPr>
            <w:r w:rsidRPr="00F508F1">
              <w:t>Jörgen Johansson (c)</w:t>
            </w:r>
          </w:p>
        </w:tc>
        <w:tc>
          <w:tcPr>
            <w:tcW w:w="3047" w:type="dxa"/>
          </w:tcPr>
          <w:p w:rsidR="00C42176" w:rsidRPr="00F508F1" w:rsidRDefault="00C42176" w:rsidP="00C42176">
            <w:pPr>
              <w:pStyle w:val="Underskrifter"/>
            </w:pPr>
            <w:r w:rsidRPr="00F508F1">
              <w:t>Håkan Larsson (c)</w:t>
            </w:r>
          </w:p>
        </w:tc>
      </w:tr>
    </w:tbl>
    <w:p w:rsidR="00E84F25" w:rsidRPr="00F508F1" w:rsidRDefault="00E84F25" w:rsidP="00C42176">
      <w:pPr>
        <w:pStyle w:val="Normaltindrag"/>
      </w:pPr>
    </w:p>
    <w:sectPr w:rsidR="00E84F25" w:rsidRPr="00F508F1" w:rsidSect="00C42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915" w:rsidRPr="00F508F1" w:rsidRDefault="00F37915">
      <w:r w:rsidRPr="00F508F1">
        <w:separator/>
      </w:r>
    </w:p>
  </w:endnote>
  <w:endnote w:type="continuationSeparator" w:id="0">
    <w:p w:rsidR="00F37915" w:rsidRPr="00F508F1" w:rsidRDefault="00F37915">
      <w:r w:rsidRPr="00F50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kzidenz Grotesk BE Ligh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EE5" w:rsidRPr="00F508F1" w:rsidRDefault="00F508F1" w:rsidP="00C42176">
    <w:pPr>
      <w:pStyle w:val="Sidfot"/>
    </w:pPr>
    <w:r w:rsidRPr="00F50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037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76" w:rsidRDefault="00C42176">
                          <w:pPr>
                            <w:pStyle w:val="NormalS5sidnrV"/>
                          </w:pPr>
                          <w:r>
                            <w:fldChar w:fldCharType="begin"/>
                          </w:r>
                          <w:r>
                            <w:instrText xml:space="preserve"> PAGE *\charformat</w:instrText>
                          </w:r>
                          <w:r>
                            <w:fldChar w:fldCharType="separate"/>
                          </w:r>
                          <w:r w:rsidR="007D465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176" w:rsidRDefault="00C42176">
                    <w:pPr>
                      <w:pStyle w:val="NormalS5sidnrV"/>
                    </w:pPr>
                    <w:r>
                      <w:fldChar w:fldCharType="begin"/>
                    </w:r>
                    <w:r>
                      <w:instrText xml:space="preserve"> PAGE *\charformat</w:instrText>
                    </w:r>
                    <w:r>
                      <w:fldChar w:fldCharType="separate"/>
                    </w:r>
                    <w:r w:rsidR="007D465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EE5" w:rsidRPr="00F508F1" w:rsidRDefault="00F508F1" w:rsidP="00C42176">
    <w:pPr>
      <w:pStyle w:val="Sidfot"/>
    </w:pPr>
    <w:r w:rsidRPr="00F50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08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76" w:rsidRDefault="00C42176">
                          <w:pPr>
                            <w:pStyle w:val="NormalS5sidnrH"/>
                            <w:ind w:right="0"/>
                          </w:pPr>
                          <w:r>
                            <w:fldChar w:fldCharType="begin"/>
                          </w:r>
                          <w:r>
                            <w:instrText xml:space="preserve"> PAGE *\charformat</w:instrText>
                          </w:r>
                          <w:r>
                            <w:fldChar w:fldCharType="separate"/>
                          </w:r>
                          <w:r w:rsidR="007D46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176" w:rsidRDefault="00C42176">
                    <w:pPr>
                      <w:pStyle w:val="NormalS5sidnrH"/>
                      <w:ind w:right="0"/>
                    </w:pPr>
                    <w:r>
                      <w:fldChar w:fldCharType="begin"/>
                    </w:r>
                    <w:r>
                      <w:instrText xml:space="preserve"> PAGE *\charformat</w:instrText>
                    </w:r>
                    <w:r>
                      <w:fldChar w:fldCharType="separate"/>
                    </w:r>
                    <w:r w:rsidR="007D46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EE5" w:rsidRPr="00F508F1" w:rsidRDefault="00F508F1" w:rsidP="00C42176">
    <w:pPr>
      <w:pStyle w:val="Sidfot"/>
    </w:pPr>
    <w:r w:rsidRPr="00F50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566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76" w:rsidRDefault="00C42176">
                          <w:pPr>
                            <w:pStyle w:val="NormalS5sidnrH"/>
                            <w:ind w:right="0"/>
                          </w:pPr>
                          <w:r>
                            <w:fldChar w:fldCharType="begin"/>
                          </w:r>
                          <w:r>
                            <w:instrText xml:space="preserve"> PAGE *\charformat</w:instrText>
                          </w:r>
                          <w:r>
                            <w:fldChar w:fldCharType="separate"/>
                          </w:r>
                          <w:r w:rsidR="007D46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176" w:rsidRDefault="00C42176">
                    <w:pPr>
                      <w:pStyle w:val="NormalS5sidnrH"/>
                      <w:ind w:right="0"/>
                    </w:pPr>
                    <w:r>
                      <w:fldChar w:fldCharType="begin"/>
                    </w:r>
                    <w:r>
                      <w:instrText xml:space="preserve"> PAGE *\charformat</w:instrText>
                    </w:r>
                    <w:r>
                      <w:fldChar w:fldCharType="separate"/>
                    </w:r>
                    <w:r w:rsidR="007D46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915" w:rsidRPr="00F508F1" w:rsidRDefault="00F37915">
      <w:r w:rsidRPr="00F508F1">
        <w:separator/>
      </w:r>
    </w:p>
  </w:footnote>
  <w:footnote w:type="continuationSeparator" w:id="0">
    <w:p w:rsidR="00F37915" w:rsidRPr="00F508F1" w:rsidRDefault="00F37915">
      <w:r w:rsidRPr="00F50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EE5" w:rsidRPr="00F508F1" w:rsidRDefault="00F508F1" w:rsidP="00C42176">
    <w:pPr>
      <w:pStyle w:val="Sidhuvud"/>
    </w:pPr>
    <w:r w:rsidRPr="00F50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358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76" w:rsidRDefault="00C42176">
                          <w:pPr>
                            <w:pStyle w:val="KantRubrikS5V"/>
                          </w:pPr>
                          <w:r>
                            <w:fldChar w:fldCharType="begin"/>
                          </w:r>
                          <w:r>
                            <w:instrText xml:space="preserve"> DOCPROPERTY "YearUser" *\charformat </w:instrText>
                          </w:r>
                          <w:r>
                            <w:fldChar w:fldCharType="separate"/>
                          </w:r>
                          <w:r w:rsidR="007D465A">
                            <w:t>2005/06</w:t>
                          </w:r>
                          <w:r>
                            <w:fldChar w:fldCharType="end"/>
                          </w:r>
                          <w:r>
                            <w:t>:</w:t>
                          </w:r>
                          <w:r>
                            <w:fldChar w:fldCharType="begin"/>
                          </w:r>
                          <w:r>
                            <w:instrText xml:space="preserve"> DOCPROPERTY "Motionsnummer" *\charformat </w:instrText>
                          </w:r>
                          <w:r>
                            <w:fldChar w:fldCharType="separate"/>
                          </w:r>
                          <w:r w:rsidR="007D465A">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176" w:rsidRDefault="00C42176">
                    <w:pPr>
                      <w:pStyle w:val="KantRubrikS5V"/>
                    </w:pPr>
                    <w:r>
                      <w:fldChar w:fldCharType="begin"/>
                    </w:r>
                    <w:r>
                      <w:instrText xml:space="preserve"> DOCPROPERTY "YearUser" *\charformat </w:instrText>
                    </w:r>
                    <w:r>
                      <w:fldChar w:fldCharType="separate"/>
                    </w:r>
                    <w:r w:rsidR="007D465A">
                      <w:t>2005/06</w:t>
                    </w:r>
                    <w:r>
                      <w:fldChar w:fldCharType="end"/>
                    </w:r>
                    <w:r>
                      <w:t>:</w:t>
                    </w:r>
                    <w:r>
                      <w:fldChar w:fldCharType="begin"/>
                    </w:r>
                    <w:r>
                      <w:instrText xml:space="preserve"> DOCPROPERTY "Motionsnummer" *\charformat </w:instrText>
                    </w:r>
                    <w:r>
                      <w:fldChar w:fldCharType="separate"/>
                    </w:r>
                    <w:r w:rsidR="007D465A">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EE5" w:rsidRPr="00F508F1" w:rsidRDefault="00F508F1" w:rsidP="00C42176">
    <w:pPr>
      <w:pStyle w:val="Sidhuvud"/>
    </w:pPr>
    <w:r w:rsidRPr="00F50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596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176" w:rsidRDefault="00C42176">
                          <w:pPr>
                            <w:pStyle w:val="KantRubrikS5H"/>
                            <w:ind w:right="0"/>
                          </w:pPr>
                          <w:r>
                            <w:fldChar w:fldCharType="begin"/>
                          </w:r>
                          <w:r>
                            <w:instrText xml:space="preserve"> DOCPROPERTY "YearUser" *\charformat </w:instrText>
                          </w:r>
                          <w:r>
                            <w:fldChar w:fldCharType="separate"/>
                          </w:r>
                          <w:r w:rsidR="007D465A">
                            <w:t>2005/06</w:t>
                          </w:r>
                          <w:r>
                            <w:fldChar w:fldCharType="end"/>
                          </w:r>
                          <w:r>
                            <w:t>:</w:t>
                          </w:r>
                          <w:r>
                            <w:fldChar w:fldCharType="begin"/>
                          </w:r>
                          <w:r>
                            <w:instrText xml:space="preserve"> DOCPROPERTY "Motionsnummer" *\charformat </w:instrText>
                          </w:r>
                          <w:r>
                            <w:fldChar w:fldCharType="separate"/>
                          </w:r>
                          <w:r w:rsidR="007D465A">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176" w:rsidRDefault="00C42176">
                    <w:pPr>
                      <w:pStyle w:val="KantRubrikS5H"/>
                      <w:ind w:right="0"/>
                    </w:pPr>
                    <w:r>
                      <w:fldChar w:fldCharType="begin"/>
                    </w:r>
                    <w:r>
                      <w:instrText xml:space="preserve"> DOCPROPERTY "YearUser" *\charformat </w:instrText>
                    </w:r>
                    <w:r>
                      <w:fldChar w:fldCharType="separate"/>
                    </w:r>
                    <w:r w:rsidR="007D465A">
                      <w:t>2005/06</w:t>
                    </w:r>
                    <w:r>
                      <w:fldChar w:fldCharType="end"/>
                    </w:r>
                    <w:r>
                      <w:t>:</w:t>
                    </w:r>
                    <w:r>
                      <w:fldChar w:fldCharType="begin"/>
                    </w:r>
                    <w:r>
                      <w:instrText xml:space="preserve"> DOCPROPERTY "Motionsnummer" *\charformat </w:instrText>
                    </w:r>
                    <w:r>
                      <w:fldChar w:fldCharType="separate"/>
                    </w:r>
                    <w:r w:rsidR="007D465A">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176" w:rsidRPr="00F508F1" w:rsidRDefault="00C42176">
    <w:pPr>
      <w:pStyle w:val="FSHNormal"/>
      <w:tabs>
        <w:tab w:val="right" w:pos="5840"/>
      </w:tabs>
    </w:pPr>
    <w:r w:rsidRPr="00F508F1">
      <w:br/>
    </w:r>
    <w:r w:rsidRPr="00F508F1">
      <w:fldChar w:fldCharType="begin" w:fldLock="1"/>
    </w:r>
    <w:r w:rsidRPr="00F508F1">
      <w:instrText xml:space="preserve"> DOCPROPERTY</w:instrText>
    </w:r>
    <w:r w:rsidRPr="00F508F1">
      <w:rPr>
        <w:sz w:val="18"/>
      </w:rPr>
      <w:instrText xml:space="preserve"> "YearUser" *\charformat </w:instrText>
    </w:r>
    <w:r w:rsidRPr="00F508F1">
      <w:fldChar w:fldCharType="separate"/>
    </w:r>
    <w:r w:rsidR="007D465A" w:rsidRPr="00F508F1">
      <w:t>2005/06</w:t>
    </w:r>
    <w:r w:rsidRPr="00F508F1">
      <w:fldChar w:fldCharType="end"/>
    </w:r>
    <w:r w:rsidRPr="00F508F1">
      <w:t xml:space="preserve"> </w:t>
    </w:r>
    <w:r w:rsidRPr="00F508F1">
      <w:tab/>
      <w:t xml:space="preserve">mnr: </w:t>
    </w:r>
    <w:r w:rsidRPr="00F508F1">
      <w:fldChar w:fldCharType="begin" w:fldLock="1"/>
    </w:r>
    <w:r w:rsidRPr="00F508F1">
      <w:instrText xml:space="preserve"> DOCPROPERTY</w:instrText>
    </w:r>
    <w:r w:rsidRPr="00F508F1">
      <w:rPr>
        <w:sz w:val="18"/>
      </w:rPr>
      <w:instrText xml:space="preserve"> "Motionsnummer" *\charformat </w:instrText>
    </w:r>
    <w:r w:rsidRPr="00F508F1">
      <w:fldChar w:fldCharType="separate"/>
    </w:r>
    <w:r w:rsidR="007D465A" w:rsidRPr="00F508F1">
      <w:t>T8</w:t>
    </w:r>
    <w:r w:rsidRPr="00F508F1">
      <w:fldChar w:fldCharType="end"/>
    </w:r>
    <w:r w:rsidRPr="00F508F1">
      <w:br/>
    </w:r>
    <w:r w:rsidRPr="00F508F1">
      <w:fldChar w:fldCharType="begin" w:fldLock="1"/>
    </w:r>
    <w:r w:rsidRPr="00F508F1">
      <w:instrText xml:space="preserve"> DOCPROPERTY</w:instrText>
    </w:r>
    <w:r w:rsidRPr="00F508F1">
      <w:rPr>
        <w:sz w:val="18"/>
      </w:rPr>
      <w:instrText xml:space="preserve"> "Samling" *\charformat </w:instrText>
    </w:r>
    <w:r w:rsidRPr="00F508F1">
      <w:fldChar w:fldCharType="end"/>
    </w:r>
    <w:r w:rsidRPr="00F508F1">
      <w:tab/>
      <w:t xml:space="preserve">pnr: </w:t>
    </w:r>
    <w:r w:rsidRPr="00F508F1">
      <w:fldChar w:fldCharType="begin" w:fldLock="1"/>
    </w:r>
    <w:r w:rsidRPr="00F508F1">
      <w:instrText xml:space="preserve"> DOCPROPERTY</w:instrText>
    </w:r>
    <w:r w:rsidRPr="00F508F1">
      <w:rPr>
        <w:sz w:val="18"/>
      </w:rPr>
      <w:instrText xml:space="preserve"> "Partinummer" *\charformat </w:instrText>
    </w:r>
    <w:r w:rsidRPr="00F508F1">
      <w:fldChar w:fldCharType="separate"/>
    </w:r>
    <w:r w:rsidR="007D465A" w:rsidRPr="00F508F1">
      <w:t>c155</w:t>
    </w:r>
    <w:r w:rsidRPr="00F508F1">
      <w:fldChar w:fldCharType="end"/>
    </w:r>
  </w:p>
  <w:p w:rsidR="00C42176" w:rsidRPr="00F508F1" w:rsidRDefault="00C42176">
    <w:pPr>
      <w:pStyle w:val="FSHRub1"/>
    </w:pPr>
    <w:r w:rsidRPr="00F508F1">
      <w:t>Motion till riksdagen</w:t>
    </w:r>
    <w:r w:rsidRPr="00F508F1">
      <w:br/>
    </w:r>
    <w:r w:rsidRPr="00F508F1">
      <w:fldChar w:fldCharType="begin" w:fldLock="1"/>
    </w:r>
    <w:r w:rsidRPr="00F508F1">
      <w:instrText xml:space="preserve"> DOCPROPERTY "YearUser" *\charformat </w:instrText>
    </w:r>
    <w:r w:rsidRPr="00F508F1">
      <w:fldChar w:fldCharType="separate"/>
    </w:r>
    <w:r w:rsidR="007D465A" w:rsidRPr="00F508F1">
      <w:t>2005/06</w:t>
    </w:r>
    <w:r w:rsidRPr="00F508F1">
      <w:fldChar w:fldCharType="end"/>
    </w:r>
    <w:r w:rsidRPr="00F508F1">
      <w:t>:</w:t>
    </w:r>
    <w:r w:rsidRPr="00F508F1">
      <w:fldChar w:fldCharType="begin" w:fldLock="1"/>
    </w:r>
    <w:r w:rsidRPr="00F508F1">
      <w:instrText xml:space="preserve"> DOCPROPERTY "Motionsnummer" *\charformat </w:instrText>
    </w:r>
    <w:r w:rsidRPr="00F508F1">
      <w:fldChar w:fldCharType="separate"/>
    </w:r>
    <w:r w:rsidR="007D465A" w:rsidRPr="00F508F1">
      <w:t>T8</w:t>
    </w:r>
    <w:r w:rsidRPr="00F508F1">
      <w:fldChar w:fldCharType="end"/>
    </w:r>
  </w:p>
  <w:p w:rsidR="00C42176" w:rsidRPr="00F508F1" w:rsidRDefault="00C42176">
    <w:pPr>
      <w:pStyle w:val="FSHNormalS5"/>
    </w:pPr>
    <w:r w:rsidRPr="00F508F1">
      <w:fldChar w:fldCharType="begin" w:fldLock="1"/>
    </w:r>
    <w:r w:rsidRPr="00F508F1">
      <w:instrText xml:space="preserve"> DOCPROPERTY "MotionarText" *\charformat </w:instrText>
    </w:r>
    <w:r w:rsidRPr="00F508F1">
      <w:fldChar w:fldCharType="separate"/>
    </w:r>
    <w:r w:rsidR="007D465A" w:rsidRPr="00F508F1">
      <w:t>av Sven Bergström m.fl. (c)</w:t>
    </w:r>
    <w:r w:rsidRPr="00F508F1">
      <w:fldChar w:fldCharType="end"/>
    </w:r>
    <w:r w:rsidRPr="00F508F1">
      <w:br/>
    </w:r>
    <w:r w:rsidRPr="00F508F1">
      <w:fldChar w:fldCharType="begin" w:fldLock="1"/>
    </w:r>
    <w:r w:rsidRPr="00F508F1">
      <w:instrText xml:space="preserve"> DOCPROPERTY "SvarFrasKort" *\charformat </w:instrText>
    </w:r>
    <w:r w:rsidRPr="00F508F1">
      <w:fldChar w:fldCharType="separate"/>
    </w:r>
    <w:r w:rsidR="007D465A" w:rsidRPr="00F508F1">
      <w:t>med anledning av prop. 2005/06:16</w:t>
    </w:r>
    <w:r w:rsidRPr="00F508F1">
      <w:fldChar w:fldCharType="end"/>
    </w:r>
  </w:p>
  <w:p w:rsidR="00C42176" w:rsidRPr="00F508F1" w:rsidRDefault="00C42176">
    <w:pPr>
      <w:pStyle w:val="FSHTitel"/>
    </w:pPr>
    <w:r w:rsidRPr="00F508F1">
      <w:fldChar w:fldCharType="begin" w:fldLock="1"/>
    </w:r>
    <w:r w:rsidRPr="00F508F1">
      <w:instrText xml:space="preserve"> DOCPROPERTY</w:instrText>
    </w:r>
    <w:r w:rsidRPr="00F508F1">
      <w:rPr>
        <w:sz w:val="18"/>
      </w:rPr>
      <w:instrText xml:space="preserve"> "RubrikSvar" *\charformat </w:instrText>
    </w:r>
    <w:r w:rsidRPr="00F508F1">
      <w:fldChar w:fldCharType="separate"/>
    </w:r>
    <w:r w:rsidR="007D465A" w:rsidRPr="00F508F1">
      <w:t>Skyldighet att tillhandahålla förnybara drivmedel</w:t>
    </w:r>
    <w:r w:rsidRPr="00F508F1">
      <w:fldChar w:fldCharType="end"/>
    </w:r>
  </w:p>
  <w:p w:rsidR="00C42176" w:rsidRPr="00F508F1" w:rsidRDefault="00C42176" w:rsidP="00C421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527EB0"/>
    <w:multiLevelType w:val="hybridMultilevel"/>
    <w:tmpl w:val="DD56DC34"/>
    <w:lvl w:ilvl="0" w:tplc="52A4E1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7173983">
    <w:abstractNumId w:val="14"/>
  </w:num>
  <w:num w:numId="2" w16cid:durableId="751511015">
    <w:abstractNumId w:val="10"/>
  </w:num>
  <w:num w:numId="3" w16cid:durableId="1077899513">
    <w:abstractNumId w:val="11"/>
  </w:num>
  <w:num w:numId="4" w16cid:durableId="1488089721">
    <w:abstractNumId w:val="13"/>
  </w:num>
  <w:num w:numId="5" w16cid:durableId="1355114072">
    <w:abstractNumId w:val="8"/>
  </w:num>
  <w:num w:numId="6" w16cid:durableId="282155581">
    <w:abstractNumId w:val="3"/>
  </w:num>
  <w:num w:numId="7" w16cid:durableId="269434718">
    <w:abstractNumId w:val="2"/>
  </w:num>
  <w:num w:numId="8" w16cid:durableId="894858051">
    <w:abstractNumId w:val="1"/>
  </w:num>
  <w:num w:numId="9" w16cid:durableId="817383907">
    <w:abstractNumId w:val="0"/>
  </w:num>
  <w:num w:numId="10" w16cid:durableId="1512600443">
    <w:abstractNumId w:val="9"/>
  </w:num>
  <w:num w:numId="11" w16cid:durableId="2046322648">
    <w:abstractNumId w:val="7"/>
  </w:num>
  <w:num w:numId="12" w16cid:durableId="391774811">
    <w:abstractNumId w:val="6"/>
  </w:num>
  <w:num w:numId="13" w16cid:durableId="210962343">
    <w:abstractNumId w:val="5"/>
  </w:num>
  <w:num w:numId="14" w16cid:durableId="1045980855">
    <w:abstractNumId w:val="4"/>
  </w:num>
  <w:num w:numId="15" w16cid:durableId="1462576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CB606D"/>
    <w:rsid w:val="0004381F"/>
    <w:rsid w:val="00064BC3"/>
    <w:rsid w:val="00066775"/>
    <w:rsid w:val="00072FB9"/>
    <w:rsid w:val="000F084C"/>
    <w:rsid w:val="00100531"/>
    <w:rsid w:val="00182A77"/>
    <w:rsid w:val="001E0043"/>
    <w:rsid w:val="00201DFB"/>
    <w:rsid w:val="00204A63"/>
    <w:rsid w:val="00212FF1"/>
    <w:rsid w:val="00230193"/>
    <w:rsid w:val="0025068A"/>
    <w:rsid w:val="00260BFF"/>
    <w:rsid w:val="002818D3"/>
    <w:rsid w:val="002943C8"/>
    <w:rsid w:val="002D11A8"/>
    <w:rsid w:val="00445271"/>
    <w:rsid w:val="00447A04"/>
    <w:rsid w:val="004635D0"/>
    <w:rsid w:val="004A0504"/>
    <w:rsid w:val="004E38D9"/>
    <w:rsid w:val="00535BE1"/>
    <w:rsid w:val="005A75EE"/>
    <w:rsid w:val="005B145B"/>
    <w:rsid w:val="00740D6D"/>
    <w:rsid w:val="00743F76"/>
    <w:rsid w:val="00794149"/>
    <w:rsid w:val="007B67A7"/>
    <w:rsid w:val="007C6092"/>
    <w:rsid w:val="007D465A"/>
    <w:rsid w:val="009139F1"/>
    <w:rsid w:val="009C3490"/>
    <w:rsid w:val="00A053C6"/>
    <w:rsid w:val="00A40062"/>
    <w:rsid w:val="00AE06E0"/>
    <w:rsid w:val="00B13BF0"/>
    <w:rsid w:val="00B33C81"/>
    <w:rsid w:val="00B960DF"/>
    <w:rsid w:val="00BC0F5D"/>
    <w:rsid w:val="00C1285C"/>
    <w:rsid w:val="00C27B7D"/>
    <w:rsid w:val="00C42176"/>
    <w:rsid w:val="00CB606D"/>
    <w:rsid w:val="00CF7A43"/>
    <w:rsid w:val="00D01775"/>
    <w:rsid w:val="00D01EE5"/>
    <w:rsid w:val="00D1174F"/>
    <w:rsid w:val="00DC6C70"/>
    <w:rsid w:val="00E22893"/>
    <w:rsid w:val="00E349C2"/>
    <w:rsid w:val="00E360DE"/>
    <w:rsid w:val="00E75D28"/>
    <w:rsid w:val="00E84F25"/>
    <w:rsid w:val="00EF06D7"/>
    <w:rsid w:val="00F01403"/>
    <w:rsid w:val="00F21B30"/>
    <w:rsid w:val="00F37915"/>
    <w:rsid w:val="00F508F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C6FBAD2-4949-4AC1-A445-F8377389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35BE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4217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1399</Words>
  <Characters>7907</Characters>
  <Application>Microsoft Office Word</Application>
  <DocSecurity>4</DocSecurity>
  <Lines>143</Lines>
  <Paragraphs>31</Paragraphs>
  <ScaleCrop>false</ScaleCrop>
  <HeadingPairs>
    <vt:vector size="2" baseType="variant">
      <vt:variant>
        <vt:lpstr>Rubrik</vt:lpstr>
      </vt:variant>
      <vt:variant>
        <vt:i4>1</vt:i4>
      </vt:variant>
    </vt:vector>
  </HeadingPairs>
  <TitlesOfParts>
    <vt:vector size="1" baseType="lpstr">
      <vt:lpstr>T8</vt:lpstr>
    </vt:vector>
  </TitlesOfParts>
  <Company>Riksdagen</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T8</dc:title>
  <dc:subject>T8</dc:subject>
  <dc:creator>Riksdagen</dc:creator>
  <cp:keywords>Riksdagen</cp:keywords>
  <dc:description/>
  <cp:lastModifiedBy>Lars Brink</cp:lastModifiedBy>
  <cp:revision>2</cp:revision>
  <cp:lastPrinted>2005-11-09T10:00:00Z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mot2000_423_2005-11-03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vt:lpwstr>
  </property>
  <property fmtid="{D5CDD505-2E9C-101B-9397-08002B2CF9AE}" pid="12" name="Svar">
    <vt:lpwstr>proposition</vt:lpwstr>
  </property>
  <property fmtid="{D5CDD505-2E9C-101B-9397-08002B2CF9AE}" pid="13" name="SvarNr">
    <vt:lpwstr>2005/06:16</vt:lpwstr>
  </property>
  <property fmtid="{D5CDD505-2E9C-101B-9397-08002B2CF9AE}" pid="14" name="RubrikSvar">
    <vt:lpwstr>Skyldighet att tillhandahålla förnybara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Sven Bergström m.fl. (c)</vt:lpwstr>
  </property>
  <property fmtid="{D5CDD505-2E9C-101B-9397-08002B2CF9AE}" pid="26" name="MotionarLista">
    <vt:lpwstr>Bergström, Sven (c)\Tiefensee, Roger (c)\Danielsson, Staffan (c)\Torstensson, Åsa (c)\Stenmark, Rigmor (c)\Johansson, Jörgen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Roger Tiefensee (c), Staffan Danielsson (c), Åsa Torstensson (c), Rigmor Stenmark (c), Jörgen Johansson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20052006000000000099000001550075</vt:lpwstr>
  </property>
  <property fmtid="{D5CDD505-2E9C-101B-9397-08002B2CF9AE}" pid="47" name="datum">
    <vt:lpwstr>051103</vt:lpwstr>
  </property>
  <property fmtid="{D5CDD505-2E9C-101B-9397-08002B2CF9AE}" pid="48" name="avsändar-e-post">
    <vt:lpwstr>hannes.borg@riksdagen.se</vt:lpwstr>
  </property>
  <property fmtid="{D5CDD505-2E9C-101B-9397-08002B2CF9AE}" pid="49" name="id">
    <vt:lpwstr>20052006000000000099000001550075</vt:lpwstr>
  </property>
  <property fmtid="{D5CDD505-2E9C-101B-9397-08002B2CF9AE}" pid="50" name="nummer">
    <vt:lpwstr>8</vt:lpwstr>
  </property>
  <property fmtid="{D5CDD505-2E9C-101B-9397-08002B2CF9AE}" pid="51" name="utskottsbeteckning">
    <vt:lpwstr>T</vt:lpwstr>
  </property>
</Properties>
</file>