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F586A" w14:paraId="5F2DA862" w14:textId="77777777">
        <w:tc>
          <w:tcPr>
            <w:tcW w:w="2268" w:type="dxa"/>
          </w:tcPr>
          <w:p w14:paraId="5F2DA860" w14:textId="77777777" w:rsidR="006E4E11" w:rsidRPr="00DF586A"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F2DA861" w14:textId="77777777" w:rsidR="006E4E11" w:rsidRPr="00DF586A" w:rsidRDefault="006E4E11" w:rsidP="007242A3">
            <w:pPr>
              <w:framePr w:w="5035" w:h="1644" w:wrap="notBeside" w:vAnchor="page" w:hAnchor="page" w:x="6573" w:y="721"/>
              <w:rPr>
                <w:rFonts w:ascii="TradeGothic" w:hAnsi="TradeGothic"/>
                <w:i/>
                <w:sz w:val="18"/>
              </w:rPr>
            </w:pPr>
          </w:p>
        </w:tc>
      </w:tr>
      <w:tr w:rsidR="006E4E11" w:rsidRPr="00DF586A" w14:paraId="5F2DA865" w14:textId="77777777">
        <w:tc>
          <w:tcPr>
            <w:tcW w:w="2268" w:type="dxa"/>
          </w:tcPr>
          <w:p w14:paraId="5F2DA863" w14:textId="77777777" w:rsidR="006E4E11" w:rsidRPr="00DF586A" w:rsidRDefault="00DF586A" w:rsidP="007242A3">
            <w:pPr>
              <w:framePr w:w="5035" w:h="1644" w:wrap="notBeside" w:vAnchor="page" w:hAnchor="page" w:x="6573" w:y="721"/>
              <w:rPr>
                <w:rFonts w:ascii="TradeGothic" w:hAnsi="TradeGothic"/>
                <w:b/>
                <w:sz w:val="22"/>
              </w:rPr>
            </w:pPr>
            <w:r w:rsidRPr="00DF586A">
              <w:rPr>
                <w:rFonts w:ascii="TradeGothic" w:hAnsi="TradeGothic"/>
                <w:b/>
                <w:sz w:val="22"/>
              </w:rPr>
              <w:t xml:space="preserve">Promemoria </w:t>
            </w:r>
          </w:p>
        </w:tc>
        <w:tc>
          <w:tcPr>
            <w:tcW w:w="2999" w:type="dxa"/>
            <w:gridSpan w:val="2"/>
          </w:tcPr>
          <w:p w14:paraId="5F2DA864" w14:textId="77777777" w:rsidR="006E4E11" w:rsidRPr="00DF586A" w:rsidRDefault="006E4E11" w:rsidP="007242A3">
            <w:pPr>
              <w:framePr w:w="5035" w:h="1644" w:wrap="notBeside" w:vAnchor="page" w:hAnchor="page" w:x="6573" w:y="721"/>
              <w:rPr>
                <w:rFonts w:ascii="TradeGothic" w:hAnsi="TradeGothic"/>
                <w:b/>
                <w:sz w:val="22"/>
              </w:rPr>
            </w:pPr>
          </w:p>
        </w:tc>
      </w:tr>
      <w:tr w:rsidR="006E4E11" w:rsidRPr="00DF586A" w14:paraId="5F2DA868" w14:textId="77777777">
        <w:tc>
          <w:tcPr>
            <w:tcW w:w="3402" w:type="dxa"/>
            <w:gridSpan w:val="2"/>
          </w:tcPr>
          <w:p w14:paraId="5F2DA866" w14:textId="77777777" w:rsidR="006E4E11" w:rsidRPr="00DF586A" w:rsidRDefault="006E4E11" w:rsidP="007242A3">
            <w:pPr>
              <w:framePr w:w="5035" w:h="1644" w:wrap="notBeside" w:vAnchor="page" w:hAnchor="page" w:x="6573" w:y="721"/>
            </w:pPr>
          </w:p>
        </w:tc>
        <w:tc>
          <w:tcPr>
            <w:tcW w:w="1865" w:type="dxa"/>
          </w:tcPr>
          <w:p w14:paraId="5F2DA867" w14:textId="77777777" w:rsidR="006E4E11" w:rsidRPr="00DF586A" w:rsidRDefault="006E4E11" w:rsidP="007242A3">
            <w:pPr>
              <w:framePr w:w="5035" w:h="1644" w:wrap="notBeside" w:vAnchor="page" w:hAnchor="page" w:x="6573" w:y="721"/>
            </w:pPr>
          </w:p>
        </w:tc>
      </w:tr>
      <w:tr w:rsidR="006E4E11" w:rsidRPr="00DF586A" w14:paraId="5F2DA86B" w14:textId="77777777">
        <w:tc>
          <w:tcPr>
            <w:tcW w:w="2268" w:type="dxa"/>
          </w:tcPr>
          <w:p w14:paraId="5F2DA869" w14:textId="77777777" w:rsidR="006E4E11" w:rsidRPr="00DF586A" w:rsidRDefault="00DF586A" w:rsidP="007242A3">
            <w:pPr>
              <w:framePr w:w="5035" w:h="1644" w:wrap="notBeside" w:vAnchor="page" w:hAnchor="page" w:x="6573" w:y="721"/>
            </w:pPr>
            <w:r>
              <w:t>2015-02-16</w:t>
            </w:r>
          </w:p>
        </w:tc>
        <w:tc>
          <w:tcPr>
            <w:tcW w:w="2999" w:type="dxa"/>
            <w:gridSpan w:val="2"/>
          </w:tcPr>
          <w:p w14:paraId="5F2DA86A" w14:textId="77777777" w:rsidR="006E4E11" w:rsidRPr="00DF586A" w:rsidRDefault="006E4E11" w:rsidP="007242A3">
            <w:pPr>
              <w:framePr w:w="5035" w:h="1644" w:wrap="notBeside" w:vAnchor="page" w:hAnchor="page" w:x="6573" w:y="721"/>
              <w:rPr>
                <w:sz w:val="20"/>
              </w:rPr>
            </w:pPr>
          </w:p>
        </w:tc>
      </w:tr>
      <w:tr w:rsidR="006E4E11" w:rsidRPr="00DF586A" w14:paraId="5F2DA86E" w14:textId="77777777">
        <w:tc>
          <w:tcPr>
            <w:tcW w:w="2268" w:type="dxa"/>
          </w:tcPr>
          <w:p w14:paraId="5F2DA86C" w14:textId="77777777" w:rsidR="006E4E11" w:rsidRPr="00DF586A" w:rsidRDefault="006E4E11" w:rsidP="007242A3">
            <w:pPr>
              <w:framePr w:w="5035" w:h="1644" w:wrap="notBeside" w:vAnchor="page" w:hAnchor="page" w:x="6573" w:y="721"/>
            </w:pPr>
          </w:p>
        </w:tc>
        <w:tc>
          <w:tcPr>
            <w:tcW w:w="2999" w:type="dxa"/>
            <w:gridSpan w:val="2"/>
          </w:tcPr>
          <w:p w14:paraId="5F2DA86D" w14:textId="77777777" w:rsidR="006E4E11" w:rsidRPr="00DF586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F586A" w14:paraId="5F2DA870" w14:textId="77777777">
        <w:trPr>
          <w:trHeight w:val="284"/>
        </w:trPr>
        <w:tc>
          <w:tcPr>
            <w:tcW w:w="4911" w:type="dxa"/>
          </w:tcPr>
          <w:p w14:paraId="5F2DA86F" w14:textId="77777777" w:rsidR="006E4E11" w:rsidRPr="00DF586A" w:rsidRDefault="00DF586A">
            <w:pPr>
              <w:pStyle w:val="Avsndare"/>
              <w:framePr w:h="2483" w:wrap="notBeside" w:x="1504"/>
              <w:rPr>
                <w:b/>
                <w:i w:val="0"/>
                <w:sz w:val="22"/>
              </w:rPr>
            </w:pPr>
            <w:r>
              <w:rPr>
                <w:b/>
                <w:i w:val="0"/>
                <w:sz w:val="22"/>
              </w:rPr>
              <w:t>Miljö- och energidepartementet</w:t>
            </w:r>
          </w:p>
        </w:tc>
      </w:tr>
      <w:tr w:rsidR="006E4E11" w:rsidRPr="00DF586A" w14:paraId="5F2DA872" w14:textId="77777777">
        <w:trPr>
          <w:trHeight w:val="284"/>
        </w:trPr>
        <w:tc>
          <w:tcPr>
            <w:tcW w:w="4911" w:type="dxa"/>
          </w:tcPr>
          <w:p w14:paraId="5F2DA871" w14:textId="77777777" w:rsidR="006E4E11" w:rsidRPr="00DF586A" w:rsidRDefault="006E4E11">
            <w:pPr>
              <w:pStyle w:val="Avsndare"/>
              <w:framePr w:h="2483" w:wrap="notBeside" w:x="1504"/>
              <w:rPr>
                <w:bCs/>
                <w:iCs/>
              </w:rPr>
            </w:pPr>
          </w:p>
        </w:tc>
      </w:tr>
    </w:tbl>
    <w:p w14:paraId="5F2DA873" w14:textId="77777777" w:rsidR="006E4E11" w:rsidRPr="00DF586A" w:rsidRDefault="006E4E11">
      <w:pPr>
        <w:framePr w:w="4400" w:h="2523" w:wrap="notBeside" w:vAnchor="page" w:hAnchor="page" w:x="6453" w:y="2445"/>
        <w:ind w:left="142"/>
      </w:pPr>
    </w:p>
    <w:p w14:paraId="5F2DA874" w14:textId="77777777" w:rsidR="006E4E11" w:rsidRDefault="00DF586A">
      <w:pPr>
        <w:pStyle w:val="RKrubrik"/>
        <w:spacing w:before="0" w:after="0"/>
      </w:pPr>
      <w:r>
        <w:t>Kommenterad dagordning</w:t>
      </w:r>
    </w:p>
    <w:p w14:paraId="5F2DA875" w14:textId="77777777" w:rsidR="00937A86" w:rsidRDefault="00937A86" w:rsidP="00937A86">
      <w:pPr>
        <w:pStyle w:val="RKrubrik"/>
        <w:numPr>
          <w:ilvl w:val="0"/>
          <w:numId w:val="7"/>
        </w:numPr>
      </w:pPr>
      <w:r>
        <w:t>Antagande av dagordningen</w:t>
      </w:r>
    </w:p>
    <w:p w14:paraId="5F2DA876" w14:textId="77777777" w:rsidR="00937A86" w:rsidRDefault="00937A86" w:rsidP="00937A86">
      <w:pPr>
        <w:pStyle w:val="RKrubrik"/>
      </w:pPr>
      <w:r>
        <w:t>Lagstiftningsärenden</w:t>
      </w:r>
    </w:p>
    <w:p w14:paraId="5F2DA877" w14:textId="77777777" w:rsidR="00207A1F" w:rsidRDefault="00207A1F" w:rsidP="00207A1F">
      <w:pPr>
        <w:pStyle w:val="RKrubrik"/>
        <w:numPr>
          <w:ilvl w:val="0"/>
          <w:numId w:val="7"/>
        </w:numPr>
      </w:pPr>
      <w:r>
        <w:t>(preliminärt) Antagande av A-punktslistan</w:t>
      </w:r>
    </w:p>
    <w:p w14:paraId="5F2DA878" w14:textId="77777777" w:rsidR="00207A1F" w:rsidRPr="00207A1F" w:rsidRDefault="00207A1F" w:rsidP="00207A1F">
      <w:pPr>
        <w:pStyle w:val="RKrubrik"/>
      </w:pPr>
      <w:r>
        <w:t>Icke-lagstiftningsärenden</w:t>
      </w:r>
    </w:p>
    <w:p w14:paraId="5F2DA879" w14:textId="77777777" w:rsidR="00207A1F" w:rsidRDefault="00207A1F" w:rsidP="00207A1F">
      <w:pPr>
        <w:pStyle w:val="RKrubrik"/>
        <w:numPr>
          <w:ilvl w:val="0"/>
          <w:numId w:val="7"/>
        </w:numPr>
      </w:pPr>
      <w:r>
        <w:t>(preliminärt) Antagande av A-punktslistan</w:t>
      </w:r>
    </w:p>
    <w:p w14:paraId="5F2DA87A" w14:textId="77777777" w:rsidR="00DF586A" w:rsidRDefault="00DF586A" w:rsidP="00207A1F">
      <w:pPr>
        <w:pStyle w:val="RKrubrik"/>
        <w:numPr>
          <w:ilvl w:val="0"/>
          <w:numId w:val="7"/>
        </w:numPr>
      </w:pPr>
      <w:r>
        <w:t>Miljöanpassning av den europeiska terminen</w:t>
      </w:r>
    </w:p>
    <w:p w14:paraId="5F2DA87B" w14:textId="77777777" w:rsidR="00DF586A" w:rsidRDefault="00DF586A" w:rsidP="00937A86">
      <w:pPr>
        <w:pStyle w:val="RKnormal"/>
        <w:numPr>
          <w:ilvl w:val="0"/>
          <w:numId w:val="6"/>
        </w:numPr>
        <w:rPr>
          <w:i/>
        </w:rPr>
      </w:pPr>
      <w:r w:rsidRPr="00937A86">
        <w:rPr>
          <w:i/>
        </w:rPr>
        <w:t>Diskussion</w:t>
      </w:r>
    </w:p>
    <w:p w14:paraId="5F2DA87C" w14:textId="77777777" w:rsidR="00937A86" w:rsidRPr="00937A86" w:rsidRDefault="00937A86" w:rsidP="00937A86">
      <w:pPr>
        <w:pStyle w:val="RKnormal"/>
        <w:ind w:left="1065"/>
        <w:rPr>
          <w:i/>
        </w:rPr>
      </w:pPr>
    </w:p>
    <w:p w14:paraId="5F2DA87D" w14:textId="77777777" w:rsidR="00DF586A" w:rsidRPr="00937A86" w:rsidRDefault="00DF586A" w:rsidP="00DF586A">
      <w:pPr>
        <w:pStyle w:val="RKnormal"/>
        <w:rPr>
          <w:b/>
          <w:i/>
        </w:rPr>
      </w:pPr>
      <w:r w:rsidRPr="00937A86">
        <w:rPr>
          <w:b/>
          <w:i/>
        </w:rPr>
        <w:t>Avsikten med behandlingen i rådet</w:t>
      </w:r>
    </w:p>
    <w:p w14:paraId="5F2DA87E" w14:textId="407F23A3" w:rsidR="00DF586A" w:rsidRDefault="00DF586A" w:rsidP="00DF586A">
      <w:pPr>
        <w:pStyle w:val="RKnormal"/>
      </w:pPr>
      <w:r>
        <w:t xml:space="preserve">Ordförandeskapet har för avsikt att </w:t>
      </w:r>
      <w:r w:rsidR="00464CC2">
        <w:t>Miljö</w:t>
      </w:r>
      <w:r w:rsidR="00D15ED3">
        <w:t xml:space="preserve">rådet ska </w:t>
      </w:r>
      <w:r>
        <w:t>diskutera hur miljödimensionen i den europeiska planeringsterminen inklusive tillväxtöversikten kan stärkas. En diskussion om synergier mellan resurseffektivitet och det kommande meddelandet om den digitala inre marknaden ska också äga rum.</w:t>
      </w:r>
    </w:p>
    <w:p w14:paraId="5F2DA87F" w14:textId="77777777" w:rsidR="00DF586A" w:rsidRDefault="00DF586A" w:rsidP="00DF586A">
      <w:pPr>
        <w:pStyle w:val="RKnormal"/>
      </w:pPr>
    </w:p>
    <w:p w14:paraId="5F2DA880" w14:textId="77777777" w:rsidR="00DF586A" w:rsidRPr="00937A86" w:rsidRDefault="00DF586A" w:rsidP="00DF586A">
      <w:pPr>
        <w:pStyle w:val="RKnormal"/>
        <w:rPr>
          <w:b/>
          <w:i/>
        </w:rPr>
      </w:pPr>
      <w:r w:rsidRPr="00937A86">
        <w:rPr>
          <w:b/>
          <w:i/>
        </w:rPr>
        <w:t>Bakgrund</w:t>
      </w:r>
    </w:p>
    <w:p w14:paraId="5F2DA881" w14:textId="49314E7D" w:rsidR="00DF586A" w:rsidRDefault="00DF586A" w:rsidP="00DF586A">
      <w:pPr>
        <w:pStyle w:val="RKnormal"/>
      </w:pPr>
      <w:r>
        <w:t>Den 28 november 2014 presenterade kommissionen sin årliga tillväxtöversikt för 2015, som inleder den europeiska terminen.</w:t>
      </w:r>
      <w:r w:rsidRPr="00FB39DD">
        <w:t xml:space="preserve"> </w:t>
      </w:r>
      <w:r>
        <w:t xml:space="preserve">Den ligger till grund för diskussioner i berörda rådskonstellationer under perioden december-mars. Stats- och regeringscheferna ska </w:t>
      </w:r>
      <w:r w:rsidR="00D15ED3">
        <w:t xml:space="preserve">vid Europeiska rådets möte </w:t>
      </w:r>
      <w:r>
        <w:t xml:space="preserve">den 19 – 20 mars lämna vägledning inför </w:t>
      </w:r>
      <w:r w:rsidR="00D15ED3">
        <w:t xml:space="preserve">medlemsstaterna </w:t>
      </w:r>
      <w:r>
        <w:t xml:space="preserve">rapportering inom </w:t>
      </w:r>
      <w:r w:rsidR="00D15ED3">
        <w:t>strategin för tillväxt och sysselsättning (EU 2020)</w:t>
      </w:r>
      <w:r>
        <w:t xml:space="preserve">, förfarandet för makroekonomiska obalanser och stabilitets- och tillväxtpakten. Det har tidigare aviserats att en halvtidsöversyn av strategin för tillväxt och sysselsättning (EU 2020) ska presenteras under våren. Den </w:t>
      </w:r>
      <w:proofErr w:type="gramStart"/>
      <w:r>
        <w:t xml:space="preserve">är </w:t>
      </w:r>
      <w:r w:rsidR="00003E5E">
        <w:t xml:space="preserve"> dock</w:t>
      </w:r>
      <w:proofErr w:type="gramEnd"/>
      <w:r w:rsidR="00003E5E">
        <w:t xml:space="preserve"> </w:t>
      </w:r>
      <w:r>
        <w:t>försenad. Kommissionen har dragit tillbaka ett paket om cirkulär ekonomi inklusive</w:t>
      </w:r>
      <w:r w:rsidR="00003E5E">
        <w:t xml:space="preserve"> förslag till revidering av flera</w:t>
      </w:r>
      <w:r>
        <w:t xml:space="preserve"> avfall</w:t>
      </w:r>
      <w:r w:rsidR="00003E5E">
        <w:t>sdirektiv</w:t>
      </w:r>
      <w:r>
        <w:t xml:space="preserve"> och förutskickat att ett nytt </w:t>
      </w:r>
      <w:r w:rsidR="00003E5E">
        <w:t>paket</w:t>
      </w:r>
      <w:r>
        <w:t xml:space="preserve"> ska </w:t>
      </w:r>
      <w:r>
        <w:lastRenderedPageBreak/>
        <w:t>presenteras senare under året. Ett meddelande om den digitala inre marknaden har aviserats till den 6 maj 2015.</w:t>
      </w:r>
    </w:p>
    <w:p w14:paraId="5F2DA882" w14:textId="77777777" w:rsidR="00DF586A" w:rsidRDefault="00DF586A" w:rsidP="00DF586A">
      <w:pPr>
        <w:pStyle w:val="RKnormal"/>
      </w:pPr>
    </w:p>
    <w:p w14:paraId="5F2DA885" w14:textId="2BCC186E" w:rsidR="00DF586A" w:rsidRPr="00034DA7" w:rsidRDefault="00DF586A" w:rsidP="00DF586A">
      <w:pPr>
        <w:pStyle w:val="RKnormal"/>
        <w:rPr>
          <w:lang w:val="en-US"/>
          <w:rPrChange w:id="1" w:author="Helena Fridman Konstantinidou" w:date="2015-02-23T13:28:00Z">
            <w:rPr/>
          </w:rPrChange>
        </w:rPr>
      </w:pPr>
      <w:r>
        <w:t>Ordförandeskapet har presenterat</w:t>
      </w:r>
      <w:r w:rsidR="00464CC2">
        <w:t xml:space="preserve"> följande</w:t>
      </w:r>
      <w:r>
        <w:t xml:space="preserve"> två frågeställningar för diskussion på miljörådet</w:t>
      </w:r>
      <w:r w:rsidR="00464CC2">
        <w:t xml:space="preserve"> med inriktning på hur man kan </w:t>
      </w:r>
      <w:r>
        <w:t>stärka miljödimensionen i processen.</w:t>
      </w:r>
      <w:r w:rsidR="00464CC2">
        <w:t xml:space="preserve"> </w:t>
      </w:r>
      <w:r w:rsidRPr="00034DA7">
        <w:rPr>
          <w:lang w:val="en-US"/>
          <w:rPrChange w:id="2" w:author="Helena Fridman Konstantinidou" w:date="2015-02-23T13:28:00Z">
            <w:rPr/>
          </w:rPrChange>
        </w:rPr>
        <w:t xml:space="preserve">Frågeställningarna </w:t>
      </w:r>
      <w:r w:rsidR="00A807A7" w:rsidRPr="00034DA7">
        <w:rPr>
          <w:lang w:val="en-US"/>
          <w:rPrChange w:id="3" w:author="Helena Fridman Konstantinidou" w:date="2015-02-23T13:28:00Z">
            <w:rPr/>
          </w:rPrChange>
        </w:rPr>
        <w:t>har endast distribuerats på engelska</w:t>
      </w:r>
      <w:r w:rsidRPr="00034DA7">
        <w:rPr>
          <w:lang w:val="en-US"/>
          <w:rPrChange w:id="4" w:author="Helena Fridman Konstantinidou" w:date="2015-02-23T13:28:00Z">
            <w:rPr/>
          </w:rPrChange>
        </w:rPr>
        <w:t>:</w:t>
      </w:r>
    </w:p>
    <w:p w14:paraId="5F2DA886" w14:textId="77777777" w:rsidR="00DF586A" w:rsidRPr="00034DA7" w:rsidRDefault="00DF586A" w:rsidP="00DF586A">
      <w:pPr>
        <w:pStyle w:val="RKnormal"/>
        <w:rPr>
          <w:lang w:val="en-US"/>
          <w:rPrChange w:id="5" w:author="Helena Fridman Konstantinidou" w:date="2015-02-23T13:28:00Z">
            <w:rPr/>
          </w:rPrChange>
        </w:rPr>
      </w:pPr>
      <w:r w:rsidRPr="00034DA7">
        <w:rPr>
          <w:lang w:val="en-US"/>
          <w:rPrChange w:id="6" w:author="Helena Fridman Konstantinidou" w:date="2015-02-23T13:28:00Z">
            <w:rPr/>
          </w:rPrChange>
        </w:rPr>
        <w:t>1.In the light of the October 2014 Council conclusions on ”Greening the Semester and the Europe 2020 Strategy” is the AGS 2015 setting the right framework to ensure that future growth and competitiveness will be sustainable and resource efficient along the principles of the circular economy?</w:t>
      </w:r>
    </w:p>
    <w:p w14:paraId="5F2DA887" w14:textId="77777777" w:rsidR="00DF586A" w:rsidRPr="00034DA7" w:rsidRDefault="00DF586A" w:rsidP="00DF586A">
      <w:pPr>
        <w:pStyle w:val="RKnormal"/>
        <w:rPr>
          <w:lang w:val="en-US"/>
          <w:rPrChange w:id="7" w:author="Helena Fridman Konstantinidou" w:date="2015-02-23T13:28:00Z">
            <w:rPr/>
          </w:rPrChange>
        </w:rPr>
      </w:pPr>
    </w:p>
    <w:p w14:paraId="5F2DA888" w14:textId="77777777" w:rsidR="00DF586A" w:rsidRPr="00034DA7" w:rsidRDefault="00DF586A" w:rsidP="00DF586A">
      <w:pPr>
        <w:pStyle w:val="RKnormal"/>
        <w:rPr>
          <w:lang w:val="en-US"/>
          <w:rPrChange w:id="8" w:author="Helena Fridman Konstantinidou" w:date="2015-02-23T13:28:00Z">
            <w:rPr/>
          </w:rPrChange>
        </w:rPr>
      </w:pPr>
      <w:r w:rsidRPr="00034DA7">
        <w:rPr>
          <w:lang w:val="en-US"/>
          <w:rPrChange w:id="9" w:author="Helena Fridman Konstantinidou" w:date="2015-02-23T13:28:00Z">
            <w:rPr/>
          </w:rPrChange>
        </w:rPr>
        <w:t>How can we tap the full potential of synergies between environmental policy and other policy fields, in particular economic and social policy, to move towards the resource efficient, circular and low carbon economy?</w:t>
      </w:r>
    </w:p>
    <w:p w14:paraId="5F2DA889" w14:textId="77777777" w:rsidR="00DF586A" w:rsidRPr="00034DA7" w:rsidRDefault="00DF586A" w:rsidP="00DF586A">
      <w:pPr>
        <w:pStyle w:val="RKnormal"/>
        <w:rPr>
          <w:lang w:val="en-US"/>
          <w:rPrChange w:id="10" w:author="Helena Fridman Konstantinidou" w:date="2015-02-23T13:28:00Z">
            <w:rPr/>
          </w:rPrChange>
        </w:rPr>
      </w:pPr>
    </w:p>
    <w:p w14:paraId="5F2DA88A" w14:textId="77777777" w:rsidR="00DF586A" w:rsidRPr="00034DA7" w:rsidRDefault="00DF586A" w:rsidP="00DF586A">
      <w:pPr>
        <w:pStyle w:val="RKnormal"/>
        <w:rPr>
          <w:lang w:val="en-US"/>
          <w:rPrChange w:id="11" w:author="Helena Fridman Konstantinidou" w:date="2015-02-23T13:28:00Z">
            <w:rPr/>
          </w:rPrChange>
        </w:rPr>
      </w:pPr>
      <w:r w:rsidRPr="00034DA7">
        <w:rPr>
          <w:lang w:val="en-US"/>
          <w:rPrChange w:id="12" w:author="Helena Fridman Konstantinidou" w:date="2015-02-23T13:28:00Z">
            <w:rPr/>
          </w:rPrChange>
        </w:rPr>
        <w:t>2. The forthcoming Digital Single Market Strategy will continue the implementation of the Flagship Initiative ”Digital Agenda for Durope (DAC)”. Further synergies could be developed for green growth and green jobes between DAE and the resource efficiency agenda under the Europe 2020 Strategy and the 7th EAP. Where could synergies be developed to promote green jobs, greater resource efficiency and the objectives of the circular economy.</w:t>
      </w:r>
    </w:p>
    <w:p w14:paraId="5F2DA88B" w14:textId="77777777" w:rsidR="00DF586A" w:rsidRPr="00034DA7" w:rsidRDefault="00DF586A" w:rsidP="00DF586A">
      <w:pPr>
        <w:pStyle w:val="RKnormal"/>
        <w:rPr>
          <w:lang w:val="en-US"/>
          <w:rPrChange w:id="13" w:author="Helena Fridman Konstantinidou" w:date="2015-02-23T13:28:00Z">
            <w:rPr/>
          </w:rPrChange>
        </w:rPr>
      </w:pPr>
    </w:p>
    <w:p w14:paraId="5F2DA88C" w14:textId="77777777" w:rsidR="00DF586A" w:rsidRPr="00937A86" w:rsidRDefault="00DF586A" w:rsidP="00DF586A">
      <w:pPr>
        <w:pStyle w:val="RKnormal"/>
        <w:rPr>
          <w:b/>
          <w:i/>
        </w:rPr>
      </w:pPr>
      <w:r w:rsidRPr="00937A86">
        <w:rPr>
          <w:b/>
          <w:i/>
        </w:rPr>
        <w:t>Förslag till svensk ståndpunkt</w:t>
      </w:r>
    </w:p>
    <w:p w14:paraId="5E6FA3FE" w14:textId="77777777" w:rsidR="001074E0" w:rsidRDefault="001074E0" w:rsidP="001074E0">
      <w:pPr>
        <w:pStyle w:val="RKnormal"/>
      </w:pPr>
      <w:r>
        <w:t>Regeringen föreslår att Sverige välkomnar tillväxtöversikten.</w:t>
      </w:r>
    </w:p>
    <w:p w14:paraId="7BF3350A" w14:textId="77777777" w:rsidR="001074E0" w:rsidRDefault="001074E0" w:rsidP="001074E0">
      <w:pPr>
        <w:pStyle w:val="RKnormal"/>
      </w:pPr>
    </w:p>
    <w:p w14:paraId="3C46C4CF" w14:textId="77777777" w:rsidR="001074E0" w:rsidRDefault="001074E0" w:rsidP="001074E0">
      <w:pPr>
        <w:spacing w:line="240" w:lineRule="auto"/>
        <w:rPr>
          <w:szCs w:val="24"/>
        </w:rPr>
      </w:pPr>
      <w:r>
        <w:t>Regeringen föreslår att Sverige stödjer ett ökat fokus på ett förbättrat investeringsklimat och behovet av ökade investeringar. Investeringsplanen kan under de kommande tre åren bli ett viktigt komplement till de åtgärder som görs på nationell nivå, inklusive strukturreformer för att stärka konkurrenskraften, tillväxten och bidra till en hållbar utveckling</w:t>
      </w:r>
      <w:r w:rsidRPr="00455AB5">
        <w:t xml:space="preserve">.  </w:t>
      </w:r>
      <w:r w:rsidRPr="00455AB5">
        <w:rPr>
          <w:szCs w:val="24"/>
        </w:rPr>
        <w:t>Det är viktigt med hållbara investeringar på energi-, miljö- och klimatområdet med fokus på innovativa teknologier. Regeringen anser att investeringsplanen ska bidra till omställningen till en grön resurseffektiv ekonomi.</w:t>
      </w:r>
    </w:p>
    <w:p w14:paraId="01F8FC90" w14:textId="77777777" w:rsidR="001074E0" w:rsidRDefault="001074E0" w:rsidP="001074E0">
      <w:pPr>
        <w:spacing w:line="240" w:lineRule="auto"/>
      </w:pPr>
      <w:r>
        <w:rPr>
          <w:szCs w:val="24"/>
        </w:rPr>
        <w:t xml:space="preserve"> </w:t>
      </w:r>
    </w:p>
    <w:p w14:paraId="47FDDF1A" w14:textId="77777777" w:rsidR="001074E0" w:rsidRDefault="001074E0" w:rsidP="001074E0">
      <w:pPr>
        <w:pStyle w:val="RKnormal"/>
        <w:rPr>
          <w:szCs w:val="24"/>
        </w:rPr>
      </w:pPr>
      <w:r>
        <w:t xml:space="preserve">Vad gäller kopplingen mellan resurseffektivitet och den digitala inre marknaden föreslår regeringen att Sverige framför att inre marknadsregelverket måste gå i takt med den digitala utvecklingen för att bidra till innovation, resurseffektiva och smarta lösningar/information, entreprenörskap och framväxten av nya affärsmodeller som är nödvändiga för att driva på/främja en hållbar utveckling. För att driva på utvecklingen av ny miljöteknik behövs även ett ökat fokus på spetsteknologier och hur dessa kan bidra till miljöfrämjande/hållbara lösningar </w:t>
      </w:r>
    </w:p>
    <w:p w14:paraId="7164CA87" w14:textId="77777777" w:rsidR="001074E0" w:rsidRDefault="001074E0" w:rsidP="001074E0">
      <w:pPr>
        <w:pStyle w:val="RKnormal"/>
        <w:tabs>
          <w:tab w:val="clear" w:pos="2835"/>
          <w:tab w:val="left" w:pos="6075"/>
        </w:tabs>
      </w:pPr>
      <w:r>
        <w:tab/>
      </w:r>
    </w:p>
    <w:p w14:paraId="42BA84F8" w14:textId="77777777" w:rsidR="001074E0" w:rsidRDefault="001074E0" w:rsidP="001074E0">
      <w:pPr>
        <w:pStyle w:val="RKnormal"/>
        <w:rPr>
          <w:szCs w:val="24"/>
        </w:rPr>
      </w:pPr>
      <w:r>
        <w:rPr>
          <w:szCs w:val="24"/>
        </w:rPr>
        <w:lastRenderedPageBreak/>
        <w:t xml:space="preserve">Regeringen föreslår att Sverige framför att man avser att i den fortsatta processen om ett nytt paket om cirkulär ekonomi driva en hög ambitionsnivå och att förslagen ska vara baserade på ett livscykelperspektiv. </w:t>
      </w:r>
    </w:p>
    <w:p w14:paraId="5F2DA894" w14:textId="77777777" w:rsidR="004B0620" w:rsidRDefault="004B0620" w:rsidP="004B0620">
      <w:pPr>
        <w:pStyle w:val="RKrubrik"/>
      </w:pPr>
      <w:r>
        <w:t>5.</w:t>
      </w:r>
      <w:r w:rsidR="00DF586A" w:rsidRPr="00FA3CD2">
        <w:t xml:space="preserve"> </w:t>
      </w:r>
      <w:r>
        <w:t>Vägen till Paris</w:t>
      </w:r>
    </w:p>
    <w:p w14:paraId="5F2DA895" w14:textId="77777777" w:rsidR="004B0620" w:rsidRPr="00937A86" w:rsidRDefault="00CF7715" w:rsidP="00937A86">
      <w:pPr>
        <w:pStyle w:val="Liststycke"/>
        <w:numPr>
          <w:ilvl w:val="0"/>
          <w:numId w:val="6"/>
        </w:numPr>
        <w:rPr>
          <w:i/>
          <w:iCs/>
          <w:color w:val="000000"/>
        </w:rPr>
      </w:pPr>
      <w:r w:rsidRPr="00937A86">
        <w:rPr>
          <w:i/>
          <w:iCs/>
          <w:color w:val="000000"/>
        </w:rPr>
        <w:t>Diskussion</w:t>
      </w:r>
    </w:p>
    <w:p w14:paraId="5F2DA896" w14:textId="77777777" w:rsidR="004B0620" w:rsidRPr="00937A86" w:rsidRDefault="004B0620" w:rsidP="00937A86">
      <w:pPr>
        <w:pStyle w:val="Liststycke"/>
        <w:numPr>
          <w:ilvl w:val="0"/>
          <w:numId w:val="6"/>
        </w:numPr>
        <w:rPr>
          <w:i/>
          <w:iCs/>
          <w:color w:val="000000"/>
        </w:rPr>
      </w:pPr>
      <w:r w:rsidRPr="00937A86">
        <w:rPr>
          <w:i/>
          <w:iCs/>
          <w:color w:val="000000"/>
        </w:rPr>
        <w:t xml:space="preserve">Antagande av </w:t>
      </w:r>
      <w:r w:rsidR="002A6497" w:rsidRPr="00937A86">
        <w:rPr>
          <w:i/>
          <w:iCs/>
          <w:color w:val="000000"/>
        </w:rPr>
        <w:t>EUs nationellt beslutade bidrag (</w:t>
      </w:r>
      <w:r w:rsidRPr="00937A86">
        <w:rPr>
          <w:i/>
          <w:iCs/>
          <w:color w:val="000000"/>
        </w:rPr>
        <w:t>INDC</w:t>
      </w:r>
      <w:r w:rsidR="002A6497" w:rsidRPr="00937A86">
        <w:rPr>
          <w:i/>
          <w:iCs/>
          <w:color w:val="000000"/>
        </w:rPr>
        <w:t>)</w:t>
      </w:r>
    </w:p>
    <w:p w14:paraId="5F2DA897" w14:textId="77777777" w:rsidR="00DF586A" w:rsidRDefault="00DF586A" w:rsidP="00DF586A">
      <w:pPr>
        <w:rPr>
          <w:i/>
          <w:iCs/>
          <w:color w:val="000000"/>
        </w:rPr>
      </w:pPr>
    </w:p>
    <w:p w14:paraId="5F2DA898" w14:textId="77777777" w:rsidR="00DF586A" w:rsidRPr="009F4DF6" w:rsidRDefault="00DF586A" w:rsidP="00DF586A">
      <w:pPr>
        <w:rPr>
          <w:b/>
          <w:i/>
          <w:iCs/>
          <w:color w:val="000000"/>
        </w:rPr>
      </w:pPr>
      <w:r w:rsidRPr="009F4DF6">
        <w:rPr>
          <w:b/>
          <w:i/>
          <w:iCs/>
          <w:color w:val="000000"/>
        </w:rPr>
        <w:t>Avsikten med behandlingen i rådet</w:t>
      </w:r>
    </w:p>
    <w:p w14:paraId="5F2DA899" w14:textId="77777777" w:rsidR="00DF586A" w:rsidRPr="00BC7552" w:rsidRDefault="00DF586A" w:rsidP="00DF586A">
      <w:r>
        <w:t>Ordförandeskapet har för avsikt att Miljörådet ska diskutera EUs förhållningssätt inför det tjugoförsta partsmötet till FNs ramkonvention för klimatförändringar (COP21) som kommer att äga rum i Paris 30 november till 11 december 2015. Miljörådet väntas också anta beslut om EUs tänkta nationellt beslutade bidrag (</w:t>
      </w:r>
      <w:proofErr w:type="spellStart"/>
      <w:r>
        <w:t>intended</w:t>
      </w:r>
      <w:proofErr w:type="spellEnd"/>
      <w:r>
        <w:t xml:space="preserve"> </w:t>
      </w:r>
      <w:proofErr w:type="spellStart"/>
      <w:r>
        <w:t>nationally</w:t>
      </w:r>
      <w:proofErr w:type="spellEnd"/>
      <w:r>
        <w:t xml:space="preserve"> </w:t>
      </w:r>
      <w:proofErr w:type="spellStart"/>
      <w:r>
        <w:t>determined</w:t>
      </w:r>
      <w:proofErr w:type="spellEnd"/>
      <w:r>
        <w:t xml:space="preserve"> </w:t>
      </w:r>
      <w:proofErr w:type="spellStart"/>
      <w:r>
        <w:t>contribution</w:t>
      </w:r>
      <w:proofErr w:type="spellEnd"/>
      <w:r>
        <w:t xml:space="preserve">, INDC) till ett nytt klimatavtal i Paris. </w:t>
      </w:r>
    </w:p>
    <w:p w14:paraId="5F2DA89A" w14:textId="77777777" w:rsidR="00DF586A" w:rsidRDefault="00DF586A" w:rsidP="00DF586A">
      <w:pPr>
        <w:pStyle w:val="RKnormal"/>
        <w:rPr>
          <w:i/>
          <w:iCs/>
          <w:color w:val="000000"/>
        </w:rPr>
      </w:pPr>
    </w:p>
    <w:p w14:paraId="5F2DA89B" w14:textId="77777777" w:rsidR="00DF586A" w:rsidRPr="009F4DF6" w:rsidRDefault="00DF586A" w:rsidP="003A2FAD">
      <w:pPr>
        <w:pStyle w:val="RKnormal"/>
        <w:rPr>
          <w:b/>
          <w:i/>
          <w:iCs/>
          <w:color w:val="000000"/>
        </w:rPr>
      </w:pPr>
      <w:r w:rsidRPr="009F4DF6">
        <w:rPr>
          <w:b/>
          <w:i/>
          <w:iCs/>
          <w:color w:val="000000"/>
        </w:rPr>
        <w:t xml:space="preserve">Bakgrund </w:t>
      </w:r>
    </w:p>
    <w:p w14:paraId="5F2DA89C" w14:textId="5EEA230E" w:rsidR="00DF586A" w:rsidRDefault="00DF586A" w:rsidP="00DF586A">
      <w:r>
        <w:t xml:space="preserve">Kommissionens kommer </w:t>
      </w:r>
      <w:r w:rsidR="00D15ED3">
        <w:t xml:space="preserve">den 25 februari </w:t>
      </w:r>
      <w:r>
        <w:t>att presentera ett meddelande om vägen till partsmötet till FN:s ramkonvention för klimatförändringar (UNFCCC) i Paris</w:t>
      </w:r>
      <w:r w:rsidR="00464CC2">
        <w:t xml:space="preserve"> i november i år (COP21)</w:t>
      </w:r>
      <w:r>
        <w:t xml:space="preserve">. Meddelandet väntas bl.a. innehålla förslag på EUs syn på ett nytt klimatavtal i Paris och utformningen av EUs tänkta nationellt beslutade bidrag. </w:t>
      </w:r>
    </w:p>
    <w:p w14:paraId="5F2DA89D" w14:textId="77777777" w:rsidR="00DF586A" w:rsidRDefault="00DF586A" w:rsidP="00DF586A"/>
    <w:p w14:paraId="5F2DA89E" w14:textId="2F3ACFE7" w:rsidR="00DF586A" w:rsidRDefault="00DF586A" w:rsidP="00DF586A">
      <w:r w:rsidRPr="00784935">
        <w:t>Inom ramen för FN</w:t>
      </w:r>
      <w:r w:rsidR="00464CC2">
        <w:t>:</w:t>
      </w:r>
      <w:r w:rsidRPr="00784935">
        <w:t>s internationella klimatförhandlingar har</w:t>
      </w:r>
      <w:r>
        <w:t xml:space="preserve"> världens länder enats om att ett</w:t>
      </w:r>
      <w:r w:rsidRPr="00784935">
        <w:t xml:space="preserve"> ny</w:t>
      </w:r>
      <w:r>
        <w:t>tt</w:t>
      </w:r>
      <w:r w:rsidRPr="00784935">
        <w:t xml:space="preserve"> global </w:t>
      </w:r>
      <w:r>
        <w:t>klimatavtal</w:t>
      </w:r>
      <w:r w:rsidRPr="00784935">
        <w:t xml:space="preserve"> ska </w:t>
      </w:r>
      <w:r>
        <w:t>nås</w:t>
      </w:r>
      <w:r w:rsidRPr="00784935">
        <w:t xml:space="preserve"> </w:t>
      </w:r>
      <w:r>
        <w:t xml:space="preserve">vid COP21 i Paris, </w:t>
      </w:r>
      <w:r w:rsidRPr="00784935">
        <w:t>träda i kraft senast 2020</w:t>
      </w:r>
      <w:r>
        <w:t xml:space="preserve"> och gälla för alla parter</w:t>
      </w:r>
      <w:r w:rsidRPr="00784935">
        <w:t xml:space="preserve">. Beslutet fattades vid </w:t>
      </w:r>
      <w:r>
        <w:t>partsmötet</w:t>
      </w:r>
      <w:r w:rsidRPr="00784935">
        <w:t xml:space="preserve"> i Durban </w:t>
      </w:r>
      <w:r>
        <w:t xml:space="preserve">i december 2011 </w:t>
      </w:r>
      <w:r w:rsidRPr="00784935">
        <w:t xml:space="preserve">och innebar mandat att ta fram ett protokoll, </w:t>
      </w:r>
      <w:r>
        <w:t xml:space="preserve">ett </w:t>
      </w:r>
      <w:r w:rsidRPr="00784935">
        <w:t xml:space="preserve">annat rättsligt instrument eller ett överenskommet utfall med rättslig verkan under </w:t>
      </w:r>
      <w:r>
        <w:t>klimat</w:t>
      </w:r>
      <w:r w:rsidRPr="00784935">
        <w:t>konventionen som gäller för alla parter</w:t>
      </w:r>
      <w:r>
        <w:t>. Avtalet ska bl.a. omfatta</w:t>
      </w:r>
      <w:r w:rsidRPr="00784935">
        <w:t>; utsläppsbegränsningar, anpassning, stöd för implementering inklusive finansiering, teknik</w:t>
      </w:r>
      <w:r>
        <w:t xml:space="preserve">utveckling och tekniköverföring, kapacitetsutveckling och </w:t>
      </w:r>
      <w:r w:rsidRPr="00784935">
        <w:t>transparens.</w:t>
      </w:r>
    </w:p>
    <w:p w14:paraId="59F0B771" w14:textId="77777777" w:rsidR="00D15ED3" w:rsidRDefault="00D15ED3" w:rsidP="00DF586A"/>
    <w:p w14:paraId="5F2DA89F" w14:textId="5E04982E" w:rsidR="00DF586A" w:rsidRDefault="00DF586A" w:rsidP="00DF586A">
      <w:r>
        <w:t xml:space="preserve">Vid COP19 i Warszawa fattade </w:t>
      </w:r>
      <w:proofErr w:type="spellStart"/>
      <w:r>
        <w:t>UNFCCC</w:t>
      </w:r>
      <w:r w:rsidR="00903DBF">
        <w:t>:</w:t>
      </w:r>
      <w:r>
        <w:t>s</w:t>
      </w:r>
      <w:proofErr w:type="spellEnd"/>
      <w:r>
        <w:t xml:space="preserve"> parter beslut om att</w:t>
      </w:r>
      <w:r w:rsidRPr="00FD4D12">
        <w:t xml:space="preserve"> alla länder </w:t>
      </w:r>
      <w:r>
        <w:t>ska</w:t>
      </w:r>
      <w:r w:rsidRPr="00FD4D12">
        <w:t xml:space="preserve"> kunna lägga fram sina bid</w:t>
      </w:r>
      <w:r>
        <w:t xml:space="preserve">rag till ett nytt klimatavtal </w:t>
      </w:r>
      <w:r w:rsidR="00D15ED3">
        <w:t xml:space="preserve">(INDC) </w:t>
      </w:r>
      <w:r w:rsidRPr="00FD4D12">
        <w:t>i god tid före</w:t>
      </w:r>
      <w:r>
        <w:t xml:space="preserve"> </w:t>
      </w:r>
      <w:r w:rsidRPr="00FD4D12">
        <w:t>COP</w:t>
      </w:r>
      <w:r>
        <w:t xml:space="preserve"> </w:t>
      </w:r>
      <w:r w:rsidRPr="00FD4D12">
        <w:t xml:space="preserve">21, under första kvartalet 2015 för de parter </w:t>
      </w:r>
      <w:r>
        <w:t>som har möjlighet att göra det. Detta beslut bekräftades vid COP20 i Lima. EU</w:t>
      </w:r>
      <w:r w:rsidR="00903DBF">
        <w:t>:</w:t>
      </w:r>
      <w:r>
        <w:t>s bidrag kommer att utgå ifrån Europeiska rådets beslut om att minska utsläppen med minst 40 procent till 2030 jämfört med 1990 års nivå.</w:t>
      </w:r>
    </w:p>
    <w:p w14:paraId="5F2DA8A0" w14:textId="77777777" w:rsidR="00DF586A" w:rsidRDefault="00DF586A" w:rsidP="00DF586A">
      <w:pPr>
        <w:pStyle w:val="RKnormal"/>
        <w:rPr>
          <w:i/>
          <w:iCs/>
          <w:color w:val="000000"/>
        </w:rPr>
      </w:pPr>
    </w:p>
    <w:p w14:paraId="5F2DA8A1" w14:textId="11B49A0F" w:rsidR="00DF586A" w:rsidRPr="009F4DF6" w:rsidRDefault="00DF586A" w:rsidP="003A2FAD">
      <w:pPr>
        <w:pStyle w:val="RKnormal"/>
        <w:rPr>
          <w:b/>
          <w:i/>
          <w:iCs/>
          <w:color w:val="000000"/>
        </w:rPr>
      </w:pPr>
      <w:r w:rsidRPr="009F4DF6">
        <w:rPr>
          <w:b/>
          <w:i/>
          <w:iCs/>
          <w:color w:val="000000"/>
        </w:rPr>
        <w:lastRenderedPageBreak/>
        <w:t xml:space="preserve">Förslag till svensk ståndpunkt </w:t>
      </w:r>
      <w:r w:rsidR="003A2FAD" w:rsidRPr="009F4DF6">
        <w:rPr>
          <w:b/>
          <w:i/>
          <w:iCs/>
          <w:color w:val="000000"/>
        </w:rPr>
        <w:t>(kommer att kompletteras när meddelandet</w:t>
      </w:r>
      <w:r w:rsidR="009F4DF6" w:rsidRPr="009F4DF6">
        <w:rPr>
          <w:b/>
          <w:i/>
          <w:iCs/>
          <w:color w:val="000000"/>
        </w:rPr>
        <w:t xml:space="preserve"> och ordförandeskapets</w:t>
      </w:r>
      <w:r w:rsidR="00982221" w:rsidRPr="009F4DF6">
        <w:rPr>
          <w:b/>
          <w:i/>
          <w:iCs/>
          <w:color w:val="000000"/>
        </w:rPr>
        <w:t xml:space="preserve"> förslag om EUs INDC</w:t>
      </w:r>
      <w:r w:rsidR="003A2FAD" w:rsidRPr="009F4DF6">
        <w:rPr>
          <w:b/>
          <w:i/>
          <w:iCs/>
          <w:color w:val="000000"/>
        </w:rPr>
        <w:t xml:space="preserve"> publiceras</w:t>
      </w:r>
      <w:r w:rsidR="00D15ED3" w:rsidRPr="009F4DF6">
        <w:rPr>
          <w:b/>
          <w:i/>
          <w:iCs/>
          <w:color w:val="000000"/>
        </w:rPr>
        <w:t xml:space="preserve"> </w:t>
      </w:r>
      <w:r w:rsidR="009F4DF6" w:rsidRPr="009F4DF6">
        <w:rPr>
          <w:b/>
          <w:i/>
          <w:iCs/>
          <w:color w:val="000000"/>
        </w:rPr>
        <w:t>samt</w:t>
      </w:r>
      <w:r w:rsidR="00D15ED3" w:rsidRPr="009F4DF6">
        <w:rPr>
          <w:b/>
          <w:i/>
          <w:iCs/>
          <w:color w:val="000000"/>
        </w:rPr>
        <w:t xml:space="preserve"> diskussionsfrågor kommer</w:t>
      </w:r>
      <w:r w:rsidR="003A2FAD" w:rsidRPr="009F4DF6">
        <w:rPr>
          <w:b/>
          <w:i/>
          <w:iCs/>
          <w:color w:val="000000"/>
        </w:rPr>
        <w:t>)</w:t>
      </w:r>
    </w:p>
    <w:p w14:paraId="5F2DA8A2" w14:textId="20759B67" w:rsidR="00DF586A" w:rsidRPr="009A5CBC" w:rsidRDefault="00DF586A" w:rsidP="00DF586A">
      <w:r>
        <w:t>Regeringen anser att d</w:t>
      </w:r>
      <w:r w:rsidRPr="00A91933">
        <w:t xml:space="preserve">en globala ambitionen vad gäller utsläppsminskningar måste öka väsentligt både före och efter 2020. </w:t>
      </w:r>
      <w:r w:rsidR="00A807A7">
        <w:t>Den</w:t>
      </w:r>
      <w:r w:rsidRPr="00A91933">
        <w:t xml:space="preserve"> övergripande målsättning</w:t>
      </w:r>
      <w:r w:rsidR="00A807A7">
        <w:t>en</w:t>
      </w:r>
      <w:r w:rsidRPr="00A91933">
        <w:t xml:space="preserve"> i klimatförhandlingarna är att </w:t>
      </w:r>
      <w:r>
        <w:t>vid COP21 i Paris fatta beslut om ett</w:t>
      </w:r>
      <w:r w:rsidRPr="00A91933">
        <w:t xml:space="preserve"> rättsligt bindande </w:t>
      </w:r>
      <w:r>
        <w:t>avtal</w:t>
      </w:r>
      <w:r w:rsidRPr="00A91933">
        <w:t xml:space="preserve"> som </w:t>
      </w:r>
      <w:r>
        <w:t>över tid kan hålla den globala temper</w:t>
      </w:r>
      <w:r w:rsidR="00D15ED3">
        <w:t>a</w:t>
      </w:r>
      <w:r>
        <w:t>turökningen så långt som möjligt</w:t>
      </w:r>
      <w:r w:rsidRPr="00A91933">
        <w:t xml:space="preserve"> under två grader. </w:t>
      </w:r>
      <w:r w:rsidRPr="000E558E">
        <w:t xml:space="preserve">Anpassning bör </w:t>
      </w:r>
      <w:r>
        <w:t xml:space="preserve">också </w:t>
      </w:r>
      <w:r w:rsidRPr="000E558E">
        <w:t xml:space="preserve">vara en central del av </w:t>
      </w:r>
      <w:r w:rsidR="00982221">
        <w:t>det nya a</w:t>
      </w:r>
      <w:r w:rsidRPr="000E558E">
        <w:t xml:space="preserve">vtalet och komplettera och förstärka ländernas åtgärder för att bli mer </w:t>
      </w:r>
      <w:proofErr w:type="spellStart"/>
      <w:r w:rsidRPr="000E558E">
        <w:t>resilienta</w:t>
      </w:r>
      <w:proofErr w:type="spellEnd"/>
      <w:r w:rsidRPr="000E558E">
        <w:t xml:space="preserve"> mot klimatförändringarna. Avtalet bör även omfatta och främja </w:t>
      </w:r>
      <w:r w:rsidRPr="009A5CBC">
        <w:t xml:space="preserve">transparens, finansiering, teknik och kapacitetsutveckling. </w:t>
      </w:r>
    </w:p>
    <w:p w14:paraId="5F2DA8A3" w14:textId="77777777" w:rsidR="00DF586A" w:rsidRPr="009A5CBC" w:rsidRDefault="00DF586A" w:rsidP="00DF586A"/>
    <w:p w14:paraId="5F2DA8A4" w14:textId="76734D34" w:rsidR="00DF586A" w:rsidRPr="00DF586A" w:rsidRDefault="00DF586A" w:rsidP="00DF586A">
      <w:r w:rsidRPr="009A5CBC">
        <w:t>Regeringen anser att EU</w:t>
      </w:r>
      <w:r w:rsidR="00903DBF">
        <w:t>:</w:t>
      </w:r>
      <w:r w:rsidRPr="009A5CBC">
        <w:t xml:space="preserve">s tänkta nationellt beslutade bidrag om </w:t>
      </w:r>
      <w:r w:rsidRPr="00634328">
        <w:rPr>
          <w:iCs/>
        </w:rPr>
        <w:t>utsläppsminskningar</w:t>
      </w:r>
      <w:r w:rsidRPr="009A5CBC">
        <w:t xml:space="preserve"> </w:t>
      </w:r>
      <w:r w:rsidR="00D15ED3">
        <w:t xml:space="preserve">(INDC) </w:t>
      </w:r>
      <w:r w:rsidRPr="009A5CBC">
        <w:t xml:space="preserve">ska lämnas in till UNFCCC under det första kvartalet 2015, i enlighet med besluten från COP19 och COP20. Det är viktigt att EU är ambitiöst och transparent och redovisar trovärdiga mål om </w:t>
      </w:r>
      <w:r w:rsidRPr="00634328">
        <w:rPr>
          <w:iCs/>
        </w:rPr>
        <w:t>utsläppsminskningar</w:t>
      </w:r>
      <w:r w:rsidRPr="009A5CBC">
        <w:t xml:space="preserve"> i sitt bidrag.</w:t>
      </w:r>
      <w:r>
        <w:t xml:space="preserve"> </w:t>
      </w:r>
    </w:p>
    <w:p w14:paraId="5F2DA8A5" w14:textId="77777777" w:rsidR="00DF586A" w:rsidRDefault="00DF586A" w:rsidP="00DF586A">
      <w:pPr>
        <w:pStyle w:val="RKnormal"/>
        <w:ind w:left="720"/>
        <w:rPr>
          <w:rFonts w:ascii="TradeGothic Bold" w:hAnsi="TradeGothic Bold"/>
        </w:rPr>
      </w:pPr>
    </w:p>
    <w:p w14:paraId="5F2DA8A6" w14:textId="77777777" w:rsidR="00DF586A" w:rsidRDefault="00DF586A" w:rsidP="00DF586A">
      <w:pPr>
        <w:pStyle w:val="RKnormal"/>
        <w:numPr>
          <w:ilvl w:val="0"/>
          <w:numId w:val="1"/>
        </w:numPr>
        <w:rPr>
          <w:rFonts w:ascii="TradeGothic Bold" w:hAnsi="TradeGothic Bold"/>
        </w:rPr>
      </w:pPr>
      <w:r>
        <w:rPr>
          <w:rFonts w:ascii="TradeGothic Bold" w:hAnsi="TradeGothic Bold"/>
        </w:rPr>
        <w:t>Den globala post 2015-agendan: genomgång av de mellanstatliga förhandlingarna och framåtblickande</w:t>
      </w:r>
    </w:p>
    <w:p w14:paraId="5F2DA8A7" w14:textId="77777777" w:rsidR="00DF586A" w:rsidRDefault="00DF586A" w:rsidP="00DF586A">
      <w:pPr>
        <w:jc w:val="center"/>
      </w:pPr>
    </w:p>
    <w:p w14:paraId="5F2DA8A8" w14:textId="77777777" w:rsidR="00DF586A" w:rsidRDefault="00DF586A" w:rsidP="00DF586A">
      <w:pPr>
        <w:spacing w:line="240" w:lineRule="auto"/>
        <w:ind w:left="1440" w:hanging="720"/>
        <w:rPr>
          <w:i/>
        </w:rPr>
      </w:pPr>
      <w:proofErr w:type="gramStart"/>
      <w:r>
        <w:t>-</w:t>
      </w:r>
      <w:proofErr w:type="gramEnd"/>
      <w:r>
        <w:t xml:space="preserve"> </w:t>
      </w:r>
      <w:r w:rsidRPr="00AD65F7">
        <w:rPr>
          <w:i/>
        </w:rPr>
        <w:t>Åsiktsutbyte</w:t>
      </w:r>
    </w:p>
    <w:p w14:paraId="5F2DA8A9" w14:textId="77777777" w:rsidR="00DF586A" w:rsidRPr="00937A86" w:rsidRDefault="00DF586A" w:rsidP="00937A86">
      <w:pPr>
        <w:pStyle w:val="Rubrik3"/>
        <w:rPr>
          <w:rFonts w:ascii="OrigGarmnd BT" w:hAnsi="OrigGarmnd BT"/>
          <w:b/>
          <w:i/>
          <w:sz w:val="24"/>
          <w:szCs w:val="24"/>
        </w:rPr>
      </w:pPr>
      <w:r w:rsidRPr="00937A86">
        <w:rPr>
          <w:rFonts w:ascii="OrigGarmnd BT" w:hAnsi="OrigGarmnd BT"/>
          <w:b/>
          <w:i/>
          <w:sz w:val="24"/>
          <w:szCs w:val="24"/>
        </w:rPr>
        <w:t>Bakgrund</w:t>
      </w:r>
    </w:p>
    <w:p w14:paraId="5F2DA8AA" w14:textId="537C25A2" w:rsidR="00DF586A" w:rsidRDefault="00DF586A" w:rsidP="00DF586A">
      <w:r w:rsidRPr="00AD65F7">
        <w:t>De första mellanstatliga förhandlingarna om post-2015 agendan</w:t>
      </w:r>
      <w:r w:rsidR="00903DBF">
        <w:t xml:space="preserve"> och </w:t>
      </w:r>
      <w:r w:rsidRPr="00AD65F7">
        <w:t>hållbara utvecklingsmål hölls i New York 19-21 januari</w:t>
      </w:r>
      <w:r w:rsidR="00D15ED3">
        <w:t xml:space="preserve"> 2015</w:t>
      </w:r>
      <w:r w:rsidRPr="00AD65F7">
        <w:t xml:space="preserve">. Mötet var en </w:t>
      </w:r>
      <w:r>
        <w:t>så kallad</w:t>
      </w:r>
      <w:r w:rsidRPr="00AD65F7">
        <w:t xml:space="preserve"> ”</w:t>
      </w:r>
      <w:r w:rsidRPr="00AD65F7">
        <w:rPr>
          <w:i/>
        </w:rPr>
        <w:t xml:space="preserve">stock </w:t>
      </w:r>
      <w:proofErr w:type="spellStart"/>
      <w:r w:rsidRPr="00AD65F7">
        <w:rPr>
          <w:i/>
        </w:rPr>
        <w:t>taking</w:t>
      </w:r>
      <w:proofErr w:type="spellEnd"/>
      <w:r w:rsidRPr="00AD65F7">
        <w:rPr>
          <w:i/>
        </w:rPr>
        <w:t xml:space="preserve"> session</w:t>
      </w:r>
      <w:r w:rsidRPr="00AD65F7">
        <w:t xml:space="preserve">” vars huvudsyfte var att sammanföra och reflektera över det arbete som hade genomförts under de senaste två och ett halvt åren. </w:t>
      </w:r>
    </w:p>
    <w:p w14:paraId="001943C6" w14:textId="77777777" w:rsidR="00D15ED3" w:rsidRPr="00AD65F7" w:rsidRDefault="00D15ED3" w:rsidP="00DF586A"/>
    <w:p w14:paraId="6782F8B1" w14:textId="71CDC2C0" w:rsidR="00D15ED3" w:rsidRDefault="00DF586A" w:rsidP="00DF586A">
      <w:r w:rsidRPr="00AD65F7">
        <w:t xml:space="preserve">Vid förhandlingarna </w:t>
      </w:r>
      <w:r>
        <w:t xml:space="preserve">framförde flertalet länder en önskan </w:t>
      </w:r>
      <w:r w:rsidRPr="00AD65F7">
        <w:t xml:space="preserve">om att inte öppna upp de 17 </w:t>
      </w:r>
      <w:r w:rsidR="00150F2F">
        <w:t>nu föreslagna hållbara utvecklings</w:t>
      </w:r>
      <w:r w:rsidRPr="00AD65F7">
        <w:t xml:space="preserve">målen för förhandling. </w:t>
      </w:r>
      <w:proofErr w:type="spellStart"/>
      <w:r w:rsidR="00356B40">
        <w:t>Med-ordföranden</w:t>
      </w:r>
      <w:proofErr w:type="spellEnd"/>
      <w:r w:rsidR="00356B40">
        <w:t xml:space="preserve"> (från Irland och Kenya,</w:t>
      </w:r>
      <w:r w:rsidR="00903DBF">
        <w:t xml:space="preserve"> som är utsedda att underlätta processen</w:t>
      </w:r>
      <w:r w:rsidR="00356B40">
        <w:t>)</w:t>
      </w:r>
      <w:r w:rsidR="00903DBF">
        <w:t xml:space="preserve"> </w:t>
      </w:r>
      <w:r>
        <w:t>har beslutat genomföra en så kallad</w:t>
      </w:r>
      <w:r w:rsidRPr="00AD65F7">
        <w:t xml:space="preserve"> </w:t>
      </w:r>
      <w:r w:rsidRPr="002D3739">
        <w:t>teknisk översyn</w:t>
      </w:r>
      <w:r w:rsidRPr="00AD65F7">
        <w:t xml:space="preserve"> av de 169 delmålen. Mötet var det första av sju mellanstatliga förhandlingsmöten som ska hållas innan post 2015-agendan ska antas vid </w:t>
      </w:r>
      <w:r w:rsidR="00150F2F">
        <w:t>UNGA Post 2015 Summit</w:t>
      </w:r>
      <w:r w:rsidRPr="00AD65F7">
        <w:t xml:space="preserve"> </w:t>
      </w:r>
      <w:r w:rsidR="00356B40">
        <w:t>25-27</w:t>
      </w:r>
      <w:r w:rsidRPr="00AD65F7">
        <w:t xml:space="preserve"> september. </w:t>
      </w:r>
      <w:r>
        <w:t>Det andra mellanstatliga förhandlingsmötet äg</w:t>
      </w:r>
      <w:r w:rsidR="00D15ED3">
        <w:t>de</w:t>
      </w:r>
      <w:r>
        <w:t xml:space="preserve"> rum i New York den 17-20 februari, då post 2015-agendans politiska deklaration diskutera</w:t>
      </w:r>
      <w:r w:rsidR="00356B40">
        <w:t>de</w:t>
      </w:r>
      <w:r>
        <w:t xml:space="preserve">s. </w:t>
      </w:r>
    </w:p>
    <w:p w14:paraId="5F2DA8AC" w14:textId="548604A2" w:rsidR="00DF586A" w:rsidRDefault="00DF586A" w:rsidP="00DF586A">
      <w:pPr>
        <w:rPr>
          <w:szCs w:val="24"/>
        </w:rPr>
      </w:pPr>
      <w:r>
        <w:t xml:space="preserve">Inom EU antogs </w:t>
      </w:r>
      <w:proofErr w:type="spellStart"/>
      <w:r>
        <w:t>rådsslutsatser</w:t>
      </w:r>
      <w:proofErr w:type="spellEnd"/>
      <w:r>
        <w:t xml:space="preserve"> </w:t>
      </w:r>
      <w:r w:rsidR="00D15ED3">
        <w:t xml:space="preserve">på allmänna rådet </w:t>
      </w:r>
      <w:r>
        <w:t xml:space="preserve">i december </w:t>
      </w:r>
      <w:proofErr w:type="gramStart"/>
      <w:r>
        <w:t xml:space="preserve">2014 </w:t>
      </w:r>
      <w:r w:rsidR="00150F2F">
        <w:t>,</w:t>
      </w:r>
      <w:proofErr w:type="gramEnd"/>
      <w:r w:rsidR="00150F2F">
        <w:t>som</w:t>
      </w:r>
      <w:r>
        <w:t xml:space="preserve"> </w:t>
      </w:r>
      <w:r w:rsidRPr="005A198B">
        <w:t xml:space="preserve">utgör EU:s gemensamma politiska prioriteringar i de mellanstatliga förhandlingarna </w:t>
      </w:r>
      <w:r w:rsidRPr="005A198B">
        <w:rPr>
          <w:szCs w:val="24"/>
        </w:rPr>
        <w:t>och ger en tydlig politisk signal om hur EU ser på post-2015 arbetet.</w:t>
      </w:r>
    </w:p>
    <w:p w14:paraId="342B1536" w14:textId="77777777" w:rsidR="00D15ED3" w:rsidRDefault="00D15ED3" w:rsidP="00DF586A">
      <w:pPr>
        <w:rPr>
          <w:szCs w:val="24"/>
        </w:rPr>
      </w:pPr>
    </w:p>
    <w:p w14:paraId="60CAD3B9" w14:textId="346C9E0F" w:rsidR="00610149" w:rsidRPr="00034DA7" w:rsidRDefault="00150F2F" w:rsidP="00150F2F">
      <w:pPr>
        <w:rPr>
          <w:lang w:val="en-US"/>
          <w:rPrChange w:id="14" w:author="Helena Fridman Konstantinidou" w:date="2015-02-23T13:28:00Z">
            <w:rPr/>
          </w:rPrChange>
        </w:rPr>
      </w:pPr>
      <w:r>
        <w:t xml:space="preserve">Ordförandeskapet har tagit fram ett diskussionsunderlag med frågor inför behandlingen av miljöministrarna. </w:t>
      </w:r>
      <w:r w:rsidR="00356B40">
        <w:t xml:space="preserve">Diskussionsfrågorna handlar om hur de miljömässiga delarna av hållbarhetsagendan ska bevaras under förhandlingarna. </w:t>
      </w:r>
      <w:r w:rsidR="00356B40" w:rsidRPr="00034DA7">
        <w:rPr>
          <w:lang w:val="en-US"/>
          <w:rPrChange w:id="15" w:author="Helena Fridman Konstantinidou" w:date="2015-02-23T13:28:00Z">
            <w:rPr/>
          </w:rPrChange>
        </w:rPr>
        <w:t>Underlaget</w:t>
      </w:r>
      <w:r w:rsidR="00610149" w:rsidRPr="00034DA7">
        <w:rPr>
          <w:lang w:val="en-US"/>
          <w:rPrChange w:id="16" w:author="Helena Fridman Konstantinidou" w:date="2015-02-23T13:28:00Z">
            <w:rPr/>
          </w:rPrChange>
        </w:rPr>
        <w:t xml:space="preserve"> har endast distribuerats på engelska:</w:t>
      </w:r>
    </w:p>
    <w:p w14:paraId="2B1A33B6" w14:textId="77777777" w:rsidR="00610149" w:rsidRPr="00034DA7" w:rsidRDefault="00610149" w:rsidP="00150F2F">
      <w:pPr>
        <w:rPr>
          <w:lang w:val="en-US"/>
          <w:rPrChange w:id="17" w:author="Helena Fridman Konstantinidou" w:date="2015-02-23T13:28:00Z">
            <w:rPr/>
          </w:rPrChange>
        </w:rPr>
      </w:pPr>
    </w:p>
    <w:p w14:paraId="273E925A" w14:textId="77777777" w:rsidR="00610149" w:rsidRPr="00034DA7" w:rsidRDefault="00610149" w:rsidP="00610149">
      <w:pPr>
        <w:rPr>
          <w:rFonts w:eastAsiaTheme="minorHAnsi" w:cstheme="minorBidi"/>
          <w:szCs w:val="22"/>
          <w:lang w:val="en-US"/>
          <w:rPrChange w:id="18" w:author="Helena Fridman Konstantinidou" w:date="2015-02-23T13:28:00Z">
            <w:rPr>
              <w:rFonts w:eastAsiaTheme="minorHAnsi" w:cstheme="minorBidi"/>
              <w:szCs w:val="22"/>
            </w:rPr>
          </w:rPrChange>
        </w:rPr>
      </w:pPr>
    </w:p>
    <w:p w14:paraId="26815A3E" w14:textId="77777777" w:rsidR="00610149" w:rsidRPr="00034DA7" w:rsidRDefault="00610149" w:rsidP="00610149">
      <w:pPr>
        <w:ind w:left="567" w:hanging="567"/>
        <w:rPr>
          <w:rFonts w:eastAsiaTheme="minorHAnsi" w:cstheme="minorBidi"/>
          <w:i/>
          <w:iCs/>
          <w:szCs w:val="22"/>
          <w:lang w:val="en-US"/>
          <w:rPrChange w:id="19" w:author="Helena Fridman Konstantinidou" w:date="2015-02-23T13:28:00Z">
            <w:rPr>
              <w:rFonts w:eastAsiaTheme="minorHAnsi" w:cstheme="minorBidi"/>
              <w:i/>
              <w:iCs/>
              <w:szCs w:val="22"/>
            </w:rPr>
          </w:rPrChange>
        </w:rPr>
      </w:pPr>
      <w:r w:rsidRPr="00034DA7">
        <w:rPr>
          <w:rFonts w:eastAsiaTheme="minorHAnsi" w:cstheme="minorBidi"/>
          <w:i/>
          <w:iCs/>
          <w:szCs w:val="22"/>
          <w:lang w:val="en-US"/>
          <w:rPrChange w:id="20" w:author="Helena Fridman Konstantinidou" w:date="2015-02-23T13:28:00Z">
            <w:rPr>
              <w:rFonts w:eastAsiaTheme="minorHAnsi" w:cstheme="minorBidi"/>
              <w:i/>
              <w:iCs/>
              <w:szCs w:val="22"/>
            </w:rPr>
          </w:rPrChange>
        </w:rPr>
        <w:t>1)</w:t>
      </w:r>
      <w:r w:rsidRPr="00034DA7">
        <w:rPr>
          <w:rFonts w:eastAsiaTheme="minorHAnsi" w:cstheme="minorBidi"/>
          <w:i/>
          <w:iCs/>
          <w:szCs w:val="22"/>
          <w:lang w:val="en-US"/>
          <w:rPrChange w:id="21" w:author="Helena Fridman Konstantinidou" w:date="2015-02-23T13:28:00Z">
            <w:rPr>
              <w:rFonts w:eastAsiaTheme="minorHAnsi" w:cstheme="minorBidi"/>
              <w:i/>
              <w:iCs/>
              <w:szCs w:val="22"/>
            </w:rPr>
          </w:rPrChange>
        </w:rPr>
        <w:tab/>
        <w:t>How should we play our cards from a strategic point of view in order to ensure that we don't lose the good environmental elements of the OWG proposal and that the final Post-2015 Agenda outcome remains balanced, and what can the high level Environment actors (such as the EU Environment Ministers and UNEP) do in the run-up to the September Post-2015 Summit in order to contribute and facilitate this process?</w:t>
      </w:r>
    </w:p>
    <w:p w14:paraId="4B6FC44E" w14:textId="77777777" w:rsidR="00610149" w:rsidRPr="00034DA7" w:rsidRDefault="00610149" w:rsidP="00610149">
      <w:pPr>
        <w:rPr>
          <w:rFonts w:eastAsiaTheme="minorHAnsi" w:cstheme="minorBidi"/>
          <w:i/>
          <w:iCs/>
          <w:szCs w:val="22"/>
          <w:lang w:val="en-US"/>
          <w:rPrChange w:id="22" w:author="Helena Fridman Konstantinidou" w:date="2015-02-23T13:28:00Z">
            <w:rPr>
              <w:rFonts w:eastAsiaTheme="minorHAnsi" w:cstheme="minorBidi"/>
              <w:i/>
              <w:iCs/>
              <w:szCs w:val="22"/>
            </w:rPr>
          </w:rPrChange>
        </w:rPr>
      </w:pPr>
    </w:p>
    <w:p w14:paraId="19CABEA1" w14:textId="77777777" w:rsidR="00610149" w:rsidRPr="00034DA7" w:rsidRDefault="00610149" w:rsidP="00610149">
      <w:pPr>
        <w:ind w:left="567" w:hanging="567"/>
        <w:rPr>
          <w:rFonts w:eastAsiaTheme="minorHAnsi" w:cstheme="minorBidi"/>
          <w:i/>
          <w:iCs/>
          <w:szCs w:val="22"/>
          <w:lang w:val="en-US"/>
          <w:rPrChange w:id="23" w:author="Helena Fridman Konstantinidou" w:date="2015-02-23T13:28:00Z">
            <w:rPr>
              <w:rFonts w:eastAsiaTheme="minorHAnsi" w:cstheme="minorBidi"/>
              <w:i/>
              <w:iCs/>
              <w:szCs w:val="22"/>
            </w:rPr>
          </w:rPrChange>
        </w:rPr>
      </w:pPr>
      <w:r w:rsidRPr="00034DA7">
        <w:rPr>
          <w:rFonts w:eastAsiaTheme="minorHAnsi" w:cstheme="minorBidi"/>
          <w:i/>
          <w:iCs/>
          <w:szCs w:val="22"/>
          <w:lang w:val="en-US"/>
          <w:rPrChange w:id="24" w:author="Helena Fridman Konstantinidou" w:date="2015-02-23T13:28:00Z">
            <w:rPr>
              <w:rFonts w:eastAsiaTheme="minorHAnsi" w:cstheme="minorBidi"/>
              <w:i/>
              <w:iCs/>
              <w:szCs w:val="22"/>
            </w:rPr>
          </w:rPrChange>
        </w:rPr>
        <w:t>2)</w:t>
      </w:r>
      <w:r w:rsidRPr="00034DA7">
        <w:rPr>
          <w:rFonts w:eastAsiaTheme="minorHAnsi" w:cstheme="minorBidi"/>
          <w:i/>
          <w:iCs/>
          <w:szCs w:val="22"/>
          <w:lang w:val="en-US"/>
          <w:rPrChange w:id="25" w:author="Helena Fridman Konstantinidou" w:date="2015-02-23T13:28:00Z">
            <w:rPr>
              <w:rFonts w:eastAsiaTheme="minorHAnsi" w:cstheme="minorBidi"/>
              <w:i/>
              <w:iCs/>
              <w:szCs w:val="22"/>
            </w:rPr>
          </w:rPrChange>
        </w:rPr>
        <w:tab/>
        <w:t xml:space="preserve">Bearing in mind the contribution of environmental goals and targets to the whole sustainable development agenda, how can we ensure that they receive adequate financing for their implementation? </w:t>
      </w:r>
    </w:p>
    <w:p w14:paraId="4A947074" w14:textId="60294A74" w:rsidR="00150F2F" w:rsidRPr="00034DA7" w:rsidRDefault="00150F2F" w:rsidP="00150F2F">
      <w:pPr>
        <w:rPr>
          <w:lang w:val="en-US"/>
          <w:rPrChange w:id="26" w:author="Helena Fridman Konstantinidou" w:date="2015-02-23T13:28:00Z">
            <w:rPr/>
          </w:rPrChange>
        </w:rPr>
      </w:pPr>
      <w:r w:rsidRPr="00034DA7">
        <w:rPr>
          <w:lang w:val="en-US"/>
          <w:rPrChange w:id="27" w:author="Helena Fridman Konstantinidou" w:date="2015-02-23T13:28:00Z">
            <w:rPr/>
          </w:rPrChange>
        </w:rPr>
        <w:t xml:space="preserve"> </w:t>
      </w:r>
    </w:p>
    <w:p w14:paraId="5F2DA8AE" w14:textId="20320C21" w:rsidR="00DF586A" w:rsidRPr="003A2FAD" w:rsidRDefault="00DF586A" w:rsidP="003A2FAD">
      <w:pPr>
        <w:pStyle w:val="Rubrik3"/>
        <w:rPr>
          <w:rFonts w:ascii="OrigGarmnd BT" w:hAnsi="OrigGarmnd BT"/>
          <w:b/>
          <w:i/>
          <w:sz w:val="24"/>
          <w:szCs w:val="24"/>
        </w:rPr>
      </w:pPr>
      <w:r w:rsidRPr="003A2FAD">
        <w:rPr>
          <w:rFonts w:ascii="OrigGarmnd BT" w:hAnsi="OrigGarmnd BT"/>
          <w:b/>
          <w:i/>
          <w:sz w:val="24"/>
          <w:szCs w:val="24"/>
        </w:rPr>
        <w:t>Förslag till svensk ståndpunkt</w:t>
      </w:r>
      <w:r w:rsidR="0000161F">
        <w:rPr>
          <w:rFonts w:ascii="OrigGarmnd BT" w:hAnsi="OrigGarmnd BT"/>
          <w:b/>
          <w:i/>
          <w:sz w:val="24"/>
          <w:szCs w:val="24"/>
        </w:rPr>
        <w:t>:</w:t>
      </w:r>
    </w:p>
    <w:p w14:paraId="46D692D1" w14:textId="58F9EA26" w:rsidR="00D15ED3" w:rsidRDefault="00D15ED3" w:rsidP="00DF586A">
      <w:pPr>
        <w:rPr>
          <w:color w:val="000000"/>
        </w:rPr>
      </w:pPr>
    </w:p>
    <w:p w14:paraId="31517537" w14:textId="77777777" w:rsidR="00610149" w:rsidRPr="00DF586A" w:rsidRDefault="00610149" w:rsidP="00DF586A">
      <w:pPr>
        <w:rPr>
          <w:color w:val="000000"/>
        </w:rPr>
      </w:pPr>
    </w:p>
    <w:p w14:paraId="2715BE6A" w14:textId="0CE7E91B" w:rsidR="00150F2F" w:rsidRDefault="00356B40" w:rsidP="00150F2F">
      <w:pPr>
        <w:rPr>
          <w:color w:val="000000" w:themeColor="text1"/>
        </w:rPr>
      </w:pPr>
      <w:r>
        <w:rPr>
          <w:color w:val="000000"/>
        </w:rPr>
        <w:t>Regeringen kommer i</w:t>
      </w:r>
      <w:r w:rsidRPr="00DF586A">
        <w:rPr>
          <w:color w:val="000000"/>
        </w:rPr>
        <w:t xml:space="preserve"> </w:t>
      </w:r>
      <w:r w:rsidR="00DF586A" w:rsidRPr="00DF586A">
        <w:rPr>
          <w:color w:val="000000"/>
        </w:rPr>
        <w:t xml:space="preserve">de fortsatta förhandlingarna </w:t>
      </w:r>
      <w:r>
        <w:rPr>
          <w:color w:val="000000"/>
        </w:rPr>
        <w:t>att</w:t>
      </w:r>
      <w:r w:rsidR="00DF586A" w:rsidRPr="00DF586A">
        <w:rPr>
          <w:color w:val="000000"/>
        </w:rPr>
        <w:t xml:space="preserve"> framhålla vikten av att</w:t>
      </w:r>
      <w:r>
        <w:rPr>
          <w:color w:val="000000"/>
        </w:rPr>
        <w:t xml:space="preserve"> </w:t>
      </w:r>
      <w:r w:rsidR="00D15ED3">
        <w:rPr>
          <w:color w:val="000000"/>
        </w:rPr>
        <w:t>Post 2015-</w:t>
      </w:r>
      <w:r w:rsidR="00DF586A" w:rsidRPr="00DF586A">
        <w:rPr>
          <w:color w:val="000000"/>
        </w:rPr>
        <w:t xml:space="preserve"> agendan präglas av en hög ambitionsnivå och en tydlig vision vad gäller strävan att utrota den globala fattigdomen och främja en hållbar utveckling mot en framtid som håller sig inom de planetära gränserna. </w:t>
      </w:r>
    </w:p>
    <w:p w14:paraId="03B6FBE1" w14:textId="30E5A08A" w:rsidR="00150F2F" w:rsidRDefault="00150F2F" w:rsidP="00150F2F">
      <w:pPr>
        <w:rPr>
          <w:color w:val="000000" w:themeColor="text1"/>
        </w:rPr>
      </w:pPr>
      <w:r>
        <w:rPr>
          <w:color w:val="000000" w:themeColor="text1"/>
        </w:rPr>
        <w:t xml:space="preserve">Regeringen kommer betona behovet av att EU fortsatt betraktar </w:t>
      </w:r>
      <w:r w:rsidR="00C92AEB">
        <w:rPr>
          <w:color w:val="000000" w:themeColor="text1"/>
        </w:rPr>
        <w:t xml:space="preserve">arbetet </w:t>
      </w:r>
      <w:r>
        <w:rPr>
          <w:color w:val="000000" w:themeColor="text1"/>
        </w:rPr>
        <w:t>mot klimatförändringar och miljöpåverkan som centrala delar av hållbarhetsagendan och förutsättningar för att åstadkomma hållbar utveckling i de tre dimensionerna. Regeringen betraktar civilsamhällesorganisationer, universitet och forskningsinstitut samt näringsliv och svenska myndigheter som viktiga aktörer att samarbeta kring hållbarhetsfrågorna med, i synnerhet för att sprida kunskap om kopplingen mellan ekonomisk, miljömässig och social utveckling.</w:t>
      </w:r>
    </w:p>
    <w:p w14:paraId="1DE9A2C2" w14:textId="744C9F47" w:rsidR="00150F2F" w:rsidRDefault="00150F2F" w:rsidP="00150F2F">
      <w:pPr>
        <w:rPr>
          <w:color w:val="000000" w:themeColor="text1"/>
        </w:rPr>
      </w:pPr>
      <w:r w:rsidRPr="009A1D25">
        <w:rPr>
          <w:color w:val="000000" w:themeColor="text1"/>
        </w:rPr>
        <w:t xml:space="preserve">Genomförande av en ambitiös post 2015-agenda kommer att kräva en kraftig mobilisering av finansiella och icke-finansiella insatser på nationell, regional och global nivå. Ökad inhemsk resursmobilisering, internationella samarbeten på en rad områden och trovärdiga åtaganden om bistånd är viktiga delar. Det handlar inte bara om ökade resurser utan också hur dessa, både offentliga och privata, på bästa </w:t>
      </w:r>
      <w:r w:rsidRPr="009A1D25">
        <w:rPr>
          <w:color w:val="000000" w:themeColor="text1"/>
        </w:rPr>
        <w:lastRenderedPageBreak/>
        <w:t xml:space="preserve">sätt kan kanaliseras för att främja utveckling. Att få alla politikområden att samverka för </w:t>
      </w:r>
      <w:proofErr w:type="spellStart"/>
      <w:r w:rsidRPr="009A1D25">
        <w:rPr>
          <w:color w:val="000000" w:themeColor="text1"/>
        </w:rPr>
        <w:t>utvecklingär</w:t>
      </w:r>
      <w:proofErr w:type="spellEnd"/>
      <w:r w:rsidRPr="009A1D25">
        <w:rPr>
          <w:color w:val="000000" w:themeColor="text1"/>
        </w:rPr>
        <w:t xml:space="preserve"> därför en nyckelkomponent i genomförandet av den nya utvecklingsagendan.</w:t>
      </w:r>
    </w:p>
    <w:p w14:paraId="5F649DA2" w14:textId="77777777" w:rsidR="00150F2F" w:rsidRPr="00937A86" w:rsidRDefault="00150F2F" w:rsidP="00DF586A">
      <w:pPr>
        <w:rPr>
          <w:color w:val="000000"/>
        </w:rPr>
      </w:pPr>
    </w:p>
    <w:p w14:paraId="5F2DA8B1" w14:textId="77777777" w:rsidR="00DF586A" w:rsidRDefault="00207A1F" w:rsidP="004B0620">
      <w:pPr>
        <w:pStyle w:val="RKrubrik"/>
      </w:pPr>
      <w:r>
        <w:t>7.</w:t>
      </w:r>
      <w:r w:rsidR="004B0620">
        <w:t xml:space="preserve"> </w:t>
      </w:r>
      <w:r w:rsidR="00DF586A">
        <w:t>Meddelande om Energiunionen</w:t>
      </w:r>
    </w:p>
    <w:p w14:paraId="5F2DA8B2" w14:textId="77777777" w:rsidR="00DF586A" w:rsidRPr="00D065DF" w:rsidRDefault="00DF586A" w:rsidP="00DF586A">
      <w:pPr>
        <w:pStyle w:val="RKnormal"/>
        <w:numPr>
          <w:ilvl w:val="0"/>
          <w:numId w:val="2"/>
        </w:numPr>
        <w:rPr>
          <w:i/>
        </w:rPr>
      </w:pPr>
      <w:r w:rsidRPr="00D065DF">
        <w:rPr>
          <w:i/>
        </w:rPr>
        <w:t>presentation från kommissionen</w:t>
      </w:r>
    </w:p>
    <w:p w14:paraId="5F2DA8B3" w14:textId="77777777" w:rsidR="00DF586A" w:rsidRPr="00D065DF" w:rsidRDefault="00DF586A" w:rsidP="00DF586A">
      <w:pPr>
        <w:pStyle w:val="RKnormal"/>
        <w:numPr>
          <w:ilvl w:val="0"/>
          <w:numId w:val="2"/>
        </w:numPr>
        <w:rPr>
          <w:i/>
        </w:rPr>
      </w:pPr>
      <w:r w:rsidRPr="00D065DF">
        <w:rPr>
          <w:i/>
        </w:rPr>
        <w:t>åsiktsutbyte</w:t>
      </w:r>
    </w:p>
    <w:p w14:paraId="5F2DA8B4" w14:textId="77777777" w:rsidR="00DF586A" w:rsidRDefault="00DF586A" w:rsidP="00DF586A">
      <w:pPr>
        <w:pStyle w:val="RKnormal"/>
      </w:pPr>
    </w:p>
    <w:p w14:paraId="5F2DA8B5" w14:textId="77777777" w:rsidR="00DF586A" w:rsidRDefault="00DF586A" w:rsidP="00DF586A">
      <w:pPr>
        <w:pStyle w:val="RKnormal"/>
      </w:pPr>
      <w:r>
        <w:t>Dokument: Inget dokument finns tillgängligt då meddelandet presenteras den 25 februari.</w:t>
      </w:r>
    </w:p>
    <w:p w14:paraId="5F2DA8B6" w14:textId="77777777" w:rsidR="00DF586A" w:rsidRPr="00937A86" w:rsidRDefault="00DF586A" w:rsidP="00DF586A">
      <w:pPr>
        <w:pStyle w:val="Rubrik3"/>
        <w:rPr>
          <w:rFonts w:ascii="OrigGarmnd BT" w:hAnsi="OrigGarmnd BT"/>
          <w:b/>
          <w:i/>
          <w:sz w:val="24"/>
          <w:szCs w:val="24"/>
        </w:rPr>
      </w:pPr>
      <w:r w:rsidRPr="00937A86">
        <w:rPr>
          <w:rFonts w:ascii="OrigGarmnd BT" w:hAnsi="OrigGarmnd BT"/>
          <w:b/>
          <w:i/>
          <w:sz w:val="24"/>
          <w:szCs w:val="24"/>
        </w:rPr>
        <w:t>Bakgrund</w:t>
      </w:r>
    </w:p>
    <w:p w14:paraId="5F2DA8B7" w14:textId="77777777" w:rsidR="00D84E30" w:rsidRDefault="00D84E30" w:rsidP="00D84E30">
      <w:pPr>
        <w:pStyle w:val="RKnormal"/>
      </w:pPr>
      <w:r>
        <w:t xml:space="preserve">Av kommissionsordförande Jean-Claude Junckers prioriteringar för den nya kommissionens mandatperiod framgår att kommissionen avser att etablera en ”Energiunion med en framåtsyftande </w:t>
      </w:r>
      <w:proofErr w:type="spellStart"/>
      <w:r>
        <w:t>klimatpolitik</w:t>
      </w:r>
      <w:proofErr w:type="spellEnd"/>
      <w:r>
        <w:t xml:space="preserve">”. </w:t>
      </w:r>
    </w:p>
    <w:p w14:paraId="5F2DA8B8" w14:textId="77777777" w:rsidR="00D84E30" w:rsidRDefault="00D84E30" w:rsidP="00D84E30">
      <w:pPr>
        <w:pStyle w:val="RKnormal"/>
      </w:pPr>
    </w:p>
    <w:p w14:paraId="5F2DA8B9" w14:textId="77777777" w:rsidR="00D84E30" w:rsidRDefault="00D84E30" w:rsidP="00D84E30">
      <w:pPr>
        <w:pStyle w:val="RKnormal"/>
      </w:pPr>
      <w:r>
        <w:t xml:space="preserve">En av vice ordförandena i kommissionen, </w:t>
      </w:r>
      <w:proofErr w:type="spellStart"/>
      <w:r>
        <w:t>Maros</w:t>
      </w:r>
      <w:proofErr w:type="spellEnd"/>
      <w:r>
        <w:t xml:space="preserve"> </w:t>
      </w:r>
      <w:proofErr w:type="spellStart"/>
      <w:r>
        <w:t>Sefcovic</w:t>
      </w:r>
      <w:proofErr w:type="spellEnd"/>
      <w:r>
        <w:t xml:space="preserve">, har ansvar för Energiunionen. Han har i olika sammanhang listat fem dimensioner som ska täckas av energiunionen: försörjningstrygghet, fullgörande av inre marknaden, energieffektivisering, minskade klimatutsläpp samt forskning och innovation. Enligt kommissionen handlar det om att meddelandet ska lista ett antal åtgärder på två respektive fem års sikt, med en utblick till 2030. </w:t>
      </w:r>
    </w:p>
    <w:p w14:paraId="5F2DA8BA" w14:textId="77777777" w:rsidR="00D84E30" w:rsidRDefault="00D84E30" w:rsidP="00D84E30">
      <w:pPr>
        <w:pStyle w:val="RKnormal"/>
      </w:pPr>
    </w:p>
    <w:p w14:paraId="5746F6A7" w14:textId="6462DEEC" w:rsidR="00D15ED3" w:rsidRDefault="00D84E30" w:rsidP="00D84E30">
      <w:pPr>
        <w:pStyle w:val="RKnormal"/>
      </w:pPr>
      <w:r>
        <w:t xml:space="preserve">Kommissionen förväntas presentera ett meddelande om Energiunionen den 25 februari. </w:t>
      </w:r>
      <w:r w:rsidR="002B50E0">
        <w:t xml:space="preserve">Meddelandet </w:t>
      </w:r>
      <w:r>
        <w:t xml:space="preserve">ska sedan diskuteras på TTE-rådet den 5 mars, </w:t>
      </w:r>
      <w:r w:rsidR="00903DBF">
        <w:t>M</w:t>
      </w:r>
      <w:r>
        <w:t xml:space="preserve">iljörådet den 6 mars och på Europeiska rådet den 19-20 mars. På TTE-rådet den 8 juni planerar det lettiska ordförandeskapet att det antas slutsatser. </w:t>
      </w:r>
    </w:p>
    <w:p w14:paraId="6E227807" w14:textId="77777777" w:rsidR="00D15ED3" w:rsidRDefault="00D15ED3" w:rsidP="00D84E30">
      <w:pPr>
        <w:pStyle w:val="RKnormal"/>
      </w:pPr>
    </w:p>
    <w:p w14:paraId="5F2DA8BB" w14:textId="400EDFBF" w:rsidR="00D84E30" w:rsidRDefault="00D84E30" w:rsidP="00D84E30">
      <w:pPr>
        <w:pStyle w:val="RKnormal"/>
      </w:pPr>
      <w:r>
        <w:t xml:space="preserve">Inför diskussionen i </w:t>
      </w:r>
      <w:r w:rsidR="00903DBF">
        <w:t>M</w:t>
      </w:r>
      <w:r>
        <w:t xml:space="preserve">iljörådet har ordförandeskapet skickat ut en fråga som lyder: Hur kan åtgärder för minskade utsläpp bidra till skapandet av en Energiunionen med en framåtsyftande </w:t>
      </w:r>
      <w:proofErr w:type="spellStart"/>
      <w:r>
        <w:t>klimatpolitik</w:t>
      </w:r>
      <w:proofErr w:type="spellEnd"/>
      <w:r w:rsidRPr="00EB086D">
        <w:t>?</w:t>
      </w:r>
    </w:p>
    <w:p w14:paraId="5F2DA8BC" w14:textId="77777777" w:rsidR="00D84E30" w:rsidRDefault="00D84E30" w:rsidP="00D84E30">
      <w:pPr>
        <w:pStyle w:val="RKnormal"/>
      </w:pPr>
    </w:p>
    <w:p w14:paraId="5F2DA8BD" w14:textId="77777777" w:rsidR="00DF586A" w:rsidRPr="003A2FAD" w:rsidRDefault="00DF586A" w:rsidP="00DF586A">
      <w:pPr>
        <w:pStyle w:val="Rubrik3"/>
        <w:rPr>
          <w:rFonts w:ascii="OrigGarmnd BT" w:hAnsi="OrigGarmnd BT"/>
          <w:b/>
          <w:i/>
          <w:sz w:val="24"/>
          <w:szCs w:val="24"/>
        </w:rPr>
      </w:pPr>
      <w:r w:rsidRPr="003A2FAD">
        <w:rPr>
          <w:rFonts w:ascii="OrigGarmnd BT" w:hAnsi="OrigGarmnd BT"/>
          <w:b/>
          <w:i/>
          <w:sz w:val="24"/>
          <w:szCs w:val="24"/>
        </w:rPr>
        <w:t>Förslag till preliminär</w:t>
      </w:r>
      <w:r w:rsidR="003A2FAD">
        <w:rPr>
          <w:rFonts w:ascii="OrigGarmnd BT" w:hAnsi="OrigGarmnd BT"/>
          <w:b/>
          <w:i/>
          <w:sz w:val="24"/>
          <w:szCs w:val="24"/>
        </w:rPr>
        <w:t xml:space="preserve"> svensk</w:t>
      </w:r>
      <w:r w:rsidRPr="003A2FAD">
        <w:rPr>
          <w:rFonts w:ascii="OrigGarmnd BT" w:hAnsi="OrigGarmnd BT"/>
          <w:b/>
          <w:i/>
          <w:sz w:val="24"/>
          <w:szCs w:val="24"/>
        </w:rPr>
        <w:t xml:space="preserve"> ståndpunkt</w:t>
      </w:r>
      <w:r w:rsidR="003A2FAD" w:rsidRPr="003A2FAD">
        <w:rPr>
          <w:rFonts w:ascii="OrigGarmnd BT" w:hAnsi="OrigGarmnd BT"/>
          <w:b/>
          <w:i/>
          <w:sz w:val="24"/>
          <w:szCs w:val="24"/>
        </w:rPr>
        <w:t xml:space="preserve"> (kommer att kompletteras när meddelandet publiceras)</w:t>
      </w:r>
    </w:p>
    <w:p w14:paraId="0965975D" w14:textId="623F7A0F" w:rsidR="00644C30" w:rsidRDefault="00DF586A" w:rsidP="00644C30">
      <w:r>
        <w:t xml:space="preserve">Regeringen föreslår att Sverige välkomnar att Energiunionen tas upp för diskussion på </w:t>
      </w:r>
      <w:r w:rsidR="00903DBF">
        <w:t>M</w:t>
      </w:r>
      <w:r>
        <w:t xml:space="preserve">iljörådet. Det är centralt att energiunionen inrymmer en framåtsyftande </w:t>
      </w:r>
      <w:proofErr w:type="spellStart"/>
      <w:r>
        <w:t>klimatpolitik</w:t>
      </w:r>
      <w:proofErr w:type="spellEnd"/>
      <w:r>
        <w:t>.</w:t>
      </w:r>
    </w:p>
    <w:p w14:paraId="753FAA95" w14:textId="77777777" w:rsidR="00644C30" w:rsidRDefault="00644C30" w:rsidP="00DF586A"/>
    <w:p w14:paraId="5F2DA8C0" w14:textId="328C95E6" w:rsidR="00DF586A" w:rsidRDefault="00DF586A" w:rsidP="00DF586A">
      <w:r>
        <w:t xml:space="preserve">Då </w:t>
      </w:r>
      <w:r w:rsidR="002B50E0">
        <w:t xml:space="preserve">kommissionens meddelande </w:t>
      </w:r>
      <w:r>
        <w:t xml:space="preserve">ännu inte presenterats är regeringens förslag till ståndpunkt högst preliminär. Regeringen betonar vikten av synergier mellan de fem dimensioner av energiunionen som </w:t>
      </w:r>
      <w:r>
        <w:lastRenderedPageBreak/>
        <w:t xml:space="preserve">kommissionen indikerat ska ingå i förslaget. </w:t>
      </w:r>
      <w:r w:rsidRPr="006B141B">
        <w:t xml:space="preserve">Regeringen anser att Energiunionen ska </w:t>
      </w:r>
      <w:r w:rsidR="002B50E0">
        <w:t>bidra till</w:t>
      </w:r>
      <w:r w:rsidR="002B50E0" w:rsidRPr="006B141B">
        <w:t xml:space="preserve"> </w:t>
      </w:r>
      <w:r w:rsidRPr="006B141B">
        <w:t xml:space="preserve">att skapa ett energisystem som är i linje med vad som krävs för </w:t>
      </w:r>
      <w:r w:rsidRPr="006A41BF">
        <w:rPr>
          <w:bCs/>
        </w:rPr>
        <w:t xml:space="preserve">att </w:t>
      </w:r>
      <w:r>
        <w:rPr>
          <w:bCs/>
        </w:rPr>
        <w:t>klara</w:t>
      </w:r>
      <w:r w:rsidRPr="006A41BF">
        <w:rPr>
          <w:bCs/>
        </w:rPr>
        <w:t xml:space="preserve"> två</w:t>
      </w:r>
      <w:r w:rsidR="00903DBF">
        <w:rPr>
          <w:bCs/>
        </w:rPr>
        <w:t>-</w:t>
      </w:r>
      <w:proofErr w:type="spellStart"/>
      <w:r w:rsidRPr="00644C30">
        <w:t>gradersmålet</w:t>
      </w:r>
      <w:proofErr w:type="spellEnd"/>
      <w:r w:rsidRPr="00644C30">
        <w:t xml:space="preserve"> och </w:t>
      </w:r>
      <w:r w:rsidRPr="006A41BF">
        <w:t>EU</w:t>
      </w:r>
      <w:r>
        <w:t>:s mål om att</w:t>
      </w:r>
      <w:r w:rsidRPr="006B141B">
        <w:t xml:space="preserve"> minska sina utsläpp med 80-95 % till 2050. </w:t>
      </w:r>
      <w:r w:rsidR="00644C30" w:rsidRPr="00644C30">
        <w:t>För att nå 2030-målen för förnybart och energieffektivisering behöver ett ramverk för styrning tas fram snarast.</w:t>
      </w:r>
      <w:r w:rsidR="00644C30">
        <w:t xml:space="preserve"> </w:t>
      </w:r>
      <w:r w:rsidRPr="006B141B">
        <w:t xml:space="preserve">Åtgärder för att </w:t>
      </w:r>
      <w:r>
        <w:t>bidra till</w:t>
      </w:r>
      <w:r w:rsidRPr="006B141B">
        <w:t xml:space="preserve"> </w:t>
      </w:r>
      <w:r>
        <w:t xml:space="preserve">EU:s </w:t>
      </w:r>
      <w:r w:rsidRPr="006B141B">
        <w:t xml:space="preserve">tre energipolitiska </w:t>
      </w:r>
      <w:r>
        <w:t>pelare (</w:t>
      </w:r>
      <w:r w:rsidRPr="006B141B">
        <w:t>ekologisk hållbarhet, konkurrenskraft och försörjningstrygghet</w:t>
      </w:r>
      <w:r>
        <w:t>)</w:t>
      </w:r>
      <w:r w:rsidRPr="006B141B">
        <w:t xml:space="preserve"> sk</w:t>
      </w:r>
      <w:r>
        <w:t>a vara ömsesidigt förstärkande.</w:t>
      </w:r>
      <w:r w:rsidRPr="00644C30">
        <w:t xml:space="preserve"> </w:t>
      </w:r>
      <w:r>
        <w:t xml:space="preserve">Fullgörande av den inre marknaden liksom kostnadseffektiva styrmedel mot målet om minskade klimatutsläpp har en särskild betydelse. </w:t>
      </w:r>
      <w:r w:rsidR="002B50E0">
        <w:t>E</w:t>
      </w:r>
      <w:r>
        <w:t>tt ensidigt fokus på exempelvis försörjningstrygghet</w:t>
      </w:r>
      <w:r w:rsidR="002B50E0">
        <w:t xml:space="preserve"> bör undvikas</w:t>
      </w:r>
      <w:r>
        <w:t xml:space="preserve">. Energieffektivisering och en högre andel förnybar energi kan bidra till att minska EU:s långsiktiga energiberoende. Subventioner till fossila bränslen inom EU bör fasas ut. </w:t>
      </w:r>
    </w:p>
    <w:p w14:paraId="5F2DA8C1" w14:textId="77777777" w:rsidR="00DF586A" w:rsidRDefault="00DF586A" w:rsidP="00DF586A"/>
    <w:p w14:paraId="5F2DA8C2" w14:textId="3406E028" w:rsidR="006E4E11" w:rsidRDefault="00DF586A" w:rsidP="00937A86">
      <w:r>
        <w:t xml:space="preserve">Regeringen har identifierat åtgärder inom transport- och värmesektorn som konkreta områden för EU att </w:t>
      </w:r>
      <w:r w:rsidR="002B50E0">
        <w:t>avancera och utveckla Energiunionen</w:t>
      </w:r>
      <w:r>
        <w:t>. Åtgärder inom dessa sektorer kan bidra både till ökad försörjningstrygghet och minskade klimatutsläpp. I sammanhanget är det viktigt med framtagandet av en EU-strategi för minskning av utsläppen från transportsektorn efter 2020. En sådan strategi bör inkludera el, energieffektivitet och biodrivmedel.</w:t>
      </w:r>
    </w:p>
    <w:p w14:paraId="5F2DA8C3" w14:textId="77777777" w:rsidR="00207A1F" w:rsidRDefault="00207A1F" w:rsidP="00937A86"/>
    <w:p w14:paraId="5F2DA8C4" w14:textId="77777777" w:rsidR="00207A1F" w:rsidRDefault="00207A1F" w:rsidP="00207A1F">
      <w:pPr>
        <w:pStyle w:val="RKrubrik"/>
      </w:pPr>
      <w:r>
        <w:t>Övriga frågor</w:t>
      </w:r>
    </w:p>
    <w:p w14:paraId="5F2DA8C5" w14:textId="77777777" w:rsidR="00717F21" w:rsidRPr="00717F21" w:rsidRDefault="00717F21" w:rsidP="00717F21">
      <w:pPr>
        <w:pStyle w:val="Liststycke"/>
        <w:rPr>
          <w:b/>
          <w:bCs/>
          <w:szCs w:val="24"/>
        </w:rPr>
      </w:pPr>
    </w:p>
    <w:p w14:paraId="5F2DA8C6" w14:textId="77777777" w:rsidR="00717F21" w:rsidRPr="00034DA7" w:rsidRDefault="00717F21" w:rsidP="00717F21">
      <w:pPr>
        <w:tabs>
          <w:tab w:val="left" w:pos="1134"/>
        </w:tabs>
        <w:rPr>
          <w:color w:val="000000"/>
          <w:szCs w:val="24"/>
          <w:rPrChange w:id="28" w:author="Helena Fridman Konstantinidou" w:date="2015-02-23T13:28:00Z">
            <w:rPr>
              <w:color w:val="000000"/>
              <w:szCs w:val="24"/>
              <w:lang w:val="en-GB"/>
            </w:rPr>
          </w:rPrChange>
        </w:rPr>
      </w:pPr>
      <w:r w:rsidRPr="00C97985">
        <w:rPr>
          <w:b/>
          <w:color w:val="000000"/>
          <w:szCs w:val="24"/>
        </w:rPr>
        <w:t>7.</w:t>
      </w:r>
      <w:r w:rsidR="00A92835" w:rsidRPr="00C97985">
        <w:rPr>
          <w:b/>
          <w:color w:val="000000"/>
          <w:szCs w:val="24"/>
        </w:rPr>
        <w:t xml:space="preserve"> </w:t>
      </w:r>
      <w:r w:rsidR="00A92835" w:rsidRPr="00034DA7">
        <w:rPr>
          <w:b/>
          <w:color w:val="000000"/>
          <w:szCs w:val="24"/>
          <w:rPrChange w:id="29" w:author="Helena Fridman Konstantinidou" w:date="2015-02-23T13:28:00Z">
            <w:rPr>
              <w:b/>
              <w:color w:val="000000"/>
              <w:szCs w:val="24"/>
              <w:lang w:val="en-GB"/>
            </w:rPr>
          </w:rPrChange>
        </w:rPr>
        <w:t>a</w:t>
      </w:r>
      <w:r w:rsidRPr="00034DA7">
        <w:rPr>
          <w:b/>
          <w:color w:val="000000"/>
          <w:szCs w:val="24"/>
          <w:rPrChange w:id="30" w:author="Helena Fridman Konstantinidou" w:date="2015-02-23T13:28:00Z">
            <w:rPr>
              <w:b/>
              <w:color w:val="000000"/>
              <w:szCs w:val="24"/>
              <w:lang w:val="en-GB"/>
            </w:rPr>
          </w:rPrChange>
        </w:rPr>
        <w:t>)</w:t>
      </w:r>
      <w:r w:rsidRPr="00034DA7">
        <w:rPr>
          <w:b/>
          <w:color w:val="000000"/>
          <w:szCs w:val="24"/>
          <w:rPrChange w:id="31" w:author="Helena Fridman Konstantinidou" w:date="2015-02-23T13:28:00Z">
            <w:rPr>
              <w:b/>
              <w:color w:val="000000"/>
              <w:szCs w:val="24"/>
              <w:lang w:val="en-GB"/>
            </w:rPr>
          </w:rPrChange>
        </w:rPr>
        <w:tab/>
        <w:t>Minska användningen av HFC (fluorkolväten)</w:t>
      </w:r>
      <w:r w:rsidRPr="00034DA7">
        <w:rPr>
          <w:color w:val="000000"/>
          <w:szCs w:val="24"/>
          <w:rPrChange w:id="32" w:author="Helena Fridman Konstantinidou" w:date="2015-02-23T13:28:00Z">
            <w:rPr>
              <w:color w:val="000000"/>
              <w:szCs w:val="24"/>
              <w:lang w:val="en-GB"/>
            </w:rPr>
          </w:rPrChange>
        </w:rPr>
        <w:t xml:space="preserve">  </w:t>
      </w:r>
    </w:p>
    <w:p w14:paraId="5F2DA8C7" w14:textId="77777777" w:rsidR="00717F21" w:rsidRPr="00034DA7" w:rsidRDefault="00717F21" w:rsidP="00717F21">
      <w:pPr>
        <w:tabs>
          <w:tab w:val="left" w:pos="1134"/>
        </w:tabs>
        <w:rPr>
          <w:bCs/>
          <w:i/>
          <w:szCs w:val="24"/>
          <w:rPrChange w:id="33" w:author="Helena Fridman Konstantinidou" w:date="2015-02-23T13:28:00Z">
            <w:rPr>
              <w:bCs/>
              <w:i/>
              <w:szCs w:val="24"/>
              <w:lang w:val="en-GB"/>
            </w:rPr>
          </w:rPrChange>
        </w:rPr>
      </w:pPr>
      <w:r w:rsidRPr="00034DA7">
        <w:rPr>
          <w:color w:val="000000"/>
          <w:szCs w:val="24"/>
          <w:rPrChange w:id="34" w:author="Helena Fridman Konstantinidou" w:date="2015-02-23T13:28:00Z">
            <w:rPr>
              <w:color w:val="000000"/>
              <w:szCs w:val="24"/>
              <w:lang w:val="en-GB"/>
            </w:rPr>
          </w:rPrChange>
        </w:rPr>
        <w:tab/>
      </w:r>
      <w:r w:rsidRPr="00034DA7">
        <w:rPr>
          <w:bCs/>
          <w:i/>
          <w:szCs w:val="24"/>
          <w:rPrChange w:id="35" w:author="Helena Fridman Konstantinidou" w:date="2015-02-23T13:28:00Z">
            <w:rPr>
              <w:bCs/>
              <w:i/>
              <w:szCs w:val="24"/>
              <w:lang w:val="en-GB"/>
            </w:rPr>
          </w:rPrChange>
        </w:rPr>
        <w:t xml:space="preserve">- </w:t>
      </w:r>
      <w:r w:rsidRPr="00034DA7">
        <w:rPr>
          <w:i/>
          <w:iCs/>
          <w:color w:val="000000"/>
          <w:szCs w:val="24"/>
          <w:rPrChange w:id="36" w:author="Helena Fridman Konstantinidou" w:date="2015-02-23T13:28:00Z">
            <w:rPr>
              <w:i/>
              <w:iCs/>
              <w:color w:val="000000"/>
              <w:szCs w:val="24"/>
              <w:lang w:val="en-GB"/>
            </w:rPr>
          </w:rPrChange>
        </w:rPr>
        <w:t>Information från kommissionen</w:t>
      </w:r>
    </w:p>
    <w:p w14:paraId="5F2DA8C8" w14:textId="77777777" w:rsidR="00717F21" w:rsidRPr="00034DA7" w:rsidRDefault="00717F21" w:rsidP="00717F21">
      <w:pPr>
        <w:rPr>
          <w:color w:val="000000"/>
          <w:szCs w:val="24"/>
          <w:rPrChange w:id="37" w:author="Helena Fridman Konstantinidou" w:date="2015-02-23T13:28:00Z">
            <w:rPr>
              <w:color w:val="000000"/>
              <w:szCs w:val="24"/>
              <w:lang w:val="en-GB"/>
            </w:rPr>
          </w:rPrChange>
        </w:rPr>
      </w:pPr>
    </w:p>
    <w:p w14:paraId="5F2DA8C9" w14:textId="635AC789" w:rsidR="00717F21" w:rsidRPr="00034DA7" w:rsidRDefault="00717F21" w:rsidP="00717F21">
      <w:pPr>
        <w:rPr>
          <w:color w:val="000000"/>
          <w:szCs w:val="24"/>
          <w:rPrChange w:id="38" w:author="Helena Fridman Konstantinidou" w:date="2015-02-23T13:28:00Z">
            <w:rPr>
              <w:color w:val="000000"/>
              <w:szCs w:val="24"/>
              <w:lang w:val="en-GB"/>
            </w:rPr>
          </w:rPrChange>
        </w:rPr>
      </w:pPr>
      <w:r w:rsidRPr="00717F21">
        <w:rPr>
          <w:iCs/>
          <w:color w:val="000000"/>
        </w:rPr>
        <w:t xml:space="preserve">Kommissionen har för avsikt att informera om arbetet med att lägga till </w:t>
      </w:r>
      <w:r w:rsidR="007B6169">
        <w:rPr>
          <w:iCs/>
          <w:color w:val="000000"/>
        </w:rPr>
        <w:t xml:space="preserve">växthusgasen </w:t>
      </w:r>
      <w:r w:rsidRPr="00717F21">
        <w:rPr>
          <w:iCs/>
          <w:color w:val="000000"/>
        </w:rPr>
        <w:t xml:space="preserve">HFC till Montrealprotokollet. </w:t>
      </w:r>
      <w:r w:rsidR="007B6169">
        <w:rPr>
          <w:iCs/>
          <w:color w:val="000000"/>
        </w:rPr>
        <w:t>I april hålls ett extrainsatt globalt möte för att förhandla om HFC. Förhandlingarna kommer att fortgå i juli i Paris och eventuella beslut fattas vid partsmötet i Dubai i november. Ett beslut innevarande år kan bli en viktig milstolpe på vägen till klimatförhandlingarna i Paris och få stor betydelse för klimatet.</w:t>
      </w:r>
    </w:p>
    <w:p w14:paraId="5F2DA8CA" w14:textId="77777777" w:rsidR="00717F21" w:rsidRPr="00717F21" w:rsidRDefault="00717F21" w:rsidP="00717F21">
      <w:pPr>
        <w:rPr>
          <w:color w:val="000000"/>
          <w:szCs w:val="24"/>
        </w:rPr>
      </w:pPr>
    </w:p>
    <w:p w14:paraId="5F2DA8CB" w14:textId="2070CFC6" w:rsidR="00717F21" w:rsidRPr="00717F21" w:rsidRDefault="00717F21" w:rsidP="00717F21">
      <w:pPr>
        <w:rPr>
          <w:color w:val="000000"/>
          <w:szCs w:val="24"/>
        </w:rPr>
      </w:pPr>
      <w:r w:rsidRPr="00717F21">
        <w:rPr>
          <w:color w:val="000000"/>
          <w:szCs w:val="24"/>
        </w:rPr>
        <w:t>Sedan 2009 har USA, Kanada och Mexiko samt Mikronesien inom ramen för Montrealprotokollet lagt fram förslag att lägga till HFC till Montrealprotokollet för att fasa ned konsumtion och produktion av HFC (fluorkolväten)</w:t>
      </w:r>
    </w:p>
    <w:p w14:paraId="5F2DA8CC" w14:textId="77777777" w:rsidR="00717F21" w:rsidRPr="00717F21" w:rsidRDefault="00717F21" w:rsidP="00717F21">
      <w:pPr>
        <w:rPr>
          <w:color w:val="000000"/>
          <w:szCs w:val="24"/>
        </w:rPr>
      </w:pPr>
    </w:p>
    <w:p w14:paraId="1A8ED914" w14:textId="583993D8" w:rsidR="007B6169" w:rsidRPr="00717F21" w:rsidRDefault="00717F21">
      <w:pPr>
        <w:rPr>
          <w:color w:val="000000"/>
          <w:szCs w:val="24"/>
        </w:rPr>
      </w:pPr>
      <w:r w:rsidRPr="00717F21">
        <w:rPr>
          <w:color w:val="000000"/>
          <w:szCs w:val="24"/>
        </w:rPr>
        <w:lastRenderedPageBreak/>
        <w:t xml:space="preserve">EU:s position är att HFC bör fasas ned genom åtaganden inom ramen för Montrealprotokollet. </w:t>
      </w:r>
      <w:r w:rsidR="0026434D">
        <w:rPr>
          <w:color w:val="000000"/>
          <w:szCs w:val="24"/>
        </w:rPr>
        <w:t>[</w:t>
      </w:r>
      <w:r w:rsidR="00EC2898">
        <w:rPr>
          <w:color w:val="000000"/>
          <w:sz w:val="26"/>
          <w:szCs w:val="24"/>
        </w:rPr>
        <w:t>]</w:t>
      </w:r>
      <w:r w:rsidRPr="00717F21">
        <w:rPr>
          <w:color w:val="000000"/>
          <w:szCs w:val="24"/>
        </w:rPr>
        <w:t xml:space="preserve">Eventuellt kommer </w:t>
      </w:r>
      <w:r w:rsidR="00D15ED3">
        <w:rPr>
          <w:color w:val="000000"/>
          <w:szCs w:val="24"/>
        </w:rPr>
        <w:t>EU</w:t>
      </w:r>
      <w:r w:rsidR="00D15ED3" w:rsidRPr="00717F21">
        <w:rPr>
          <w:color w:val="000000"/>
          <w:szCs w:val="24"/>
        </w:rPr>
        <w:t xml:space="preserve"> </w:t>
      </w:r>
      <w:r w:rsidRPr="00717F21">
        <w:rPr>
          <w:color w:val="000000"/>
          <w:szCs w:val="24"/>
        </w:rPr>
        <w:t xml:space="preserve">att lägga fram ett eget förslag till </w:t>
      </w:r>
      <w:proofErr w:type="gramStart"/>
      <w:r w:rsidRPr="00717F21">
        <w:rPr>
          <w:color w:val="000000"/>
          <w:szCs w:val="24"/>
        </w:rPr>
        <w:t xml:space="preserve">tillägg </w:t>
      </w:r>
      <w:r>
        <w:rPr>
          <w:color w:val="000000"/>
          <w:szCs w:val="24"/>
        </w:rPr>
        <w:t xml:space="preserve"> i</w:t>
      </w:r>
      <w:proofErr w:type="gramEnd"/>
      <w:r>
        <w:rPr>
          <w:color w:val="000000"/>
          <w:szCs w:val="24"/>
        </w:rPr>
        <w:t xml:space="preserve"> förhandlingarna under detta </w:t>
      </w:r>
      <w:r w:rsidRPr="00717F21">
        <w:rPr>
          <w:color w:val="000000"/>
          <w:szCs w:val="24"/>
        </w:rPr>
        <w:t xml:space="preserve">år. </w:t>
      </w:r>
    </w:p>
    <w:p w14:paraId="5F2DA8D1" w14:textId="77777777" w:rsidR="00207A1F" w:rsidRPr="00207A1F" w:rsidRDefault="00207A1F" w:rsidP="00717F21">
      <w:pPr>
        <w:pStyle w:val="RKnormal"/>
      </w:pPr>
    </w:p>
    <w:p w14:paraId="5F2DA8D2" w14:textId="77777777" w:rsidR="009D1B50" w:rsidRPr="00034DA7" w:rsidRDefault="00A92835" w:rsidP="00A92835">
      <w:pPr>
        <w:ind w:left="720" w:hanging="720"/>
        <w:rPr>
          <w:b/>
          <w:color w:val="000000"/>
          <w:szCs w:val="24"/>
          <w:rPrChange w:id="39" w:author="Helena Fridman Konstantinidou" w:date="2015-02-23T13:28:00Z">
            <w:rPr>
              <w:b/>
              <w:color w:val="000000"/>
              <w:szCs w:val="24"/>
              <w:lang w:val="en-GB"/>
            </w:rPr>
          </w:rPrChange>
        </w:rPr>
      </w:pPr>
      <w:r w:rsidRPr="00034DA7">
        <w:rPr>
          <w:b/>
          <w:color w:val="000000"/>
          <w:szCs w:val="24"/>
          <w:rPrChange w:id="40" w:author="Helena Fridman Konstantinidou" w:date="2015-02-23T13:28:00Z">
            <w:rPr>
              <w:b/>
              <w:color w:val="000000"/>
              <w:szCs w:val="24"/>
              <w:lang w:val="en-GB"/>
            </w:rPr>
          </w:rPrChange>
        </w:rPr>
        <w:t>7. b)</w:t>
      </w:r>
      <w:r w:rsidRPr="00034DA7">
        <w:rPr>
          <w:b/>
          <w:color w:val="000000"/>
          <w:szCs w:val="24"/>
          <w:rPrChange w:id="41" w:author="Helena Fridman Konstantinidou" w:date="2015-02-23T13:28:00Z">
            <w:rPr>
              <w:b/>
              <w:color w:val="000000"/>
              <w:szCs w:val="24"/>
              <w:lang w:val="en-GB"/>
            </w:rPr>
          </w:rPrChange>
        </w:rPr>
        <w:tab/>
        <w:t xml:space="preserve"> Andra ministerkonferensen om miljö och förnybar energi i dialogen för västra medelhavet</w:t>
      </w:r>
      <w:r w:rsidR="009D1B50" w:rsidRPr="00034DA7">
        <w:rPr>
          <w:b/>
          <w:color w:val="000000"/>
          <w:szCs w:val="24"/>
          <w:rPrChange w:id="42" w:author="Helena Fridman Konstantinidou" w:date="2015-02-23T13:28:00Z">
            <w:rPr>
              <w:b/>
              <w:color w:val="000000"/>
              <w:szCs w:val="24"/>
              <w:lang w:val="en-GB"/>
            </w:rPr>
          </w:rPrChange>
        </w:rPr>
        <w:t xml:space="preserve"> </w:t>
      </w:r>
    </w:p>
    <w:p w14:paraId="5F2DA8D3" w14:textId="77777777" w:rsidR="00A92835" w:rsidRPr="00034DA7" w:rsidRDefault="009D1B50" w:rsidP="009D1B50">
      <w:pPr>
        <w:ind w:left="720"/>
        <w:rPr>
          <w:b/>
          <w:i/>
          <w:color w:val="000000"/>
          <w:szCs w:val="24"/>
          <w:rPrChange w:id="43" w:author="Helena Fridman Konstantinidou" w:date="2015-02-23T13:28:00Z">
            <w:rPr>
              <w:b/>
              <w:i/>
              <w:color w:val="000000"/>
              <w:szCs w:val="24"/>
              <w:lang w:val="en-GB"/>
            </w:rPr>
          </w:rPrChange>
        </w:rPr>
      </w:pPr>
      <w:r w:rsidRPr="00034DA7">
        <w:rPr>
          <w:b/>
          <w:i/>
          <w:color w:val="000000"/>
          <w:szCs w:val="24"/>
          <w:rPrChange w:id="44" w:author="Helena Fridman Konstantinidou" w:date="2015-02-23T13:28:00Z">
            <w:rPr>
              <w:b/>
              <w:i/>
              <w:color w:val="000000"/>
              <w:szCs w:val="24"/>
              <w:lang w:val="en-GB"/>
            </w:rPr>
          </w:rPrChange>
        </w:rPr>
        <w:t xml:space="preserve">– </w:t>
      </w:r>
      <w:r w:rsidRPr="00034DA7">
        <w:rPr>
          <w:i/>
          <w:color w:val="000000"/>
          <w:szCs w:val="24"/>
          <w:rPrChange w:id="45" w:author="Helena Fridman Konstantinidou" w:date="2015-02-23T13:28:00Z">
            <w:rPr>
              <w:i/>
              <w:color w:val="000000"/>
              <w:szCs w:val="24"/>
              <w:lang w:val="en-GB"/>
            </w:rPr>
          </w:rPrChange>
        </w:rPr>
        <w:t>Information från Portugal</w:t>
      </w:r>
    </w:p>
    <w:p w14:paraId="5F2DA8D4" w14:textId="77777777" w:rsidR="00A92835" w:rsidRPr="00EC1B17" w:rsidRDefault="00A92835" w:rsidP="00A92835">
      <w:pPr>
        <w:spacing w:line="240" w:lineRule="auto"/>
        <w:rPr>
          <w:rFonts w:asciiTheme="minorHAnsi" w:hAnsiTheme="minorHAnsi"/>
          <w:i/>
          <w:sz w:val="22"/>
          <w:szCs w:val="22"/>
        </w:rPr>
      </w:pPr>
    </w:p>
    <w:p w14:paraId="5F2DA8D5" w14:textId="1FC7392E" w:rsidR="00FD0D3C" w:rsidRDefault="00A92835" w:rsidP="00A92835">
      <w:r>
        <w:t xml:space="preserve">Den andra ministerkonferensen om miljö och förnybar energi i dialogen för västra </w:t>
      </w:r>
      <w:r w:rsidR="00804FEA">
        <w:t>M</w:t>
      </w:r>
      <w:r>
        <w:t>edelhavet äger rum i Lissabon den 2-3 mars. Dialogen som inrättades 1990 omfattar Algeriet, Frankrike, Italien, Libyen, Malta, Mauretanien, Marocko, Portugal, Spanien och Tunisien. Under konferensen kommer de inbjudna ministrarna från regionen att diskutera huvudsakligen två frågor; vägen till klimatkonferensen i Paris</w:t>
      </w:r>
      <w:r w:rsidR="00804FEA">
        <w:t xml:space="preserve"> (COP21)</w:t>
      </w:r>
      <w:r>
        <w:t xml:space="preserve"> och samarbete inom områdena energieffektivisering och förnybar energi. Vid miljöministermötet kommer den portugisiska delegationen att informera om utfallet från konferensen. </w:t>
      </w:r>
    </w:p>
    <w:p w14:paraId="5F2DA8D6" w14:textId="77777777" w:rsidR="00FD0D3C" w:rsidRPr="00034DA7" w:rsidRDefault="00FD0D3C" w:rsidP="00FD0D3C">
      <w:pPr>
        <w:pStyle w:val="Rubrik1"/>
        <w:rPr>
          <w:rFonts w:ascii="OrigGarmnd BT" w:hAnsi="OrigGarmnd BT"/>
          <w:color w:val="000000"/>
          <w:kern w:val="0"/>
          <w:sz w:val="24"/>
          <w:szCs w:val="24"/>
          <w:rPrChange w:id="46" w:author="Helena Fridman Konstantinidou" w:date="2015-02-23T13:28:00Z">
            <w:rPr>
              <w:rFonts w:ascii="OrigGarmnd BT" w:hAnsi="OrigGarmnd BT"/>
              <w:color w:val="000000"/>
              <w:kern w:val="0"/>
              <w:sz w:val="24"/>
              <w:szCs w:val="24"/>
              <w:lang w:val="en-GB"/>
            </w:rPr>
          </w:rPrChange>
        </w:rPr>
      </w:pPr>
      <w:r w:rsidRPr="00034DA7">
        <w:rPr>
          <w:rFonts w:ascii="OrigGarmnd BT" w:hAnsi="OrigGarmnd BT"/>
          <w:color w:val="000000"/>
          <w:kern w:val="0"/>
          <w:sz w:val="24"/>
          <w:szCs w:val="24"/>
          <w:rPrChange w:id="47" w:author="Helena Fridman Konstantinidou" w:date="2015-02-23T13:28:00Z">
            <w:rPr>
              <w:rFonts w:ascii="OrigGarmnd BT" w:hAnsi="OrigGarmnd BT"/>
              <w:color w:val="000000"/>
              <w:kern w:val="0"/>
              <w:sz w:val="24"/>
              <w:szCs w:val="24"/>
              <w:lang w:val="en-GB"/>
            </w:rPr>
          </w:rPrChange>
        </w:rPr>
        <w:t>7 c) Hårdgöring av mark – ett ökande problem på europeisk nivå</w:t>
      </w:r>
    </w:p>
    <w:p w14:paraId="5F2DA8D7" w14:textId="77777777" w:rsidR="00FD0D3C" w:rsidRPr="00EC1B17" w:rsidRDefault="00FD0D3C" w:rsidP="00FD0D3C">
      <w:pPr>
        <w:pStyle w:val="RKnormal"/>
        <w:numPr>
          <w:ilvl w:val="0"/>
          <w:numId w:val="11"/>
        </w:numPr>
        <w:textAlignment w:val="auto"/>
        <w:rPr>
          <w:i/>
        </w:rPr>
      </w:pPr>
      <w:r w:rsidRPr="00EC1B17">
        <w:rPr>
          <w:i/>
        </w:rPr>
        <w:t>Information från Österrike</w:t>
      </w:r>
    </w:p>
    <w:p w14:paraId="5F2DA8D8" w14:textId="77777777" w:rsidR="00FD0D3C" w:rsidRDefault="00FD0D3C" w:rsidP="00FD0D3C">
      <w:pPr>
        <w:pStyle w:val="RKnormal"/>
      </w:pPr>
    </w:p>
    <w:p w14:paraId="5F2DA8D9" w14:textId="77777777" w:rsidR="00FD0D3C" w:rsidRDefault="00FD0D3C" w:rsidP="00FD0D3C">
      <w:pPr>
        <w:pStyle w:val="RKnormal"/>
      </w:pPr>
      <w:r>
        <w:t xml:space="preserve">Mot bakgrund av att 2015 är det internationella året för mark vill Österrike uppmärksamma denna fråga. Österrike efterfrågar en diskussion på miljörådet i syfte att skapa en helhetssyn på frågan om </w:t>
      </w:r>
      <w:proofErr w:type="spellStart"/>
      <w:r>
        <w:t>hårdgöring</w:t>
      </w:r>
      <w:proofErr w:type="spellEnd"/>
      <w:r>
        <w:t xml:space="preserve"> av mark, som de menar utgör ett ökande problem. Österrike pekar på ett behov av att stärka medvetenheten om </w:t>
      </w:r>
      <w:proofErr w:type="spellStart"/>
      <w:r>
        <w:t>hårdgöring</w:t>
      </w:r>
      <w:proofErr w:type="spellEnd"/>
      <w:r>
        <w:t xml:space="preserve"> av mark och påminner om den vägledning med goda exempel för att begränsa och kompensera för </w:t>
      </w:r>
      <w:proofErr w:type="spellStart"/>
      <w:r>
        <w:t>hårdgöring</w:t>
      </w:r>
      <w:proofErr w:type="spellEnd"/>
      <w:r>
        <w:t xml:space="preserve"> av mark som EU-kommissionen tagit fram i samarbete med medlemsstaterna, samt om målet om ”no </w:t>
      </w:r>
      <w:proofErr w:type="spellStart"/>
      <w:r>
        <w:t>net</w:t>
      </w:r>
      <w:proofErr w:type="spellEnd"/>
      <w:r>
        <w:t xml:space="preserve"> land </w:t>
      </w:r>
      <w:proofErr w:type="spellStart"/>
      <w:r>
        <w:t>take</w:t>
      </w:r>
      <w:proofErr w:type="spellEnd"/>
      <w:r>
        <w:t>” till 2050 som finns i EU-kommissionens förslag till färdplan för ett resurseffektivt Europa</w:t>
      </w:r>
    </w:p>
    <w:p w14:paraId="5F2DA8DA" w14:textId="77777777" w:rsidR="00FD0D3C" w:rsidRDefault="00FD0D3C" w:rsidP="00FD0D3C">
      <w:pPr>
        <w:pStyle w:val="RKnormal"/>
      </w:pPr>
    </w:p>
    <w:p w14:paraId="5F2DA8DB" w14:textId="77777777" w:rsidR="00FD0D3C" w:rsidRDefault="00FD0D3C" w:rsidP="00A92835"/>
    <w:p w14:paraId="5F2DA8DC" w14:textId="77777777" w:rsidR="00A92835" w:rsidRDefault="00A92835" w:rsidP="00A92835"/>
    <w:p w14:paraId="5F2DA8DD" w14:textId="77777777" w:rsidR="00207A1F" w:rsidRDefault="00207A1F" w:rsidP="00937A86"/>
    <w:p w14:paraId="5F2DA8DE" w14:textId="77777777" w:rsidR="00207A1F" w:rsidRPr="00DF586A" w:rsidRDefault="00207A1F" w:rsidP="00937A86"/>
    <w:sectPr w:rsidR="00207A1F" w:rsidRPr="00DF586A" w:rsidSect="00DF586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68349" w14:textId="77777777" w:rsidR="00804FEA" w:rsidRDefault="00804FEA">
      <w:r>
        <w:separator/>
      </w:r>
    </w:p>
  </w:endnote>
  <w:endnote w:type="continuationSeparator" w:id="0">
    <w:p w14:paraId="20EF6507" w14:textId="77777777" w:rsidR="00804FEA" w:rsidRDefault="00804FEA">
      <w:r>
        <w:continuationSeparator/>
      </w:r>
    </w:p>
  </w:endnote>
  <w:endnote w:type="continuationNotice" w:id="1">
    <w:p w14:paraId="6A0DFED4" w14:textId="77777777" w:rsidR="00451C92" w:rsidRDefault="00451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Bold">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C93B1" w14:textId="77777777" w:rsidR="00804FEA" w:rsidRDefault="00804FEA">
      <w:r>
        <w:separator/>
      </w:r>
    </w:p>
  </w:footnote>
  <w:footnote w:type="continuationSeparator" w:id="0">
    <w:p w14:paraId="3253A808" w14:textId="77777777" w:rsidR="00804FEA" w:rsidRDefault="00804FEA">
      <w:r>
        <w:continuationSeparator/>
      </w:r>
    </w:p>
  </w:footnote>
  <w:footnote w:type="continuationNotice" w:id="1">
    <w:p w14:paraId="64C1AC76" w14:textId="77777777" w:rsidR="00451C92" w:rsidRDefault="00451C9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A8E3" w14:textId="77777777" w:rsidR="00804FEA" w:rsidRDefault="00804FEA" w:rsidP="00DF586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34DA7">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04FEA" w14:paraId="5F2DA8E7" w14:textId="77777777">
      <w:trPr>
        <w:cantSplit/>
      </w:trPr>
      <w:tc>
        <w:tcPr>
          <w:tcW w:w="3119" w:type="dxa"/>
        </w:tcPr>
        <w:p w14:paraId="5F2DA8E4" w14:textId="77777777" w:rsidR="00804FEA" w:rsidRDefault="00804FEA" w:rsidP="00DF586A">
          <w:pPr>
            <w:pStyle w:val="Sidhuvud"/>
            <w:spacing w:line="200" w:lineRule="atLeast"/>
            <w:ind w:right="360" w:firstLine="360"/>
            <w:rPr>
              <w:rFonts w:ascii="TradeGothic" w:hAnsi="TradeGothic"/>
              <w:b/>
              <w:bCs/>
              <w:sz w:val="16"/>
            </w:rPr>
          </w:pPr>
        </w:p>
      </w:tc>
      <w:tc>
        <w:tcPr>
          <w:tcW w:w="4111" w:type="dxa"/>
          <w:tcMar>
            <w:left w:w="567" w:type="dxa"/>
          </w:tcMar>
        </w:tcPr>
        <w:p w14:paraId="5F2DA8E5" w14:textId="77777777" w:rsidR="00804FEA" w:rsidRDefault="00804FEA">
          <w:pPr>
            <w:pStyle w:val="Sidhuvud"/>
            <w:ind w:right="360"/>
          </w:pPr>
        </w:p>
      </w:tc>
      <w:tc>
        <w:tcPr>
          <w:tcW w:w="1525" w:type="dxa"/>
        </w:tcPr>
        <w:p w14:paraId="5F2DA8E6" w14:textId="77777777" w:rsidR="00804FEA" w:rsidRDefault="00804FEA">
          <w:pPr>
            <w:pStyle w:val="Sidhuvud"/>
            <w:ind w:right="360"/>
          </w:pPr>
        </w:p>
      </w:tc>
    </w:tr>
  </w:tbl>
  <w:p w14:paraId="5F2DA8E8" w14:textId="77777777" w:rsidR="00804FEA" w:rsidRDefault="00804FE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A8E9" w14:textId="77777777" w:rsidR="00804FEA" w:rsidRDefault="00804FEA" w:rsidP="00DF586A">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034DA7">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04FEA" w14:paraId="5F2DA8ED" w14:textId="77777777">
      <w:trPr>
        <w:cantSplit/>
      </w:trPr>
      <w:tc>
        <w:tcPr>
          <w:tcW w:w="3119" w:type="dxa"/>
        </w:tcPr>
        <w:p w14:paraId="5F2DA8EA" w14:textId="77777777" w:rsidR="00804FEA" w:rsidRDefault="00804FEA" w:rsidP="00DF586A">
          <w:pPr>
            <w:pStyle w:val="Sidhuvud"/>
            <w:spacing w:line="200" w:lineRule="atLeast"/>
            <w:ind w:right="360" w:firstLine="360"/>
            <w:rPr>
              <w:rFonts w:ascii="TradeGothic" w:hAnsi="TradeGothic"/>
              <w:b/>
              <w:bCs/>
              <w:sz w:val="16"/>
            </w:rPr>
          </w:pPr>
        </w:p>
      </w:tc>
      <w:tc>
        <w:tcPr>
          <w:tcW w:w="4111" w:type="dxa"/>
          <w:tcMar>
            <w:left w:w="567" w:type="dxa"/>
          </w:tcMar>
        </w:tcPr>
        <w:p w14:paraId="5F2DA8EB" w14:textId="77777777" w:rsidR="00804FEA" w:rsidRDefault="00804FEA">
          <w:pPr>
            <w:pStyle w:val="Sidhuvud"/>
            <w:ind w:right="360"/>
          </w:pPr>
        </w:p>
      </w:tc>
      <w:tc>
        <w:tcPr>
          <w:tcW w:w="1525" w:type="dxa"/>
        </w:tcPr>
        <w:p w14:paraId="5F2DA8EC" w14:textId="77777777" w:rsidR="00804FEA" w:rsidRDefault="00804FEA">
          <w:pPr>
            <w:pStyle w:val="Sidhuvud"/>
            <w:ind w:right="360"/>
          </w:pPr>
        </w:p>
      </w:tc>
    </w:tr>
  </w:tbl>
  <w:p w14:paraId="5F2DA8EE" w14:textId="77777777" w:rsidR="00804FEA" w:rsidRDefault="00804FE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A8EF" w14:textId="77777777" w:rsidR="00804FEA" w:rsidRDefault="00804FEA">
    <w:pPr>
      <w:framePr w:w="2948" w:h="1321" w:hRule="exact" w:wrap="notBeside" w:vAnchor="page" w:hAnchor="page" w:x="1362" w:y="653"/>
    </w:pPr>
    <w:r>
      <w:rPr>
        <w:noProof/>
        <w:lang w:eastAsia="sv-SE"/>
      </w:rPr>
      <w:drawing>
        <wp:inline distT="0" distB="0" distL="0" distR="0" wp14:anchorId="5F2DA8F4" wp14:editId="5F2DA8F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F2DA8F0" w14:textId="77777777" w:rsidR="00804FEA" w:rsidRPr="00DF586A" w:rsidRDefault="00804FEA">
    <w:pPr>
      <w:pStyle w:val="RKrubrik"/>
      <w:keepNext w:val="0"/>
      <w:tabs>
        <w:tab w:val="clear" w:pos="1134"/>
        <w:tab w:val="clear" w:pos="2835"/>
      </w:tabs>
      <w:spacing w:before="0" w:after="0" w:line="320" w:lineRule="atLeast"/>
      <w:rPr>
        <w:bCs/>
      </w:rPr>
    </w:pPr>
  </w:p>
  <w:p w14:paraId="5F2DA8F1" w14:textId="77777777" w:rsidR="00804FEA" w:rsidRPr="00DF586A" w:rsidRDefault="00804FEA">
    <w:pPr>
      <w:rPr>
        <w:rFonts w:ascii="TradeGothic" w:hAnsi="TradeGothic"/>
        <w:b/>
        <w:bCs/>
        <w:spacing w:val="12"/>
        <w:sz w:val="22"/>
      </w:rPr>
    </w:pPr>
  </w:p>
  <w:p w14:paraId="5F2DA8F2" w14:textId="77777777" w:rsidR="00804FEA" w:rsidRPr="00DF586A" w:rsidRDefault="00804FEA">
    <w:pPr>
      <w:pStyle w:val="RKrubrik"/>
      <w:keepNext w:val="0"/>
      <w:tabs>
        <w:tab w:val="clear" w:pos="1134"/>
        <w:tab w:val="clear" w:pos="2835"/>
      </w:tabs>
      <w:spacing w:before="0" w:after="0" w:line="320" w:lineRule="atLeast"/>
      <w:rPr>
        <w:bCs/>
      </w:rPr>
    </w:pPr>
  </w:p>
  <w:p w14:paraId="5F2DA8F3" w14:textId="77777777" w:rsidR="00804FEA" w:rsidRPr="00DF586A" w:rsidRDefault="00804FEA">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7D2C"/>
    <w:multiLevelType w:val="hybridMultilevel"/>
    <w:tmpl w:val="40FC66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B834EFB"/>
    <w:multiLevelType w:val="hybridMultilevel"/>
    <w:tmpl w:val="EA00C3C4"/>
    <w:lvl w:ilvl="0" w:tplc="1654D9AA">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F0144AA"/>
    <w:multiLevelType w:val="hybridMultilevel"/>
    <w:tmpl w:val="6B3666A0"/>
    <w:lvl w:ilvl="0" w:tplc="11F07F5C">
      <w:numFmt w:val="bullet"/>
      <w:lvlText w:val="-"/>
      <w:lvlJc w:val="left"/>
      <w:pPr>
        <w:ind w:left="720" w:hanging="360"/>
      </w:pPr>
      <w:rPr>
        <w:rFonts w:ascii="TradeGothic Bold" w:eastAsia="Times New Roman" w:hAnsi="TradeGothic Bold" w:cs="Times New Roman" w:hint="default"/>
        <w:i w:val="0"/>
        <w:sz w:val="24"/>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4D2F3D1C"/>
    <w:multiLevelType w:val="hybridMultilevel"/>
    <w:tmpl w:val="36001F9E"/>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1CA6F57"/>
    <w:multiLevelType w:val="hybridMultilevel"/>
    <w:tmpl w:val="40FC66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57D51A2"/>
    <w:multiLevelType w:val="hybridMultilevel"/>
    <w:tmpl w:val="82A8FD72"/>
    <w:lvl w:ilvl="0" w:tplc="E38E618A">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6">
    <w:nsid w:val="605E3D14"/>
    <w:multiLevelType w:val="hybridMultilevel"/>
    <w:tmpl w:val="9E362A7A"/>
    <w:lvl w:ilvl="0" w:tplc="2D2A1A3A">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CB81421"/>
    <w:multiLevelType w:val="hybridMultilevel"/>
    <w:tmpl w:val="B24449B6"/>
    <w:lvl w:ilvl="0" w:tplc="E58CF2D6">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FE97C42"/>
    <w:multiLevelType w:val="hybridMultilevel"/>
    <w:tmpl w:val="9480929E"/>
    <w:lvl w:ilvl="0" w:tplc="701675FA">
      <w:start w:val="7"/>
      <w:numFmt w:val="bullet"/>
      <w:lvlText w:val="-"/>
      <w:lvlJc w:val="left"/>
      <w:pPr>
        <w:ind w:left="1065" w:hanging="360"/>
      </w:pPr>
      <w:rPr>
        <w:rFonts w:ascii="OrigGarmnd BT" w:eastAsia="Times New Roman" w:hAnsi="OrigGarmnd BT" w:cs="Times New Roman" w:hint="default"/>
      </w:rPr>
    </w:lvl>
    <w:lvl w:ilvl="1" w:tplc="041D0003">
      <w:start w:val="1"/>
      <w:numFmt w:val="bullet"/>
      <w:lvlText w:val="o"/>
      <w:lvlJc w:val="left"/>
      <w:pPr>
        <w:ind w:left="1785" w:hanging="360"/>
      </w:pPr>
      <w:rPr>
        <w:rFonts w:ascii="Courier New" w:hAnsi="Courier New" w:cs="Courier New" w:hint="default"/>
      </w:rPr>
    </w:lvl>
    <w:lvl w:ilvl="2" w:tplc="041D0005">
      <w:start w:val="1"/>
      <w:numFmt w:val="bullet"/>
      <w:lvlText w:val=""/>
      <w:lvlJc w:val="left"/>
      <w:pPr>
        <w:ind w:left="2505" w:hanging="360"/>
      </w:pPr>
      <w:rPr>
        <w:rFonts w:ascii="Wingdings" w:hAnsi="Wingdings" w:hint="default"/>
      </w:rPr>
    </w:lvl>
    <w:lvl w:ilvl="3" w:tplc="041D0001">
      <w:start w:val="1"/>
      <w:numFmt w:val="bullet"/>
      <w:lvlText w:val=""/>
      <w:lvlJc w:val="left"/>
      <w:pPr>
        <w:ind w:left="3225" w:hanging="360"/>
      </w:pPr>
      <w:rPr>
        <w:rFonts w:ascii="Symbol" w:hAnsi="Symbol" w:hint="default"/>
      </w:rPr>
    </w:lvl>
    <w:lvl w:ilvl="4" w:tplc="041D0003">
      <w:start w:val="1"/>
      <w:numFmt w:val="bullet"/>
      <w:lvlText w:val="o"/>
      <w:lvlJc w:val="left"/>
      <w:pPr>
        <w:ind w:left="3945" w:hanging="360"/>
      </w:pPr>
      <w:rPr>
        <w:rFonts w:ascii="Courier New" w:hAnsi="Courier New" w:cs="Courier New" w:hint="default"/>
      </w:rPr>
    </w:lvl>
    <w:lvl w:ilvl="5" w:tplc="041D0005">
      <w:start w:val="1"/>
      <w:numFmt w:val="bullet"/>
      <w:lvlText w:val=""/>
      <w:lvlJc w:val="left"/>
      <w:pPr>
        <w:ind w:left="4665" w:hanging="360"/>
      </w:pPr>
      <w:rPr>
        <w:rFonts w:ascii="Wingdings" w:hAnsi="Wingdings" w:hint="default"/>
      </w:rPr>
    </w:lvl>
    <w:lvl w:ilvl="6" w:tplc="041D0001">
      <w:start w:val="1"/>
      <w:numFmt w:val="bullet"/>
      <w:lvlText w:val=""/>
      <w:lvlJc w:val="left"/>
      <w:pPr>
        <w:ind w:left="5385" w:hanging="360"/>
      </w:pPr>
      <w:rPr>
        <w:rFonts w:ascii="Symbol" w:hAnsi="Symbol" w:hint="default"/>
      </w:rPr>
    </w:lvl>
    <w:lvl w:ilvl="7" w:tplc="041D0003">
      <w:start w:val="1"/>
      <w:numFmt w:val="bullet"/>
      <w:lvlText w:val="o"/>
      <w:lvlJc w:val="left"/>
      <w:pPr>
        <w:ind w:left="6105" w:hanging="360"/>
      </w:pPr>
      <w:rPr>
        <w:rFonts w:ascii="Courier New" w:hAnsi="Courier New" w:cs="Courier New" w:hint="default"/>
      </w:rPr>
    </w:lvl>
    <w:lvl w:ilvl="8" w:tplc="041D0005">
      <w:start w:val="1"/>
      <w:numFmt w:val="bullet"/>
      <w:lvlText w:val=""/>
      <w:lvlJc w:val="left"/>
      <w:pPr>
        <w:ind w:left="6825" w:hanging="360"/>
      </w:pPr>
      <w:rPr>
        <w:rFonts w:ascii="Wingdings" w:hAnsi="Wingdings" w:hint="default"/>
      </w:rPr>
    </w:lvl>
  </w:abstractNum>
  <w:abstractNum w:abstractNumId="9">
    <w:nsid w:val="71A5041C"/>
    <w:multiLevelType w:val="hybridMultilevel"/>
    <w:tmpl w:val="940649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B583147"/>
    <w:multiLevelType w:val="hybridMultilevel"/>
    <w:tmpl w:val="3FFAA52C"/>
    <w:lvl w:ilvl="0" w:tplc="2D2A1A3A">
      <w:numFmt w:val="bullet"/>
      <w:lvlText w:val="-"/>
      <w:lvlJc w:val="left"/>
      <w:pPr>
        <w:ind w:left="1425" w:hanging="360"/>
      </w:pPr>
      <w:rPr>
        <w:rFonts w:ascii="OrigGarmnd BT" w:eastAsia="Times New Roman" w:hAnsi="OrigGarmnd BT" w:cs="Times New Roman" w:hint="default"/>
      </w:rPr>
    </w:lvl>
    <w:lvl w:ilvl="1" w:tplc="041D0003" w:tentative="1">
      <w:start w:val="1"/>
      <w:numFmt w:val="bullet"/>
      <w:lvlText w:val="o"/>
      <w:lvlJc w:val="left"/>
      <w:pPr>
        <w:ind w:left="2145" w:hanging="360"/>
      </w:pPr>
      <w:rPr>
        <w:rFonts w:ascii="Courier New" w:hAnsi="Courier New" w:cs="Courier New" w:hint="default"/>
      </w:rPr>
    </w:lvl>
    <w:lvl w:ilvl="2" w:tplc="041D0005" w:tentative="1">
      <w:start w:val="1"/>
      <w:numFmt w:val="bullet"/>
      <w:lvlText w:val=""/>
      <w:lvlJc w:val="left"/>
      <w:pPr>
        <w:ind w:left="2865" w:hanging="360"/>
      </w:pPr>
      <w:rPr>
        <w:rFonts w:ascii="Wingdings" w:hAnsi="Wingdings" w:hint="default"/>
      </w:rPr>
    </w:lvl>
    <w:lvl w:ilvl="3" w:tplc="041D0001" w:tentative="1">
      <w:start w:val="1"/>
      <w:numFmt w:val="bullet"/>
      <w:lvlText w:val=""/>
      <w:lvlJc w:val="left"/>
      <w:pPr>
        <w:ind w:left="3585" w:hanging="360"/>
      </w:pPr>
      <w:rPr>
        <w:rFonts w:ascii="Symbol" w:hAnsi="Symbol" w:hint="default"/>
      </w:rPr>
    </w:lvl>
    <w:lvl w:ilvl="4" w:tplc="041D0003" w:tentative="1">
      <w:start w:val="1"/>
      <w:numFmt w:val="bullet"/>
      <w:lvlText w:val="o"/>
      <w:lvlJc w:val="left"/>
      <w:pPr>
        <w:ind w:left="4305" w:hanging="360"/>
      </w:pPr>
      <w:rPr>
        <w:rFonts w:ascii="Courier New" w:hAnsi="Courier New" w:cs="Courier New" w:hint="default"/>
      </w:rPr>
    </w:lvl>
    <w:lvl w:ilvl="5" w:tplc="041D0005" w:tentative="1">
      <w:start w:val="1"/>
      <w:numFmt w:val="bullet"/>
      <w:lvlText w:val=""/>
      <w:lvlJc w:val="left"/>
      <w:pPr>
        <w:ind w:left="5025" w:hanging="360"/>
      </w:pPr>
      <w:rPr>
        <w:rFonts w:ascii="Wingdings" w:hAnsi="Wingdings" w:hint="default"/>
      </w:rPr>
    </w:lvl>
    <w:lvl w:ilvl="6" w:tplc="041D0001" w:tentative="1">
      <w:start w:val="1"/>
      <w:numFmt w:val="bullet"/>
      <w:lvlText w:val=""/>
      <w:lvlJc w:val="left"/>
      <w:pPr>
        <w:ind w:left="5745" w:hanging="360"/>
      </w:pPr>
      <w:rPr>
        <w:rFonts w:ascii="Symbol" w:hAnsi="Symbol" w:hint="default"/>
      </w:rPr>
    </w:lvl>
    <w:lvl w:ilvl="7" w:tplc="041D0003" w:tentative="1">
      <w:start w:val="1"/>
      <w:numFmt w:val="bullet"/>
      <w:lvlText w:val="o"/>
      <w:lvlJc w:val="left"/>
      <w:pPr>
        <w:ind w:left="6465" w:hanging="360"/>
      </w:pPr>
      <w:rPr>
        <w:rFonts w:ascii="Courier New" w:hAnsi="Courier New" w:cs="Courier New" w:hint="default"/>
      </w:rPr>
    </w:lvl>
    <w:lvl w:ilvl="8" w:tplc="041D0005" w:tentative="1">
      <w:start w:val="1"/>
      <w:numFmt w:val="bullet"/>
      <w:lvlText w:val=""/>
      <w:lvlJc w:val="left"/>
      <w:pPr>
        <w:ind w:left="7185" w:hanging="360"/>
      </w:pPr>
      <w:rPr>
        <w:rFonts w:ascii="Wingdings" w:hAnsi="Wingdings" w:hint="default"/>
      </w:rPr>
    </w:lvl>
  </w:abstractNum>
  <w:num w:numId="1">
    <w:abstractNumId w:val="7"/>
  </w:num>
  <w:num w:numId="2">
    <w:abstractNumId w:val="1"/>
  </w:num>
  <w:num w:numId="3">
    <w:abstractNumId w:val="9"/>
  </w:num>
  <w:num w:numId="4">
    <w:abstractNumId w:val="6"/>
  </w:num>
  <w:num w:numId="5">
    <w:abstractNumId w:val="10"/>
  </w:num>
  <w:num w:numId="6">
    <w:abstractNumId w:val="5"/>
  </w:num>
  <w:num w:numId="7">
    <w:abstractNumId w:val="4"/>
  </w:num>
  <w:num w:numId="8">
    <w:abstractNumId w:val="0"/>
  </w:num>
  <w:num w:numId="9">
    <w:abstractNumId w:val="3"/>
  </w:num>
  <w:num w:numId="10">
    <w:abstractNumId w:val="2"/>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a Fridman Konstantinidou">
    <w15:presenceInfo w15:providerId="AD" w15:userId="S-1-5-21-2076390139-892758886-829235722-33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6"/>
    <w:docVar w:name="docDep" w:val="11"/>
    <w:docVar w:name="docSprak" w:val="0"/>
  </w:docVars>
  <w:rsids>
    <w:rsidRoot w:val="00DF586A"/>
    <w:rsid w:val="0000161F"/>
    <w:rsid w:val="00003E5E"/>
    <w:rsid w:val="00034DA7"/>
    <w:rsid w:val="00057670"/>
    <w:rsid w:val="000854D3"/>
    <w:rsid w:val="001074E0"/>
    <w:rsid w:val="001173D7"/>
    <w:rsid w:val="00150384"/>
    <w:rsid w:val="00150F2F"/>
    <w:rsid w:val="00160901"/>
    <w:rsid w:val="001805B7"/>
    <w:rsid w:val="001B5665"/>
    <w:rsid w:val="001E7CB5"/>
    <w:rsid w:val="00207A1F"/>
    <w:rsid w:val="002635D3"/>
    <w:rsid w:val="0026434D"/>
    <w:rsid w:val="002A6497"/>
    <w:rsid w:val="002B50E0"/>
    <w:rsid w:val="00356B40"/>
    <w:rsid w:val="00367B1C"/>
    <w:rsid w:val="003A2FAD"/>
    <w:rsid w:val="00451C92"/>
    <w:rsid w:val="00464CC2"/>
    <w:rsid w:val="004A328D"/>
    <w:rsid w:val="004B0620"/>
    <w:rsid w:val="004C44D4"/>
    <w:rsid w:val="00505BB3"/>
    <w:rsid w:val="005075A6"/>
    <w:rsid w:val="0058762B"/>
    <w:rsid w:val="005C529C"/>
    <w:rsid w:val="00610149"/>
    <w:rsid w:val="00644C30"/>
    <w:rsid w:val="0064654A"/>
    <w:rsid w:val="006E4E11"/>
    <w:rsid w:val="00717F21"/>
    <w:rsid w:val="007242A3"/>
    <w:rsid w:val="007A6855"/>
    <w:rsid w:val="007B52F4"/>
    <w:rsid w:val="007B6169"/>
    <w:rsid w:val="007D5AB8"/>
    <w:rsid w:val="00804FEA"/>
    <w:rsid w:val="008C0F01"/>
    <w:rsid w:val="00903DBF"/>
    <w:rsid w:val="0092027A"/>
    <w:rsid w:val="00937A86"/>
    <w:rsid w:val="00955E31"/>
    <w:rsid w:val="00982221"/>
    <w:rsid w:val="00992E72"/>
    <w:rsid w:val="009D1B50"/>
    <w:rsid w:val="009F4DF6"/>
    <w:rsid w:val="00A1422B"/>
    <w:rsid w:val="00A807A7"/>
    <w:rsid w:val="00A80E1B"/>
    <w:rsid w:val="00A92835"/>
    <w:rsid w:val="00AF26D1"/>
    <w:rsid w:val="00BD55B2"/>
    <w:rsid w:val="00C82444"/>
    <w:rsid w:val="00C92AEB"/>
    <w:rsid w:val="00C97985"/>
    <w:rsid w:val="00CF7715"/>
    <w:rsid w:val="00D133D7"/>
    <w:rsid w:val="00D15ED3"/>
    <w:rsid w:val="00D84E30"/>
    <w:rsid w:val="00DF586A"/>
    <w:rsid w:val="00E80146"/>
    <w:rsid w:val="00E904D0"/>
    <w:rsid w:val="00EC1B17"/>
    <w:rsid w:val="00EC25F9"/>
    <w:rsid w:val="00EC2898"/>
    <w:rsid w:val="00ED583F"/>
    <w:rsid w:val="00FD0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DA860"/>
  <w15:docId w15:val="{22F32245-2486-4691-B188-3E3E2C6E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DF586A"/>
    <w:rPr>
      <w:rFonts w:ascii="OrigGarmnd BT" w:hAnsi="OrigGarmnd BT"/>
      <w:sz w:val="24"/>
      <w:lang w:eastAsia="en-US"/>
    </w:rPr>
  </w:style>
  <w:style w:type="paragraph" w:styleId="Liststycke">
    <w:name w:val="List Paragraph"/>
    <w:basedOn w:val="Normal"/>
    <w:uiPriority w:val="34"/>
    <w:qFormat/>
    <w:rsid w:val="00DF586A"/>
    <w:pPr>
      <w:overflowPunct/>
      <w:autoSpaceDE/>
      <w:autoSpaceDN/>
      <w:adjustRightInd/>
      <w:spacing w:line="240" w:lineRule="auto"/>
      <w:ind w:left="720"/>
      <w:textAlignment w:val="auto"/>
    </w:pPr>
    <w:rPr>
      <w:rFonts w:ascii="Calibri" w:eastAsia="Calibri" w:hAnsi="Calibri"/>
      <w:sz w:val="22"/>
      <w:szCs w:val="22"/>
    </w:rPr>
  </w:style>
  <w:style w:type="character" w:styleId="Kommentarsreferens">
    <w:name w:val="annotation reference"/>
    <w:rsid w:val="00DF586A"/>
    <w:rPr>
      <w:sz w:val="16"/>
      <w:szCs w:val="16"/>
    </w:rPr>
  </w:style>
  <w:style w:type="paragraph" w:styleId="Kommentarer">
    <w:name w:val="annotation text"/>
    <w:basedOn w:val="Normal"/>
    <w:link w:val="KommentarerChar"/>
    <w:rsid w:val="00DF586A"/>
    <w:pPr>
      <w:spacing w:line="240" w:lineRule="auto"/>
    </w:pPr>
    <w:rPr>
      <w:sz w:val="20"/>
    </w:rPr>
  </w:style>
  <w:style w:type="character" w:customStyle="1" w:styleId="KommentarerChar">
    <w:name w:val="Kommentarer Char"/>
    <w:basedOn w:val="Standardstycketeckensnitt"/>
    <w:link w:val="Kommentarer"/>
    <w:rsid w:val="00DF586A"/>
    <w:rPr>
      <w:rFonts w:ascii="OrigGarmnd BT" w:hAnsi="OrigGarmnd BT"/>
      <w:lang w:eastAsia="en-US"/>
    </w:rPr>
  </w:style>
  <w:style w:type="paragraph" w:styleId="Ballongtext">
    <w:name w:val="Balloon Text"/>
    <w:basedOn w:val="Normal"/>
    <w:link w:val="BallongtextChar"/>
    <w:rsid w:val="00DF586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586A"/>
    <w:rPr>
      <w:rFonts w:ascii="Tahoma" w:hAnsi="Tahoma" w:cs="Tahoma"/>
      <w:sz w:val="16"/>
      <w:szCs w:val="16"/>
      <w:lang w:eastAsia="en-US"/>
    </w:rPr>
  </w:style>
  <w:style w:type="paragraph" w:styleId="Kommentarsmne">
    <w:name w:val="annotation subject"/>
    <w:basedOn w:val="Kommentarer"/>
    <w:next w:val="Kommentarer"/>
    <w:link w:val="KommentarsmneChar"/>
    <w:rsid w:val="00D15ED3"/>
    <w:rPr>
      <w:b/>
      <w:bCs/>
    </w:rPr>
  </w:style>
  <w:style w:type="character" w:customStyle="1" w:styleId="KommentarsmneChar">
    <w:name w:val="Kommentarsämne Char"/>
    <w:basedOn w:val="KommentarerChar"/>
    <w:link w:val="Kommentarsmne"/>
    <w:rsid w:val="00D15ED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749427">
      <w:bodyDiv w:val="1"/>
      <w:marLeft w:val="0"/>
      <w:marRight w:val="0"/>
      <w:marTop w:val="0"/>
      <w:marBottom w:val="0"/>
      <w:divBdr>
        <w:top w:val="none" w:sz="0" w:space="0" w:color="auto"/>
        <w:left w:val="none" w:sz="0" w:space="0" w:color="auto"/>
        <w:bottom w:val="none" w:sz="0" w:space="0" w:color="auto"/>
        <w:right w:val="none" w:sz="0" w:space="0" w:color="auto"/>
      </w:divBdr>
    </w:div>
    <w:div w:id="1759985126">
      <w:bodyDiv w:val="1"/>
      <w:marLeft w:val="0"/>
      <w:marRight w:val="0"/>
      <w:marTop w:val="0"/>
      <w:marBottom w:val="0"/>
      <w:divBdr>
        <w:top w:val="none" w:sz="0" w:space="0" w:color="auto"/>
        <w:left w:val="none" w:sz="0" w:space="0" w:color="auto"/>
        <w:bottom w:val="none" w:sz="0" w:space="0" w:color="auto"/>
        <w:right w:val="none" w:sz="0" w:space="0" w:color="auto"/>
      </w:divBdr>
    </w:div>
    <w:div w:id="2051874054">
      <w:bodyDiv w:val="1"/>
      <w:marLeft w:val="0"/>
      <w:marRight w:val="0"/>
      <w:marTop w:val="0"/>
      <w:marBottom w:val="0"/>
      <w:divBdr>
        <w:top w:val="none" w:sz="0" w:space="0" w:color="auto"/>
        <w:left w:val="none" w:sz="0" w:space="0" w:color="auto"/>
        <w:bottom w:val="none" w:sz="0" w:space="0" w:color="auto"/>
        <w:right w:val="none" w:sz="0" w:space="0" w:color="auto"/>
      </w:divBdr>
    </w:div>
    <w:div w:id="20857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bf0e5f9-1f0b-4072-8f84-e3d930683740">3SATFRVJSNRX-2-76</_dlc_DocId>
    <_dlc_DocIdUrl xmlns="7bf0e5f9-1f0b-4072-8f84-e3d930683740">
      <Url>http://rkdhs-tillf/yta/MR6mars/_layouts/DocIdRedir.aspx?ID=3SATFRVJSNRX-2-76</Url>
      <Description>3SATFRVJSNRX-2-76</Description>
    </_dlc_DocIdUrl>
    <c9cd366cc722410295b9eacffbd73909 xmlns="7bf0e5f9-1f0b-4072-8f84-e3d930683740">
      <Terms xmlns="http://schemas.microsoft.com/office/infopath/2007/PartnerControls"/>
    </c9cd366cc722410295b9eacffbd73909>
    <Diarienummer xmlns="7bf0e5f9-1f0b-4072-8f84-e3d930683740" xsi:nil="true"/>
    <Nyckelord xmlns="7bf0e5f9-1f0b-4072-8f84-e3d930683740" xsi:nil="true"/>
    <k46d94c0acf84ab9a79866a9d8b1905f xmlns="7bf0e5f9-1f0b-4072-8f84-e3d930683740">
      <Terms xmlns="http://schemas.microsoft.com/office/infopath/2007/PartnerControls"/>
    </k46d94c0acf84ab9a79866a9d8b1905f>
    <Sekretess xmlns="7bf0e5f9-1f0b-4072-8f84-e3d930683740" xsi:nil="true"/>
    <TaxCatchAll xmlns="7bf0e5f9-1f0b-4072-8f84-e3d930683740"/>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622A032CB6EAB248A9051402419E24BE" ma:contentTypeVersion="7" ma:contentTypeDescription="Skapa ett nytt dokument." ma:contentTypeScope="" ma:versionID="b7a09b7a175cc0aaea4dc62f6e029701">
  <xsd:schema xmlns:xsd="http://www.w3.org/2001/XMLSchema" xmlns:xs="http://www.w3.org/2001/XMLSchema" xmlns:p="http://schemas.microsoft.com/office/2006/metadata/properties" xmlns:ns2="7bf0e5f9-1f0b-4072-8f84-e3d930683740" targetNamespace="http://schemas.microsoft.com/office/2006/metadata/properties" ma:root="true" ma:fieldsID="f800047ecc4992886c284deda94d5bf6" ns2:_="">
    <xsd:import namespace="7bf0e5f9-1f0b-4072-8f84-e3d930683740"/>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0e5f9-1f0b-4072-8f84-e3d93068374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7ca460e7-25a8-4d2b-9c78-23ae371a0cea}" ma:internalName="TaxCatchAll" ma:showField="CatchAllData" ma:web="7bf0e5f9-1f0b-4072-8f84-e3d93068374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7ca460e7-25a8-4d2b-9c78-23ae371a0cea}" ma:internalName="TaxCatchAllLabel" ma:readOnly="true" ma:showField="CatchAllDataLabel" ma:web="7bf0e5f9-1f0b-4072-8f84-e3d93068374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45DA-B537-4411-B44B-966A1DC779F3}">
  <ds:schemaRefs>
    <ds:schemaRef ds:uri="http://schemas.microsoft.com/office/2006/metadata/customXsn"/>
  </ds:schemaRefs>
</ds:datastoreItem>
</file>

<file path=customXml/itemProps2.xml><?xml version="1.0" encoding="utf-8"?>
<ds:datastoreItem xmlns:ds="http://schemas.openxmlformats.org/officeDocument/2006/customXml" ds:itemID="{069684A2-50CD-48A3-B468-7ACF93029758}">
  <ds:schemaRefs>
    <ds:schemaRef ds:uri="http://schemas.microsoft.com/sharepoint/events"/>
  </ds:schemaRefs>
</ds:datastoreItem>
</file>

<file path=customXml/itemProps3.xml><?xml version="1.0" encoding="utf-8"?>
<ds:datastoreItem xmlns:ds="http://schemas.openxmlformats.org/officeDocument/2006/customXml" ds:itemID="{7DCD65B7-BCA1-4D4B-A2B8-CD429D1BEA95}">
  <ds:schemaRefs>
    <ds:schemaRef ds:uri="7bf0e5f9-1f0b-4072-8f84-e3d930683740"/>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F27FD5C-19AD-4532-84B4-4C7060DBC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0e5f9-1f0b-4072-8f84-e3d930683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3833E4-BF52-4A7F-ACAB-9B82EE08C9A5}">
  <ds:schemaRefs>
    <ds:schemaRef ds:uri="http://schemas.microsoft.com/sharepoint/v3/contenttype/forms/url"/>
  </ds:schemaRefs>
</ds:datastoreItem>
</file>

<file path=customXml/itemProps6.xml><?xml version="1.0" encoding="utf-8"?>
<ds:datastoreItem xmlns:ds="http://schemas.openxmlformats.org/officeDocument/2006/customXml" ds:itemID="{2A9D706B-BC0C-4E69-A2F5-52BEC00FB053}">
  <ds:schemaRefs>
    <ds:schemaRef ds:uri="http://schemas.microsoft.com/sharepoint/v3/contenttype/forms"/>
  </ds:schemaRefs>
</ds:datastoreItem>
</file>

<file path=customXml/itemProps7.xml><?xml version="1.0" encoding="utf-8"?>
<ds:datastoreItem xmlns:ds="http://schemas.openxmlformats.org/officeDocument/2006/customXml" ds:itemID="{5DE2E0F7-F56A-4AB6-B014-E764B666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2573</Words>
  <Characters>13638</Characters>
  <Application>Microsoft Office Word</Application>
  <DocSecurity>4</DocSecurity>
  <Lines>113</Lines>
  <Paragraphs>32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Rantatalo</dc:creator>
  <cp:lastModifiedBy>Helena Fridman Konstantinidou</cp:lastModifiedBy>
  <cp:revision>2</cp:revision>
  <cp:lastPrinted>2015-02-17T08:00:00Z</cp:lastPrinted>
  <dcterms:created xsi:type="dcterms:W3CDTF">2015-02-23T12:28:00Z</dcterms:created>
  <dcterms:modified xsi:type="dcterms:W3CDTF">2015-02-23T12:28:00Z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y fmtid="{D5CDD505-2E9C-101B-9397-08002B2CF9AE}" pid="5" name="_dlc_DocIdItemGuid">
    <vt:lpwstr>abe01554-ac21-481e-8920-2c5da7e86656</vt:lpwstr>
  </property>
  <property fmtid="{D5CDD505-2E9C-101B-9397-08002B2CF9AE}" pid="6" name="ContentTypeId">
    <vt:lpwstr>0x01010053E1D612BA3F4E21AA250ECD751942B300622A032CB6EAB248A9051402419E24BE</vt:lpwstr>
  </property>
  <property fmtid="{D5CDD505-2E9C-101B-9397-08002B2CF9AE}" pid="7" name="Departementsenhet">
    <vt:lpwstr/>
  </property>
  <property fmtid="{D5CDD505-2E9C-101B-9397-08002B2CF9AE}" pid="8" name="Aktivitetskategori">
    <vt:lpwstr/>
  </property>
</Properties>
</file>