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5 mars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Äldreomsorg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urval till högskolan – urvalsgrunder, platsfördelning och tillämpning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Situationen i Israel och Palestina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Juridiska personers förvärv av lantbruksegendom genom testamente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Elektronisk inlämning av bouppteckningar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5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2026-03-05</SAFIR_Sammantradesdatum_Doc>
    <SAFIR_SammantradeID xmlns="C07A1A6C-0B19-41D9-BDF8-F523BA3921EB">e911aaf8-4230-4825-b7a3-bc18228d1d4d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BAE1E5D4-6C98-4B0F-9B95-EEFC42F01D6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5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