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62C7A302"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041991">
              <w:rPr>
                <w:b/>
                <w:sz w:val="22"/>
                <w:szCs w:val="22"/>
              </w:rPr>
              <w:t>2</w:t>
            </w:r>
            <w:r w:rsidR="000E777E" w:rsidRPr="00B40F4D">
              <w:rPr>
                <w:b/>
                <w:sz w:val="22"/>
                <w:szCs w:val="22"/>
              </w:rPr>
              <w:t>/2</w:t>
            </w:r>
            <w:r w:rsidR="00041991">
              <w:rPr>
                <w:b/>
                <w:sz w:val="22"/>
                <w:szCs w:val="22"/>
              </w:rPr>
              <w:t>3</w:t>
            </w:r>
            <w:r w:rsidR="003B57EC">
              <w:rPr>
                <w:b/>
                <w:sz w:val="22"/>
                <w:szCs w:val="22"/>
              </w:rPr>
              <w:t>:</w:t>
            </w:r>
            <w:r w:rsidR="006F544E">
              <w:rPr>
                <w:b/>
                <w:sz w:val="22"/>
                <w:szCs w:val="22"/>
              </w:rPr>
              <w:t>41</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5ACE2FC6"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BE7A1B">
              <w:rPr>
                <w:sz w:val="22"/>
                <w:szCs w:val="22"/>
              </w:rPr>
              <w:t>0</w:t>
            </w:r>
            <w:r w:rsidR="006F544E">
              <w:rPr>
                <w:sz w:val="22"/>
                <w:szCs w:val="22"/>
              </w:rPr>
              <w:t>5</w:t>
            </w:r>
            <w:r w:rsidR="00374911">
              <w:rPr>
                <w:sz w:val="22"/>
                <w:szCs w:val="22"/>
              </w:rPr>
              <w:t>-</w:t>
            </w:r>
            <w:r w:rsidR="006F544E">
              <w:rPr>
                <w:sz w:val="22"/>
                <w:szCs w:val="22"/>
              </w:rPr>
              <w:t>11</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20CCEBF2" w:rsidR="00177FF8" w:rsidRPr="00B40F4D" w:rsidRDefault="00374911" w:rsidP="00231475">
            <w:pPr>
              <w:rPr>
                <w:sz w:val="22"/>
                <w:szCs w:val="22"/>
              </w:rPr>
            </w:pPr>
            <w:r>
              <w:rPr>
                <w:sz w:val="22"/>
                <w:szCs w:val="22"/>
              </w:rPr>
              <w:t>1</w:t>
            </w:r>
            <w:r w:rsidR="005B0CF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99098C">
              <w:rPr>
                <w:sz w:val="22"/>
                <w:szCs w:val="22"/>
              </w:rPr>
              <w:t>10.20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B40F4D" w14:paraId="2BB83371" w14:textId="77777777" w:rsidTr="00C5706E">
        <w:tc>
          <w:tcPr>
            <w:tcW w:w="567" w:type="dxa"/>
          </w:tcPr>
          <w:p w14:paraId="56D30B55" w14:textId="77777777" w:rsidR="00D30A97" w:rsidRPr="00B40F4D" w:rsidRDefault="00D30A97" w:rsidP="00C5706E">
            <w:pPr>
              <w:tabs>
                <w:tab w:val="left" w:pos="1701"/>
              </w:tabs>
              <w:rPr>
                <w:b/>
                <w:snapToGrid w:val="0"/>
                <w:sz w:val="22"/>
                <w:szCs w:val="22"/>
              </w:rPr>
            </w:pPr>
            <w:r w:rsidRPr="00B40F4D">
              <w:rPr>
                <w:b/>
                <w:snapToGrid w:val="0"/>
                <w:sz w:val="22"/>
                <w:szCs w:val="22"/>
              </w:rPr>
              <w:t xml:space="preserve">§ </w:t>
            </w:r>
            <w:r w:rsidR="008E6B40">
              <w:rPr>
                <w:b/>
                <w:snapToGrid w:val="0"/>
                <w:sz w:val="22"/>
                <w:szCs w:val="22"/>
              </w:rPr>
              <w:t>1</w:t>
            </w:r>
          </w:p>
        </w:tc>
        <w:tc>
          <w:tcPr>
            <w:tcW w:w="6946" w:type="dxa"/>
            <w:gridSpan w:val="2"/>
          </w:tcPr>
          <w:p w14:paraId="7966B197" w14:textId="592A753D" w:rsidR="005D2E63" w:rsidRDefault="005D2E63" w:rsidP="005D2E63">
            <w:pPr>
              <w:tabs>
                <w:tab w:val="left" w:pos="1701"/>
              </w:tabs>
              <w:rPr>
                <w:b/>
                <w:snapToGrid w:val="0"/>
                <w:sz w:val="22"/>
                <w:szCs w:val="22"/>
              </w:rPr>
            </w:pPr>
            <w:r>
              <w:rPr>
                <w:b/>
                <w:snapToGrid w:val="0"/>
                <w:sz w:val="22"/>
                <w:szCs w:val="22"/>
              </w:rPr>
              <w:t>Justering av protokoll</w:t>
            </w:r>
          </w:p>
          <w:p w14:paraId="4CE07901" w14:textId="77AB1B48" w:rsidR="00A10EBF" w:rsidRDefault="00A10EBF" w:rsidP="005D2E63">
            <w:pPr>
              <w:tabs>
                <w:tab w:val="left" w:pos="1701"/>
              </w:tabs>
              <w:rPr>
                <w:b/>
                <w:snapToGrid w:val="0"/>
                <w:sz w:val="22"/>
                <w:szCs w:val="22"/>
              </w:rPr>
            </w:pPr>
          </w:p>
          <w:p w14:paraId="7A429576" w14:textId="0176965A" w:rsidR="006F544E" w:rsidRPr="006F544E" w:rsidRDefault="006F544E" w:rsidP="005D2E63">
            <w:pPr>
              <w:tabs>
                <w:tab w:val="left" w:pos="1701"/>
              </w:tabs>
              <w:rPr>
                <w:bCs/>
                <w:snapToGrid w:val="0"/>
                <w:sz w:val="22"/>
                <w:szCs w:val="22"/>
              </w:rPr>
            </w:pPr>
            <w:r>
              <w:rPr>
                <w:bCs/>
                <w:snapToGrid w:val="0"/>
                <w:sz w:val="22"/>
                <w:szCs w:val="22"/>
              </w:rPr>
              <w:t xml:space="preserve">Utskottet justerade protokollen 2022/23:39 och 2022/23:40. </w:t>
            </w:r>
          </w:p>
          <w:p w14:paraId="6E82D1D1" w14:textId="3EE855F8" w:rsidR="00DA2753" w:rsidRPr="00B40F4D" w:rsidRDefault="00DA2753" w:rsidP="00305501">
            <w:pPr>
              <w:rPr>
                <w:b/>
                <w:snapToGrid w:val="0"/>
                <w:sz w:val="22"/>
                <w:szCs w:val="22"/>
              </w:rPr>
            </w:pPr>
          </w:p>
        </w:tc>
      </w:tr>
      <w:tr w:rsidR="006F544E" w:rsidRPr="006E49CC" w14:paraId="6E52C060" w14:textId="77777777" w:rsidTr="00C5706E">
        <w:tc>
          <w:tcPr>
            <w:tcW w:w="567" w:type="dxa"/>
          </w:tcPr>
          <w:p w14:paraId="77E49A95" w14:textId="77777777" w:rsidR="006F544E" w:rsidRPr="006E49CC" w:rsidRDefault="006F544E" w:rsidP="00C5706E">
            <w:pPr>
              <w:tabs>
                <w:tab w:val="left" w:pos="1701"/>
              </w:tabs>
              <w:rPr>
                <w:b/>
                <w:snapToGrid w:val="0"/>
                <w:sz w:val="22"/>
                <w:szCs w:val="22"/>
              </w:rPr>
            </w:pPr>
            <w:r w:rsidRPr="006E49CC">
              <w:rPr>
                <w:b/>
                <w:snapToGrid w:val="0"/>
                <w:sz w:val="22"/>
                <w:szCs w:val="22"/>
              </w:rPr>
              <w:t>§ 2</w:t>
            </w:r>
          </w:p>
          <w:p w14:paraId="30ACE511" w14:textId="54A2780E" w:rsidR="006F544E" w:rsidRPr="006E49CC" w:rsidRDefault="006F544E" w:rsidP="00C5706E">
            <w:pPr>
              <w:tabs>
                <w:tab w:val="left" w:pos="1701"/>
              </w:tabs>
              <w:rPr>
                <w:b/>
                <w:snapToGrid w:val="0"/>
                <w:sz w:val="22"/>
                <w:szCs w:val="22"/>
              </w:rPr>
            </w:pPr>
          </w:p>
        </w:tc>
        <w:tc>
          <w:tcPr>
            <w:tcW w:w="6946" w:type="dxa"/>
            <w:gridSpan w:val="2"/>
          </w:tcPr>
          <w:p w14:paraId="20E09769" w14:textId="7112E822" w:rsidR="00406D90" w:rsidRPr="005053C7" w:rsidRDefault="006E49CC" w:rsidP="00406D90">
            <w:pPr>
              <w:tabs>
                <w:tab w:val="left" w:pos="1701"/>
              </w:tabs>
              <w:rPr>
                <w:bCs/>
                <w:snapToGrid w:val="0"/>
                <w:sz w:val="22"/>
                <w:szCs w:val="22"/>
              </w:rPr>
            </w:pPr>
            <w:r w:rsidRPr="006E49CC">
              <w:rPr>
                <w:b/>
                <w:sz w:val="22"/>
                <w:szCs w:val="22"/>
              </w:rPr>
              <w:t>Skogspolitik (MJU15)</w:t>
            </w:r>
            <w:r w:rsidR="00406D90">
              <w:rPr>
                <w:b/>
                <w:sz w:val="22"/>
                <w:szCs w:val="22"/>
              </w:rPr>
              <w:br/>
            </w:r>
            <w:r w:rsidRPr="006E49CC">
              <w:rPr>
                <w:b/>
                <w:sz w:val="22"/>
                <w:szCs w:val="22"/>
              </w:rPr>
              <w:br/>
            </w:r>
            <w:r w:rsidR="00406D90" w:rsidRPr="005053C7">
              <w:rPr>
                <w:bCs/>
                <w:snapToGrid w:val="0"/>
                <w:sz w:val="22"/>
                <w:szCs w:val="22"/>
              </w:rPr>
              <w:t xml:space="preserve">Utskottet fortsatte beredningen av motioner om </w:t>
            </w:r>
            <w:r w:rsidR="00406D90">
              <w:rPr>
                <w:bCs/>
                <w:snapToGrid w:val="0"/>
                <w:sz w:val="22"/>
                <w:szCs w:val="22"/>
              </w:rPr>
              <w:t>skogspolitik</w:t>
            </w:r>
          </w:p>
          <w:p w14:paraId="631D6D63" w14:textId="77777777" w:rsidR="00406D90" w:rsidRPr="005053C7" w:rsidRDefault="00406D90" w:rsidP="00406D90">
            <w:pPr>
              <w:tabs>
                <w:tab w:val="left" w:pos="1701"/>
              </w:tabs>
              <w:rPr>
                <w:bCs/>
                <w:snapToGrid w:val="0"/>
                <w:sz w:val="22"/>
                <w:szCs w:val="22"/>
              </w:rPr>
            </w:pPr>
          </w:p>
          <w:p w14:paraId="7AFA4B6C" w14:textId="744B4601" w:rsidR="00406D90" w:rsidRPr="005053C7" w:rsidRDefault="00406D90" w:rsidP="00406D90">
            <w:pPr>
              <w:tabs>
                <w:tab w:val="left" w:pos="1701"/>
              </w:tabs>
              <w:rPr>
                <w:bCs/>
                <w:snapToGrid w:val="0"/>
                <w:sz w:val="22"/>
                <w:szCs w:val="22"/>
              </w:rPr>
            </w:pPr>
            <w:r w:rsidRPr="005053C7">
              <w:rPr>
                <w:bCs/>
                <w:snapToGrid w:val="0"/>
                <w:sz w:val="22"/>
                <w:szCs w:val="22"/>
              </w:rPr>
              <w:t>Utskottet justerade betänkande 2022/23:MJU1</w:t>
            </w:r>
            <w:r>
              <w:rPr>
                <w:bCs/>
                <w:snapToGrid w:val="0"/>
                <w:sz w:val="22"/>
                <w:szCs w:val="22"/>
              </w:rPr>
              <w:t>5</w:t>
            </w:r>
            <w:r w:rsidRPr="005053C7">
              <w:rPr>
                <w:bCs/>
                <w:snapToGrid w:val="0"/>
                <w:sz w:val="22"/>
                <w:szCs w:val="22"/>
              </w:rPr>
              <w:t xml:space="preserve">. </w:t>
            </w:r>
          </w:p>
          <w:p w14:paraId="6F2C73FB" w14:textId="77777777" w:rsidR="00406D90" w:rsidRPr="005053C7" w:rsidRDefault="00406D90" w:rsidP="00406D90">
            <w:pPr>
              <w:tabs>
                <w:tab w:val="left" w:pos="1701"/>
              </w:tabs>
              <w:rPr>
                <w:bCs/>
                <w:snapToGrid w:val="0"/>
                <w:sz w:val="22"/>
                <w:szCs w:val="22"/>
              </w:rPr>
            </w:pPr>
          </w:p>
          <w:p w14:paraId="4FCCF96A" w14:textId="77777777" w:rsidR="006F544E" w:rsidRPr="00C65ABD" w:rsidRDefault="00406D90" w:rsidP="00C65ABD">
            <w:pPr>
              <w:tabs>
                <w:tab w:val="left" w:pos="1701"/>
              </w:tabs>
              <w:rPr>
                <w:bCs/>
                <w:snapToGrid w:val="0"/>
                <w:sz w:val="22"/>
                <w:szCs w:val="22"/>
              </w:rPr>
            </w:pPr>
            <w:r w:rsidRPr="00C65ABD">
              <w:rPr>
                <w:bCs/>
                <w:snapToGrid w:val="0"/>
                <w:sz w:val="22"/>
                <w:szCs w:val="22"/>
              </w:rPr>
              <w:t xml:space="preserve">S-, SD-, V-, C- och MP-ledamöterna anmälde reservationer. </w:t>
            </w:r>
          </w:p>
          <w:p w14:paraId="73DC87CD" w14:textId="60524925" w:rsidR="00C65ABD" w:rsidRPr="006E49CC" w:rsidRDefault="00C65ABD" w:rsidP="00C65ABD">
            <w:pPr>
              <w:tabs>
                <w:tab w:val="left" w:pos="1701"/>
              </w:tabs>
              <w:rPr>
                <w:b/>
                <w:snapToGrid w:val="0"/>
                <w:sz w:val="22"/>
                <w:szCs w:val="22"/>
              </w:rPr>
            </w:pPr>
          </w:p>
        </w:tc>
      </w:tr>
      <w:tr w:rsidR="006F544E" w:rsidRPr="006E49CC" w14:paraId="203CE307" w14:textId="77777777" w:rsidTr="00C5706E">
        <w:tc>
          <w:tcPr>
            <w:tcW w:w="567" w:type="dxa"/>
          </w:tcPr>
          <w:p w14:paraId="6AD5A50E" w14:textId="77777777" w:rsidR="006F544E" w:rsidRPr="006E49CC" w:rsidRDefault="006F544E" w:rsidP="00C5706E">
            <w:pPr>
              <w:tabs>
                <w:tab w:val="left" w:pos="1701"/>
              </w:tabs>
              <w:rPr>
                <w:b/>
                <w:snapToGrid w:val="0"/>
                <w:sz w:val="22"/>
                <w:szCs w:val="22"/>
              </w:rPr>
            </w:pPr>
            <w:r w:rsidRPr="006E49CC">
              <w:rPr>
                <w:b/>
                <w:snapToGrid w:val="0"/>
                <w:sz w:val="22"/>
                <w:szCs w:val="22"/>
              </w:rPr>
              <w:t>§ 3</w:t>
            </w:r>
          </w:p>
          <w:p w14:paraId="046B6F4C" w14:textId="59855333" w:rsidR="006F544E" w:rsidRPr="006E49CC" w:rsidRDefault="006F544E" w:rsidP="00C5706E">
            <w:pPr>
              <w:tabs>
                <w:tab w:val="left" w:pos="1701"/>
              </w:tabs>
              <w:rPr>
                <w:b/>
                <w:snapToGrid w:val="0"/>
                <w:sz w:val="22"/>
                <w:szCs w:val="22"/>
              </w:rPr>
            </w:pPr>
          </w:p>
        </w:tc>
        <w:tc>
          <w:tcPr>
            <w:tcW w:w="6946" w:type="dxa"/>
            <w:gridSpan w:val="2"/>
          </w:tcPr>
          <w:p w14:paraId="36BAE77D" w14:textId="77777777" w:rsidR="005742F7" w:rsidRDefault="006E49CC" w:rsidP="005742F7">
            <w:pPr>
              <w:tabs>
                <w:tab w:val="left" w:pos="1701"/>
              </w:tabs>
              <w:rPr>
                <w:b/>
                <w:sz w:val="22"/>
                <w:szCs w:val="22"/>
              </w:rPr>
            </w:pPr>
            <w:r w:rsidRPr="006E49CC">
              <w:rPr>
                <w:b/>
                <w:sz w:val="22"/>
                <w:szCs w:val="22"/>
              </w:rPr>
              <w:t>Klimatpolitik (MJU16)</w:t>
            </w:r>
          </w:p>
          <w:p w14:paraId="45E2C903" w14:textId="356F9E2E" w:rsidR="005742F7" w:rsidRDefault="006E49CC" w:rsidP="005742F7">
            <w:pPr>
              <w:tabs>
                <w:tab w:val="left" w:pos="1701"/>
              </w:tabs>
              <w:rPr>
                <w:bCs/>
                <w:sz w:val="22"/>
                <w:szCs w:val="22"/>
              </w:rPr>
            </w:pPr>
            <w:r w:rsidRPr="006E49CC">
              <w:rPr>
                <w:b/>
                <w:sz w:val="22"/>
                <w:szCs w:val="22"/>
              </w:rPr>
              <w:br/>
            </w:r>
            <w:r w:rsidR="005742F7">
              <w:rPr>
                <w:bCs/>
                <w:sz w:val="22"/>
                <w:szCs w:val="22"/>
              </w:rPr>
              <w:t>Utskottet fortsatte beredningen av motioner om klimatpolitik.</w:t>
            </w:r>
          </w:p>
          <w:p w14:paraId="28465A9F" w14:textId="77777777" w:rsidR="005742F7" w:rsidRDefault="005742F7" w:rsidP="005742F7">
            <w:pPr>
              <w:tabs>
                <w:tab w:val="left" w:pos="1701"/>
              </w:tabs>
              <w:rPr>
                <w:b/>
                <w:sz w:val="22"/>
                <w:szCs w:val="22"/>
              </w:rPr>
            </w:pPr>
          </w:p>
          <w:p w14:paraId="28996824" w14:textId="2E0F5A22" w:rsidR="006F544E" w:rsidRPr="006E49CC" w:rsidRDefault="005742F7" w:rsidP="005742F7">
            <w:pPr>
              <w:tabs>
                <w:tab w:val="left" w:pos="1701"/>
              </w:tabs>
              <w:rPr>
                <w:b/>
                <w:snapToGrid w:val="0"/>
                <w:sz w:val="22"/>
                <w:szCs w:val="22"/>
              </w:rPr>
            </w:pPr>
            <w:r w:rsidRPr="00464E39">
              <w:rPr>
                <w:bCs/>
                <w:sz w:val="22"/>
                <w:szCs w:val="22"/>
              </w:rPr>
              <w:t>Ärendet bordlades.</w:t>
            </w:r>
            <w:r w:rsidRPr="00464E39">
              <w:rPr>
                <w:bCs/>
                <w:sz w:val="22"/>
                <w:szCs w:val="22"/>
              </w:rPr>
              <w:br/>
            </w:r>
          </w:p>
        </w:tc>
      </w:tr>
      <w:tr w:rsidR="006F544E" w:rsidRPr="006E49CC" w14:paraId="1404B802" w14:textId="77777777" w:rsidTr="00C5706E">
        <w:tc>
          <w:tcPr>
            <w:tcW w:w="567" w:type="dxa"/>
          </w:tcPr>
          <w:p w14:paraId="07F190B0" w14:textId="77777777" w:rsidR="006F544E" w:rsidRPr="006E49CC" w:rsidRDefault="006F544E" w:rsidP="00C5706E">
            <w:pPr>
              <w:tabs>
                <w:tab w:val="left" w:pos="1701"/>
              </w:tabs>
              <w:rPr>
                <w:b/>
                <w:snapToGrid w:val="0"/>
                <w:sz w:val="22"/>
                <w:szCs w:val="22"/>
              </w:rPr>
            </w:pPr>
            <w:r w:rsidRPr="006E49CC">
              <w:rPr>
                <w:b/>
                <w:snapToGrid w:val="0"/>
                <w:sz w:val="22"/>
                <w:szCs w:val="22"/>
              </w:rPr>
              <w:t>§ 4</w:t>
            </w:r>
          </w:p>
          <w:p w14:paraId="52A677FC" w14:textId="6901DFBF" w:rsidR="006F544E" w:rsidRPr="006E49CC" w:rsidRDefault="006F544E" w:rsidP="00C5706E">
            <w:pPr>
              <w:tabs>
                <w:tab w:val="left" w:pos="1701"/>
              </w:tabs>
              <w:rPr>
                <w:b/>
                <w:snapToGrid w:val="0"/>
                <w:sz w:val="22"/>
                <w:szCs w:val="22"/>
              </w:rPr>
            </w:pPr>
          </w:p>
        </w:tc>
        <w:tc>
          <w:tcPr>
            <w:tcW w:w="6946" w:type="dxa"/>
            <w:gridSpan w:val="2"/>
          </w:tcPr>
          <w:p w14:paraId="0DD68E60" w14:textId="16B17B04" w:rsidR="005742F7" w:rsidRDefault="006E49CC" w:rsidP="005742F7">
            <w:pPr>
              <w:widowControl/>
              <w:spacing w:after="200" w:line="280" w:lineRule="exact"/>
              <w:rPr>
                <w:bCs/>
                <w:sz w:val="22"/>
                <w:szCs w:val="22"/>
              </w:rPr>
            </w:pPr>
            <w:r w:rsidRPr="006E49CC">
              <w:rPr>
                <w:b/>
                <w:sz w:val="22"/>
                <w:szCs w:val="22"/>
              </w:rPr>
              <w:t>Livsmedelspolitik (MJU18)</w:t>
            </w:r>
            <w:r w:rsidRPr="006E49CC">
              <w:rPr>
                <w:b/>
                <w:sz w:val="22"/>
                <w:szCs w:val="22"/>
              </w:rPr>
              <w:br/>
            </w:r>
            <w:r w:rsidR="005742F7">
              <w:rPr>
                <w:bCs/>
                <w:sz w:val="22"/>
                <w:szCs w:val="22"/>
              </w:rPr>
              <w:br/>
              <w:t>Utskottet inledde beredningen av motioner om livsmedelspolitik.</w:t>
            </w:r>
          </w:p>
          <w:p w14:paraId="5755DCCE" w14:textId="79FDB6BB" w:rsidR="006F544E" w:rsidRPr="006E49CC" w:rsidRDefault="005742F7" w:rsidP="005742F7">
            <w:pPr>
              <w:widowControl/>
              <w:spacing w:after="200" w:line="280" w:lineRule="exact"/>
              <w:rPr>
                <w:b/>
                <w:snapToGrid w:val="0"/>
                <w:sz w:val="22"/>
                <w:szCs w:val="22"/>
              </w:rPr>
            </w:pPr>
            <w:r w:rsidRPr="00464E39">
              <w:rPr>
                <w:bCs/>
                <w:sz w:val="22"/>
                <w:szCs w:val="22"/>
              </w:rPr>
              <w:t>Ärendet bordlades.</w:t>
            </w:r>
          </w:p>
        </w:tc>
      </w:tr>
      <w:tr w:rsidR="006F544E" w:rsidRPr="006E49CC" w14:paraId="0CF41CEC" w14:textId="77777777" w:rsidTr="00C5706E">
        <w:tc>
          <w:tcPr>
            <w:tcW w:w="567" w:type="dxa"/>
          </w:tcPr>
          <w:p w14:paraId="60822E70" w14:textId="77777777" w:rsidR="006F544E" w:rsidRPr="006E49CC" w:rsidRDefault="006F544E" w:rsidP="00C5706E">
            <w:pPr>
              <w:tabs>
                <w:tab w:val="left" w:pos="1701"/>
              </w:tabs>
              <w:rPr>
                <w:b/>
                <w:snapToGrid w:val="0"/>
                <w:sz w:val="22"/>
                <w:szCs w:val="22"/>
              </w:rPr>
            </w:pPr>
            <w:r w:rsidRPr="006E49CC">
              <w:rPr>
                <w:b/>
                <w:snapToGrid w:val="0"/>
                <w:sz w:val="22"/>
                <w:szCs w:val="22"/>
              </w:rPr>
              <w:t>§ 5</w:t>
            </w:r>
          </w:p>
          <w:p w14:paraId="2A1A5AF8" w14:textId="5FBFEA08" w:rsidR="006F544E" w:rsidRPr="006E49CC" w:rsidRDefault="006F544E" w:rsidP="00C5706E">
            <w:pPr>
              <w:tabs>
                <w:tab w:val="left" w:pos="1701"/>
              </w:tabs>
              <w:rPr>
                <w:b/>
                <w:snapToGrid w:val="0"/>
                <w:sz w:val="22"/>
                <w:szCs w:val="22"/>
              </w:rPr>
            </w:pPr>
          </w:p>
        </w:tc>
        <w:tc>
          <w:tcPr>
            <w:tcW w:w="6946" w:type="dxa"/>
            <w:gridSpan w:val="2"/>
          </w:tcPr>
          <w:p w14:paraId="7BB45AA0" w14:textId="73366794" w:rsidR="005742F7" w:rsidRDefault="006E49CC" w:rsidP="005742F7">
            <w:pPr>
              <w:widowControl/>
              <w:spacing w:after="200" w:line="280" w:lineRule="exact"/>
              <w:rPr>
                <w:bCs/>
                <w:sz w:val="22"/>
                <w:szCs w:val="22"/>
              </w:rPr>
            </w:pPr>
            <w:r w:rsidRPr="006E49CC">
              <w:rPr>
                <w:b/>
                <w:sz w:val="22"/>
                <w:szCs w:val="22"/>
              </w:rPr>
              <w:t>Vårändringsbudget för 2023</w:t>
            </w:r>
            <w:r w:rsidRPr="006E49CC">
              <w:rPr>
                <w:b/>
                <w:sz w:val="22"/>
                <w:szCs w:val="22"/>
              </w:rPr>
              <w:br/>
            </w:r>
            <w:r w:rsidR="005742F7">
              <w:rPr>
                <w:bCs/>
                <w:sz w:val="22"/>
                <w:szCs w:val="22"/>
              </w:rPr>
              <w:br/>
              <w:t xml:space="preserve">Utskottet behandlade frågan om yttrande till </w:t>
            </w:r>
            <w:r w:rsidR="005742F7" w:rsidRPr="006E49CC">
              <w:rPr>
                <w:bCs/>
                <w:sz w:val="22"/>
                <w:szCs w:val="22"/>
              </w:rPr>
              <w:t>finansutskottet</w:t>
            </w:r>
            <w:r w:rsidR="005742F7">
              <w:rPr>
                <w:bCs/>
                <w:sz w:val="22"/>
                <w:szCs w:val="22"/>
              </w:rPr>
              <w:t xml:space="preserve"> över p</w:t>
            </w:r>
            <w:r w:rsidR="005742F7" w:rsidRPr="006E49CC">
              <w:rPr>
                <w:bCs/>
                <w:sz w:val="22"/>
                <w:szCs w:val="22"/>
              </w:rPr>
              <w:t>roposition 2022/23:99</w:t>
            </w:r>
            <w:r w:rsidR="005742F7">
              <w:rPr>
                <w:bCs/>
                <w:sz w:val="22"/>
                <w:szCs w:val="22"/>
              </w:rPr>
              <w:t>.</w:t>
            </w:r>
          </w:p>
          <w:p w14:paraId="561A7850" w14:textId="77777777" w:rsidR="006F544E" w:rsidRDefault="005742F7" w:rsidP="005742F7">
            <w:pPr>
              <w:tabs>
                <w:tab w:val="left" w:pos="1701"/>
              </w:tabs>
              <w:rPr>
                <w:bCs/>
                <w:sz w:val="22"/>
                <w:szCs w:val="22"/>
              </w:rPr>
            </w:pPr>
            <w:r w:rsidRPr="005F5539">
              <w:rPr>
                <w:bCs/>
                <w:sz w:val="22"/>
                <w:szCs w:val="22"/>
              </w:rPr>
              <w:t>Utskottet beslutade att inte yttra sig.</w:t>
            </w:r>
          </w:p>
          <w:p w14:paraId="502094AA" w14:textId="7E6DD1E7" w:rsidR="005742F7" w:rsidRPr="006E49CC" w:rsidRDefault="005742F7" w:rsidP="005742F7">
            <w:pPr>
              <w:tabs>
                <w:tab w:val="left" w:pos="1701"/>
              </w:tabs>
              <w:rPr>
                <w:b/>
                <w:snapToGrid w:val="0"/>
                <w:sz w:val="22"/>
                <w:szCs w:val="22"/>
              </w:rPr>
            </w:pPr>
          </w:p>
        </w:tc>
      </w:tr>
      <w:tr w:rsidR="006E49CC" w:rsidRPr="006E49CC" w14:paraId="00A7090E" w14:textId="77777777" w:rsidTr="00C5706E">
        <w:tc>
          <w:tcPr>
            <w:tcW w:w="567" w:type="dxa"/>
          </w:tcPr>
          <w:p w14:paraId="2E9677A6" w14:textId="7C5C9527" w:rsidR="006E49CC" w:rsidRPr="006E49CC" w:rsidRDefault="006E49CC" w:rsidP="00C5706E">
            <w:pPr>
              <w:tabs>
                <w:tab w:val="left" w:pos="1701"/>
              </w:tabs>
              <w:rPr>
                <w:b/>
                <w:snapToGrid w:val="0"/>
                <w:sz w:val="22"/>
                <w:szCs w:val="22"/>
              </w:rPr>
            </w:pPr>
            <w:r w:rsidRPr="006E49CC">
              <w:rPr>
                <w:b/>
                <w:snapToGrid w:val="0"/>
                <w:sz w:val="22"/>
                <w:szCs w:val="22"/>
              </w:rPr>
              <w:t>§ 6</w:t>
            </w:r>
          </w:p>
        </w:tc>
        <w:tc>
          <w:tcPr>
            <w:tcW w:w="6946" w:type="dxa"/>
            <w:gridSpan w:val="2"/>
          </w:tcPr>
          <w:p w14:paraId="3679761B" w14:textId="628E8CA8" w:rsidR="005742F7" w:rsidRDefault="006E49CC" w:rsidP="005742F7">
            <w:pPr>
              <w:widowControl/>
              <w:spacing w:after="200" w:line="280" w:lineRule="exact"/>
              <w:rPr>
                <w:bCs/>
                <w:sz w:val="22"/>
                <w:szCs w:val="22"/>
              </w:rPr>
            </w:pPr>
            <w:r w:rsidRPr="006E49CC">
              <w:rPr>
                <w:b/>
                <w:sz w:val="22"/>
                <w:szCs w:val="22"/>
              </w:rPr>
              <w:t>Årsredovisning för staten 2022</w:t>
            </w:r>
            <w:r w:rsidRPr="006E49CC">
              <w:rPr>
                <w:b/>
                <w:sz w:val="22"/>
                <w:szCs w:val="22"/>
              </w:rPr>
              <w:br/>
            </w:r>
            <w:r w:rsidR="005742F7">
              <w:rPr>
                <w:bCs/>
                <w:sz w:val="22"/>
                <w:szCs w:val="22"/>
              </w:rPr>
              <w:br/>
              <w:t xml:space="preserve">Utskottet behandlade frågan om yttrande till </w:t>
            </w:r>
            <w:r w:rsidR="005742F7" w:rsidRPr="006E49CC">
              <w:rPr>
                <w:bCs/>
                <w:sz w:val="22"/>
                <w:szCs w:val="22"/>
              </w:rPr>
              <w:t>finansutskottet</w:t>
            </w:r>
            <w:r w:rsidR="005742F7">
              <w:rPr>
                <w:bCs/>
                <w:sz w:val="22"/>
                <w:szCs w:val="22"/>
              </w:rPr>
              <w:t xml:space="preserve"> över skrivelse 2022/23:101.</w:t>
            </w:r>
          </w:p>
          <w:p w14:paraId="5D78DC44" w14:textId="6D720C98" w:rsidR="006E49CC" w:rsidRPr="006E49CC" w:rsidRDefault="005742F7" w:rsidP="005742F7">
            <w:pPr>
              <w:widowControl/>
              <w:spacing w:after="200" w:line="280" w:lineRule="exact"/>
              <w:rPr>
                <w:b/>
                <w:sz w:val="22"/>
                <w:szCs w:val="22"/>
              </w:rPr>
            </w:pPr>
            <w:r w:rsidRPr="005F5539">
              <w:rPr>
                <w:bCs/>
                <w:sz w:val="22"/>
                <w:szCs w:val="22"/>
              </w:rPr>
              <w:t>Utskottet beslutade att inte yttra sig.</w:t>
            </w:r>
          </w:p>
        </w:tc>
      </w:tr>
      <w:tr w:rsidR="00A10EBF" w:rsidRPr="00B40F4D" w14:paraId="71073907" w14:textId="77777777" w:rsidTr="00C5706E">
        <w:tc>
          <w:tcPr>
            <w:tcW w:w="567" w:type="dxa"/>
          </w:tcPr>
          <w:p w14:paraId="50C65289" w14:textId="3E35F0B7" w:rsidR="00A10EBF" w:rsidRPr="00B40F4D" w:rsidRDefault="00A10EBF" w:rsidP="00C5706E">
            <w:pPr>
              <w:tabs>
                <w:tab w:val="left" w:pos="1701"/>
              </w:tabs>
              <w:rPr>
                <w:b/>
                <w:snapToGrid w:val="0"/>
                <w:sz w:val="22"/>
                <w:szCs w:val="22"/>
              </w:rPr>
            </w:pPr>
            <w:r>
              <w:rPr>
                <w:b/>
                <w:snapToGrid w:val="0"/>
                <w:sz w:val="22"/>
                <w:szCs w:val="22"/>
              </w:rPr>
              <w:t xml:space="preserve">§ </w:t>
            </w:r>
            <w:r w:rsidR="006E49CC">
              <w:rPr>
                <w:b/>
                <w:snapToGrid w:val="0"/>
                <w:sz w:val="22"/>
                <w:szCs w:val="22"/>
              </w:rPr>
              <w:t>7</w:t>
            </w:r>
          </w:p>
        </w:tc>
        <w:tc>
          <w:tcPr>
            <w:tcW w:w="6946" w:type="dxa"/>
            <w:gridSpan w:val="2"/>
          </w:tcPr>
          <w:p w14:paraId="2ED46BF0" w14:textId="77777777" w:rsidR="00406D90" w:rsidRPr="00C80BA0" w:rsidRDefault="006F544E" w:rsidP="00406D90">
            <w:pPr>
              <w:rPr>
                <w:rFonts w:eastAsia="Calibri"/>
                <w:bCs/>
                <w:color w:val="000000"/>
                <w:sz w:val="22"/>
                <w:szCs w:val="22"/>
                <w:lang w:eastAsia="en-US"/>
              </w:rPr>
            </w:pPr>
            <w:r>
              <w:rPr>
                <w:b/>
                <w:snapToGrid w:val="0"/>
                <w:sz w:val="22"/>
                <w:szCs w:val="22"/>
              </w:rPr>
              <w:t>Inkomna EU-dokument</w:t>
            </w:r>
            <w:r>
              <w:rPr>
                <w:b/>
                <w:snapToGrid w:val="0"/>
                <w:sz w:val="22"/>
                <w:szCs w:val="22"/>
              </w:rPr>
              <w:br/>
            </w:r>
            <w:r>
              <w:rPr>
                <w:b/>
                <w:snapToGrid w:val="0"/>
                <w:sz w:val="22"/>
                <w:szCs w:val="22"/>
              </w:rPr>
              <w:br/>
            </w:r>
            <w:r w:rsidR="00406D90" w:rsidRPr="000446CF">
              <w:rPr>
                <w:rFonts w:eastAsiaTheme="minorHAnsi"/>
                <w:bCs/>
                <w:color w:val="000000"/>
                <w:sz w:val="22"/>
                <w:szCs w:val="22"/>
                <w:lang w:eastAsia="en-US"/>
              </w:rPr>
              <w:t xml:space="preserve">Inkomna EU-dokument enligt bilaga </w:t>
            </w:r>
            <w:r w:rsidR="00406D90">
              <w:rPr>
                <w:rFonts w:eastAsiaTheme="minorHAnsi"/>
                <w:bCs/>
                <w:color w:val="000000"/>
                <w:sz w:val="22"/>
                <w:szCs w:val="22"/>
                <w:lang w:eastAsia="en-US"/>
              </w:rPr>
              <w:t>2</w:t>
            </w:r>
            <w:r w:rsidR="00406D90" w:rsidRPr="000446CF">
              <w:rPr>
                <w:rFonts w:eastAsiaTheme="minorHAnsi"/>
                <w:bCs/>
                <w:color w:val="000000"/>
                <w:sz w:val="22"/>
                <w:szCs w:val="22"/>
                <w:lang w:eastAsia="en-US"/>
              </w:rPr>
              <w:t xml:space="preserve"> anmäldes och föranledde ingen vidare åtgärd.</w:t>
            </w:r>
          </w:p>
          <w:p w14:paraId="635939B1" w14:textId="51DFF6E6" w:rsidR="002B3A62" w:rsidRDefault="002B3A62" w:rsidP="005D2E63">
            <w:pPr>
              <w:tabs>
                <w:tab w:val="left" w:pos="1701"/>
              </w:tabs>
              <w:rPr>
                <w:b/>
                <w:snapToGrid w:val="0"/>
                <w:sz w:val="22"/>
                <w:szCs w:val="22"/>
              </w:rPr>
            </w:pPr>
          </w:p>
        </w:tc>
      </w:tr>
      <w:tr w:rsidR="00FC224F" w:rsidRPr="00B40F4D" w14:paraId="2E29E3AA" w14:textId="77777777" w:rsidTr="00C5706E">
        <w:tc>
          <w:tcPr>
            <w:tcW w:w="567" w:type="dxa"/>
          </w:tcPr>
          <w:p w14:paraId="5FCE9756" w14:textId="203CA20E" w:rsidR="00FC224F" w:rsidRDefault="00FC224F" w:rsidP="00C5706E">
            <w:pPr>
              <w:tabs>
                <w:tab w:val="left" w:pos="1701"/>
              </w:tabs>
              <w:rPr>
                <w:b/>
                <w:snapToGrid w:val="0"/>
                <w:sz w:val="22"/>
                <w:szCs w:val="22"/>
              </w:rPr>
            </w:pPr>
            <w:r>
              <w:rPr>
                <w:b/>
                <w:snapToGrid w:val="0"/>
                <w:sz w:val="22"/>
                <w:szCs w:val="22"/>
              </w:rPr>
              <w:t>§ 8</w:t>
            </w:r>
          </w:p>
        </w:tc>
        <w:tc>
          <w:tcPr>
            <w:tcW w:w="6946" w:type="dxa"/>
            <w:gridSpan w:val="2"/>
          </w:tcPr>
          <w:p w14:paraId="687F8475" w14:textId="77777777" w:rsidR="00FC224F" w:rsidRPr="003C66BF" w:rsidRDefault="00FC224F" w:rsidP="00FC224F">
            <w:pPr>
              <w:tabs>
                <w:tab w:val="left" w:pos="1701"/>
              </w:tabs>
              <w:rPr>
                <w:b/>
                <w:snapToGrid w:val="0"/>
                <w:sz w:val="22"/>
                <w:szCs w:val="22"/>
              </w:rPr>
            </w:pPr>
            <w:r w:rsidRPr="003C66BF">
              <w:rPr>
                <w:b/>
                <w:snapToGrid w:val="0"/>
                <w:sz w:val="22"/>
                <w:szCs w:val="22"/>
              </w:rPr>
              <w:t>Förslag om utskottsinitiativ (S)</w:t>
            </w:r>
          </w:p>
          <w:p w14:paraId="7F097702" w14:textId="77777777" w:rsidR="00FC224F" w:rsidRPr="003C66BF" w:rsidRDefault="00FC224F" w:rsidP="00FC224F">
            <w:pPr>
              <w:tabs>
                <w:tab w:val="left" w:pos="1701"/>
              </w:tabs>
              <w:rPr>
                <w:b/>
                <w:snapToGrid w:val="0"/>
                <w:sz w:val="22"/>
                <w:szCs w:val="22"/>
              </w:rPr>
            </w:pPr>
          </w:p>
          <w:p w14:paraId="29278742" w14:textId="678F516B" w:rsidR="00FC224F" w:rsidRPr="003C66BF" w:rsidRDefault="00FC224F" w:rsidP="00FC224F">
            <w:pPr>
              <w:rPr>
                <w:bCs/>
                <w:sz w:val="22"/>
                <w:szCs w:val="22"/>
              </w:rPr>
            </w:pPr>
            <w:r w:rsidRPr="003C66BF">
              <w:rPr>
                <w:bCs/>
                <w:sz w:val="22"/>
                <w:szCs w:val="22"/>
              </w:rPr>
              <w:t xml:space="preserve">S-ledamöterna föreslog att utskottet skulle ta ett initiativ </w:t>
            </w:r>
            <w:bookmarkStart w:id="0" w:name="_Hlk134780915"/>
            <w:r w:rsidRPr="003C66BF">
              <w:rPr>
                <w:bCs/>
                <w:sz w:val="22"/>
                <w:szCs w:val="22"/>
              </w:rPr>
              <w:t>om</w:t>
            </w:r>
            <w:r>
              <w:rPr>
                <w:bCs/>
                <w:sz w:val="22"/>
                <w:szCs w:val="22"/>
              </w:rPr>
              <w:t xml:space="preserve"> att </w:t>
            </w:r>
            <w:r w:rsidRPr="00FC224F">
              <w:rPr>
                <w:sz w:val="22"/>
                <w:szCs w:val="22"/>
              </w:rPr>
              <w:t>Sverigedemokraterna och regeringen måste redovisa konsekvenserna av sänkt reduktionsplikt</w:t>
            </w:r>
            <w:bookmarkEnd w:id="0"/>
            <w:r w:rsidRPr="00FC224F">
              <w:rPr>
                <w:sz w:val="22"/>
                <w:szCs w:val="22"/>
              </w:rPr>
              <w:t>, se</w:t>
            </w:r>
            <w:r w:rsidRPr="003C66BF">
              <w:rPr>
                <w:bCs/>
                <w:sz w:val="22"/>
                <w:szCs w:val="22"/>
              </w:rPr>
              <w:t xml:space="preserve"> bilaga 2. </w:t>
            </w:r>
          </w:p>
          <w:p w14:paraId="6C7CA872" w14:textId="77777777" w:rsidR="00FC224F" w:rsidRPr="003C66BF" w:rsidRDefault="00FC224F" w:rsidP="00FC224F">
            <w:pPr>
              <w:tabs>
                <w:tab w:val="left" w:pos="1701"/>
              </w:tabs>
              <w:rPr>
                <w:bCs/>
                <w:sz w:val="22"/>
                <w:szCs w:val="22"/>
              </w:rPr>
            </w:pPr>
          </w:p>
          <w:p w14:paraId="05570378" w14:textId="77777777" w:rsidR="00FC224F" w:rsidRPr="003C66BF" w:rsidRDefault="00FC224F" w:rsidP="00FC224F">
            <w:pPr>
              <w:tabs>
                <w:tab w:val="left" w:pos="1701"/>
              </w:tabs>
              <w:rPr>
                <w:bCs/>
                <w:sz w:val="22"/>
                <w:szCs w:val="22"/>
              </w:rPr>
            </w:pPr>
            <w:r>
              <w:rPr>
                <w:bCs/>
                <w:sz w:val="22"/>
                <w:szCs w:val="22"/>
              </w:rPr>
              <w:t>Frågan</w:t>
            </w:r>
            <w:r w:rsidRPr="003C66BF">
              <w:rPr>
                <w:bCs/>
                <w:sz w:val="22"/>
                <w:szCs w:val="22"/>
              </w:rPr>
              <w:t xml:space="preserve"> bordlades. </w:t>
            </w:r>
          </w:p>
          <w:p w14:paraId="13909ED4" w14:textId="5121B206" w:rsidR="00FC224F" w:rsidRDefault="00FC224F" w:rsidP="00406D90">
            <w:pPr>
              <w:rPr>
                <w:b/>
                <w:snapToGrid w:val="0"/>
                <w:sz w:val="22"/>
                <w:szCs w:val="22"/>
              </w:rPr>
            </w:pPr>
          </w:p>
        </w:tc>
      </w:tr>
      <w:tr w:rsidR="0099098C" w:rsidRPr="00B40F4D" w14:paraId="04ED8EC0" w14:textId="77777777" w:rsidTr="00C5706E">
        <w:tc>
          <w:tcPr>
            <w:tcW w:w="567" w:type="dxa"/>
          </w:tcPr>
          <w:p w14:paraId="674D8FFA" w14:textId="490431AD" w:rsidR="0099098C" w:rsidRDefault="0099098C" w:rsidP="00C5706E">
            <w:pPr>
              <w:tabs>
                <w:tab w:val="left" w:pos="1701"/>
              </w:tabs>
              <w:rPr>
                <w:b/>
                <w:snapToGrid w:val="0"/>
                <w:sz w:val="22"/>
                <w:szCs w:val="22"/>
              </w:rPr>
            </w:pPr>
            <w:r>
              <w:rPr>
                <w:b/>
                <w:snapToGrid w:val="0"/>
                <w:sz w:val="22"/>
                <w:szCs w:val="22"/>
              </w:rPr>
              <w:t>§ 9</w:t>
            </w:r>
          </w:p>
        </w:tc>
        <w:tc>
          <w:tcPr>
            <w:tcW w:w="6946" w:type="dxa"/>
            <w:gridSpan w:val="2"/>
          </w:tcPr>
          <w:p w14:paraId="1D4907A9" w14:textId="1E6FD8B2" w:rsidR="0099098C" w:rsidRPr="00F3265F" w:rsidRDefault="00F3265F" w:rsidP="00FC224F">
            <w:pPr>
              <w:tabs>
                <w:tab w:val="left" w:pos="1701"/>
              </w:tabs>
              <w:rPr>
                <w:b/>
                <w:bCs/>
                <w:snapToGrid w:val="0"/>
                <w:sz w:val="22"/>
                <w:szCs w:val="22"/>
              </w:rPr>
            </w:pPr>
            <w:r w:rsidRPr="00E9074B">
              <w:rPr>
                <w:b/>
                <w:bCs/>
                <w:sz w:val="22"/>
                <w:szCs w:val="22"/>
              </w:rPr>
              <w:t xml:space="preserve">Information om </w:t>
            </w:r>
            <w:r w:rsidRPr="00E9074B">
              <w:rPr>
                <w:b/>
                <w:bCs/>
                <w:snapToGrid w:val="0"/>
                <w:sz w:val="22"/>
                <w:szCs w:val="22"/>
              </w:rPr>
              <w:t>biogas</w:t>
            </w:r>
            <w:r w:rsidR="00667438" w:rsidRPr="00E9074B">
              <w:rPr>
                <w:b/>
                <w:bCs/>
                <w:snapToGrid w:val="0"/>
                <w:sz w:val="22"/>
                <w:szCs w:val="22"/>
              </w:rPr>
              <w:t xml:space="preserve"> och </w:t>
            </w:r>
            <w:r w:rsidR="00667438" w:rsidRPr="00E9074B">
              <w:rPr>
                <w:b/>
                <w:bCs/>
                <w:sz w:val="22"/>
                <w:szCs w:val="22"/>
              </w:rPr>
              <w:t>gödselga</w:t>
            </w:r>
            <w:r w:rsidR="00E9074B" w:rsidRPr="00E9074B">
              <w:rPr>
                <w:b/>
                <w:bCs/>
                <w:sz w:val="22"/>
                <w:szCs w:val="22"/>
              </w:rPr>
              <w:t>s</w:t>
            </w:r>
          </w:p>
          <w:p w14:paraId="27B9E2DC" w14:textId="77777777" w:rsidR="00F3265F" w:rsidRDefault="00F3265F" w:rsidP="00FC224F">
            <w:pPr>
              <w:tabs>
                <w:tab w:val="left" w:pos="1701"/>
              </w:tabs>
              <w:rPr>
                <w:b/>
                <w:snapToGrid w:val="0"/>
                <w:sz w:val="22"/>
                <w:szCs w:val="22"/>
              </w:rPr>
            </w:pPr>
          </w:p>
          <w:p w14:paraId="56B14FAB" w14:textId="74E70C0B" w:rsidR="005E2647" w:rsidRPr="005E2647" w:rsidRDefault="0099098C" w:rsidP="00FC224F">
            <w:pPr>
              <w:tabs>
                <w:tab w:val="left" w:pos="1701"/>
              </w:tabs>
              <w:rPr>
                <w:bCs/>
                <w:snapToGrid w:val="0"/>
                <w:sz w:val="22"/>
                <w:szCs w:val="22"/>
              </w:rPr>
            </w:pPr>
            <w:r>
              <w:rPr>
                <w:bCs/>
                <w:snapToGrid w:val="0"/>
                <w:sz w:val="22"/>
                <w:szCs w:val="22"/>
              </w:rPr>
              <w:t xml:space="preserve">På förslag </w:t>
            </w:r>
            <w:r w:rsidRPr="00B96B39">
              <w:rPr>
                <w:bCs/>
                <w:snapToGrid w:val="0"/>
                <w:sz w:val="22"/>
                <w:szCs w:val="22"/>
              </w:rPr>
              <w:t xml:space="preserve">från </w:t>
            </w:r>
            <w:r w:rsidR="00B96B39">
              <w:rPr>
                <w:bCs/>
                <w:snapToGrid w:val="0"/>
                <w:sz w:val="22"/>
                <w:szCs w:val="22"/>
              </w:rPr>
              <w:t xml:space="preserve">Anna-Caren Sätherberg (S) </w:t>
            </w:r>
            <w:r w:rsidRPr="00B96B39">
              <w:rPr>
                <w:bCs/>
                <w:snapToGrid w:val="0"/>
                <w:sz w:val="22"/>
                <w:szCs w:val="22"/>
              </w:rPr>
              <w:t xml:space="preserve">beslutade utskottet att </w:t>
            </w:r>
            <w:r w:rsidR="00B96B39" w:rsidRPr="00B96B39">
              <w:rPr>
                <w:bCs/>
                <w:snapToGrid w:val="0"/>
                <w:sz w:val="22"/>
                <w:szCs w:val="22"/>
              </w:rPr>
              <w:t xml:space="preserve">bjuda in </w:t>
            </w:r>
            <w:r w:rsidR="00B96B39" w:rsidRPr="00B96B39">
              <w:rPr>
                <w:sz w:val="22"/>
                <w:szCs w:val="22"/>
              </w:rPr>
              <w:t>landsbygdsminister Peter Kullgren till utskott</w:t>
            </w:r>
            <w:r w:rsidR="00B96B39">
              <w:rPr>
                <w:sz w:val="22"/>
                <w:szCs w:val="22"/>
              </w:rPr>
              <w:t xml:space="preserve">et </w:t>
            </w:r>
            <w:r w:rsidR="00B96B39" w:rsidRPr="005E2647">
              <w:rPr>
                <w:sz w:val="22"/>
                <w:szCs w:val="22"/>
              </w:rPr>
              <w:t xml:space="preserve">för att informera om </w:t>
            </w:r>
          </w:p>
          <w:p w14:paraId="0A1A9320" w14:textId="77777777" w:rsidR="005E2647" w:rsidRPr="005E2647" w:rsidRDefault="005E2647" w:rsidP="005E2647">
            <w:pPr>
              <w:pStyle w:val="Liststycke"/>
              <w:widowControl/>
              <w:numPr>
                <w:ilvl w:val="0"/>
                <w:numId w:val="5"/>
              </w:numPr>
              <w:contextualSpacing w:val="0"/>
              <w:rPr>
                <w:sz w:val="22"/>
                <w:szCs w:val="22"/>
              </w:rPr>
            </w:pPr>
            <w:r w:rsidRPr="005E2647">
              <w:rPr>
                <w:sz w:val="22"/>
                <w:szCs w:val="22"/>
              </w:rPr>
              <w:t xml:space="preserve">arbetet med konsekvenserna för lantbruket av att Europeiska unionens tribunal ogiltigförklarat EU-kommissionens beslut om godkännande av Sveriges skattebefrielser för biogas, och </w:t>
            </w:r>
          </w:p>
          <w:p w14:paraId="388AF5FC" w14:textId="77777777" w:rsidR="005E2647" w:rsidRPr="005E2647" w:rsidRDefault="005E2647" w:rsidP="005E2647">
            <w:pPr>
              <w:pStyle w:val="Liststycke"/>
              <w:widowControl/>
              <w:numPr>
                <w:ilvl w:val="0"/>
                <w:numId w:val="5"/>
              </w:numPr>
              <w:contextualSpacing w:val="0"/>
              <w:rPr>
                <w:sz w:val="22"/>
                <w:szCs w:val="22"/>
              </w:rPr>
            </w:pPr>
            <w:r w:rsidRPr="005E2647">
              <w:rPr>
                <w:sz w:val="22"/>
                <w:szCs w:val="22"/>
              </w:rPr>
              <w:t>arbetet med konsekvenserna för lantbruket av att gödselgasstödet upphör i september 2023.</w:t>
            </w:r>
          </w:p>
          <w:p w14:paraId="166119EA" w14:textId="350F2C07" w:rsidR="005E2647" w:rsidRDefault="005E2647" w:rsidP="00FC224F">
            <w:pPr>
              <w:tabs>
                <w:tab w:val="left" w:pos="1701"/>
              </w:tabs>
              <w:rPr>
                <w:bCs/>
                <w:snapToGrid w:val="0"/>
                <w:sz w:val="22"/>
                <w:szCs w:val="22"/>
              </w:rPr>
            </w:pPr>
          </w:p>
          <w:p w14:paraId="2EFC9A6D" w14:textId="3C654921" w:rsidR="005E2647" w:rsidRDefault="005E2647" w:rsidP="005E2647">
            <w:pPr>
              <w:tabs>
                <w:tab w:val="left" w:pos="1701"/>
              </w:tabs>
              <w:rPr>
                <w:bCs/>
                <w:snapToGrid w:val="0"/>
                <w:sz w:val="22"/>
                <w:szCs w:val="22"/>
              </w:rPr>
            </w:pPr>
            <w:r w:rsidRPr="005E2647">
              <w:rPr>
                <w:sz w:val="22"/>
                <w:szCs w:val="22"/>
              </w:rPr>
              <w:t>Utskottet beslutade att</w:t>
            </w:r>
            <w:r w:rsidRPr="005E2647">
              <w:rPr>
                <w:bCs/>
                <w:snapToGrid w:val="0"/>
                <w:sz w:val="22"/>
                <w:szCs w:val="22"/>
              </w:rPr>
              <w:t xml:space="preserve"> även bjuda in skatteutskottets ledamöter till de</w:t>
            </w:r>
            <w:r>
              <w:rPr>
                <w:bCs/>
                <w:snapToGrid w:val="0"/>
                <w:sz w:val="22"/>
                <w:szCs w:val="22"/>
              </w:rPr>
              <w:t>nn</w:t>
            </w:r>
            <w:r w:rsidRPr="005E2647">
              <w:rPr>
                <w:bCs/>
                <w:snapToGrid w:val="0"/>
                <w:sz w:val="22"/>
                <w:szCs w:val="22"/>
              </w:rPr>
              <w:t xml:space="preserve">a </w:t>
            </w:r>
            <w:r>
              <w:rPr>
                <w:bCs/>
                <w:snapToGrid w:val="0"/>
                <w:sz w:val="22"/>
                <w:szCs w:val="22"/>
              </w:rPr>
              <w:t>informations</w:t>
            </w:r>
            <w:r w:rsidRPr="005E2647">
              <w:rPr>
                <w:bCs/>
                <w:snapToGrid w:val="0"/>
                <w:sz w:val="22"/>
                <w:szCs w:val="22"/>
              </w:rPr>
              <w:t>punkt.</w:t>
            </w:r>
          </w:p>
          <w:p w14:paraId="25994B61" w14:textId="30F196EB" w:rsidR="0099098C" w:rsidRPr="0099098C" w:rsidRDefault="0099098C" w:rsidP="00FC224F">
            <w:pPr>
              <w:tabs>
                <w:tab w:val="left" w:pos="1701"/>
              </w:tabs>
              <w:rPr>
                <w:bCs/>
                <w:snapToGrid w:val="0"/>
                <w:sz w:val="22"/>
                <w:szCs w:val="22"/>
              </w:rPr>
            </w:pPr>
          </w:p>
        </w:tc>
      </w:tr>
      <w:tr w:rsidR="0099098C" w:rsidRPr="00B40F4D" w14:paraId="03A8CFB3" w14:textId="77777777" w:rsidTr="00C5706E">
        <w:tc>
          <w:tcPr>
            <w:tcW w:w="567" w:type="dxa"/>
          </w:tcPr>
          <w:p w14:paraId="5EEB980D" w14:textId="054D4499" w:rsidR="0099098C" w:rsidRDefault="0099098C" w:rsidP="00C5706E">
            <w:pPr>
              <w:tabs>
                <w:tab w:val="left" w:pos="1701"/>
              </w:tabs>
              <w:rPr>
                <w:b/>
                <w:snapToGrid w:val="0"/>
                <w:sz w:val="22"/>
                <w:szCs w:val="22"/>
              </w:rPr>
            </w:pPr>
            <w:r>
              <w:rPr>
                <w:b/>
                <w:snapToGrid w:val="0"/>
                <w:sz w:val="22"/>
                <w:szCs w:val="22"/>
              </w:rPr>
              <w:t>§ 10</w:t>
            </w:r>
          </w:p>
        </w:tc>
        <w:tc>
          <w:tcPr>
            <w:tcW w:w="6946" w:type="dxa"/>
            <w:gridSpan w:val="2"/>
          </w:tcPr>
          <w:p w14:paraId="390CAFF7" w14:textId="65ACCBED" w:rsidR="0099098C" w:rsidRDefault="0099098C" w:rsidP="00FC224F">
            <w:pPr>
              <w:tabs>
                <w:tab w:val="left" w:pos="1701"/>
              </w:tabs>
              <w:rPr>
                <w:b/>
                <w:snapToGrid w:val="0"/>
                <w:sz w:val="22"/>
                <w:szCs w:val="22"/>
              </w:rPr>
            </w:pPr>
            <w:r>
              <w:rPr>
                <w:b/>
                <w:snapToGrid w:val="0"/>
                <w:sz w:val="22"/>
                <w:szCs w:val="22"/>
              </w:rPr>
              <w:t xml:space="preserve">Information </w:t>
            </w:r>
            <w:r w:rsidR="00307E8F">
              <w:rPr>
                <w:b/>
                <w:snapToGrid w:val="0"/>
                <w:sz w:val="22"/>
                <w:szCs w:val="22"/>
              </w:rPr>
              <w:t xml:space="preserve">om </w:t>
            </w:r>
            <w:r w:rsidR="00307E8F" w:rsidRPr="00307E8F">
              <w:rPr>
                <w:b/>
                <w:snapToGrid w:val="0"/>
                <w:sz w:val="22"/>
                <w:szCs w:val="22"/>
              </w:rPr>
              <w:t>delbetänkandet Tillfälligt miljötillstånd för samhälls</w:t>
            </w:r>
            <w:r w:rsidR="00307E8F">
              <w:rPr>
                <w:b/>
                <w:snapToGrid w:val="0"/>
                <w:sz w:val="22"/>
                <w:szCs w:val="22"/>
              </w:rPr>
              <w:t>-</w:t>
            </w:r>
            <w:r w:rsidR="00307E8F" w:rsidRPr="00307E8F">
              <w:rPr>
                <w:b/>
                <w:snapToGrid w:val="0"/>
                <w:sz w:val="22"/>
                <w:szCs w:val="22"/>
              </w:rPr>
              <w:t xml:space="preserve">viktig verksamhet </w:t>
            </w:r>
          </w:p>
          <w:p w14:paraId="1D52F5E9" w14:textId="77777777" w:rsidR="0099098C" w:rsidRDefault="0099098C" w:rsidP="00FC224F">
            <w:pPr>
              <w:tabs>
                <w:tab w:val="left" w:pos="1701"/>
              </w:tabs>
              <w:rPr>
                <w:b/>
                <w:snapToGrid w:val="0"/>
                <w:sz w:val="22"/>
                <w:szCs w:val="22"/>
              </w:rPr>
            </w:pPr>
          </w:p>
          <w:p w14:paraId="60C6EDCF" w14:textId="77777777" w:rsidR="0099098C" w:rsidRDefault="00307E8F" w:rsidP="003227DB">
            <w:pPr>
              <w:tabs>
                <w:tab w:val="left" w:pos="1701"/>
              </w:tabs>
              <w:rPr>
                <w:bCs/>
                <w:sz w:val="22"/>
                <w:szCs w:val="22"/>
              </w:rPr>
            </w:pPr>
            <w:r>
              <w:rPr>
                <w:bCs/>
                <w:snapToGrid w:val="0"/>
                <w:sz w:val="22"/>
                <w:szCs w:val="22"/>
              </w:rPr>
              <w:t xml:space="preserve">Kanslichefen anmälde att </w:t>
            </w:r>
            <w:r w:rsidR="0099098C">
              <w:rPr>
                <w:bCs/>
                <w:snapToGrid w:val="0"/>
                <w:sz w:val="22"/>
                <w:szCs w:val="22"/>
              </w:rPr>
              <w:t xml:space="preserve">statssekreterare Sara Modig, klimat- och näringslivsdepartementet, </w:t>
            </w:r>
            <w:r>
              <w:rPr>
                <w:bCs/>
                <w:snapToGrid w:val="0"/>
                <w:sz w:val="22"/>
                <w:szCs w:val="22"/>
              </w:rPr>
              <w:t xml:space="preserve">kommer till </w:t>
            </w:r>
            <w:r w:rsidR="0099098C">
              <w:rPr>
                <w:bCs/>
                <w:snapToGrid w:val="0"/>
                <w:sz w:val="22"/>
                <w:szCs w:val="22"/>
              </w:rPr>
              <w:t>utskottet</w:t>
            </w:r>
            <w:r>
              <w:rPr>
                <w:bCs/>
                <w:snapToGrid w:val="0"/>
                <w:sz w:val="22"/>
                <w:szCs w:val="22"/>
              </w:rPr>
              <w:t xml:space="preserve"> torsdagen den 1 juni för att </w:t>
            </w:r>
            <w:r w:rsidRPr="005D6CDC">
              <w:rPr>
                <w:bCs/>
                <w:sz w:val="22"/>
                <w:szCs w:val="22"/>
              </w:rPr>
              <w:t>informera om arbetet med delbetänkandet Tillfälligt miljötillstånd för samhällsviktig verksamhet – för ökad försörjningsberedskap (SOU 2023:11) från Utredningen om näringslivets försörjningsberedskap</w:t>
            </w:r>
            <w:r>
              <w:rPr>
                <w:bCs/>
                <w:sz w:val="22"/>
                <w:szCs w:val="22"/>
              </w:rPr>
              <w:t>.</w:t>
            </w:r>
            <w:r w:rsidR="00F760FF">
              <w:rPr>
                <w:bCs/>
                <w:sz w:val="22"/>
                <w:szCs w:val="22"/>
              </w:rPr>
              <w:t xml:space="preserve"> </w:t>
            </w:r>
          </w:p>
          <w:p w14:paraId="0F351D11" w14:textId="7EAD7DFA" w:rsidR="003227DB" w:rsidRDefault="003227DB" w:rsidP="003227DB">
            <w:pPr>
              <w:tabs>
                <w:tab w:val="left" w:pos="1701"/>
              </w:tabs>
              <w:rPr>
                <w:b/>
                <w:snapToGrid w:val="0"/>
                <w:sz w:val="22"/>
                <w:szCs w:val="22"/>
              </w:rPr>
            </w:pPr>
          </w:p>
        </w:tc>
      </w:tr>
      <w:tr w:rsidR="005D2E63" w:rsidRPr="00307E8F" w14:paraId="04022D5C" w14:textId="77777777" w:rsidTr="00201DCD">
        <w:tc>
          <w:tcPr>
            <w:tcW w:w="567" w:type="dxa"/>
          </w:tcPr>
          <w:p w14:paraId="790F3247" w14:textId="2F384F4C" w:rsidR="005D2E63" w:rsidRPr="00307E8F" w:rsidRDefault="00DA2753" w:rsidP="00201DCD">
            <w:pPr>
              <w:tabs>
                <w:tab w:val="left" w:pos="1701"/>
              </w:tabs>
              <w:rPr>
                <w:b/>
                <w:snapToGrid w:val="0"/>
                <w:sz w:val="22"/>
                <w:szCs w:val="22"/>
              </w:rPr>
            </w:pPr>
            <w:r w:rsidRPr="00307E8F">
              <w:rPr>
                <w:b/>
                <w:snapToGrid w:val="0"/>
                <w:sz w:val="22"/>
                <w:szCs w:val="22"/>
              </w:rPr>
              <w:t xml:space="preserve">§ </w:t>
            </w:r>
            <w:r w:rsidR="0099098C" w:rsidRPr="00307E8F">
              <w:rPr>
                <w:b/>
                <w:snapToGrid w:val="0"/>
                <w:sz w:val="22"/>
                <w:szCs w:val="22"/>
              </w:rPr>
              <w:t>11</w:t>
            </w:r>
          </w:p>
        </w:tc>
        <w:tc>
          <w:tcPr>
            <w:tcW w:w="6946" w:type="dxa"/>
            <w:gridSpan w:val="2"/>
          </w:tcPr>
          <w:p w14:paraId="022407E7" w14:textId="4F42E6EB" w:rsidR="0099098C" w:rsidRDefault="0099098C" w:rsidP="00201DCD">
            <w:pPr>
              <w:rPr>
                <w:bCs/>
                <w:color w:val="000000"/>
                <w:sz w:val="22"/>
                <w:szCs w:val="22"/>
              </w:rPr>
            </w:pPr>
            <w:r w:rsidRPr="00307E8F">
              <w:rPr>
                <w:rFonts w:eastAsiaTheme="minorHAnsi"/>
                <w:b/>
                <w:bCs/>
                <w:color w:val="000000"/>
                <w:sz w:val="22"/>
                <w:szCs w:val="22"/>
                <w:lang w:eastAsia="en-US"/>
              </w:rPr>
              <w:t xml:space="preserve">Digitalt förmöte inför </w:t>
            </w:r>
            <w:r w:rsidR="00F3265F" w:rsidRPr="00F3265F">
              <w:rPr>
                <w:b/>
                <w:color w:val="000000"/>
                <w:sz w:val="22"/>
                <w:szCs w:val="22"/>
              </w:rPr>
              <w:t>klimatkonventionens 28:e partsmöte</w:t>
            </w:r>
            <w:r w:rsidR="00F3265F">
              <w:rPr>
                <w:b/>
                <w:color w:val="000000"/>
                <w:sz w:val="22"/>
                <w:szCs w:val="22"/>
              </w:rPr>
              <w:t>, COP28</w:t>
            </w:r>
          </w:p>
          <w:p w14:paraId="198AFEDC" w14:textId="77777777" w:rsidR="00F3265F" w:rsidRPr="00307E8F" w:rsidRDefault="00F3265F" w:rsidP="00201DCD">
            <w:pPr>
              <w:rPr>
                <w:rFonts w:eastAsiaTheme="minorHAnsi"/>
                <w:b/>
                <w:bCs/>
                <w:color w:val="000000"/>
                <w:sz w:val="22"/>
                <w:szCs w:val="22"/>
                <w:lang w:eastAsia="en-US"/>
              </w:rPr>
            </w:pPr>
          </w:p>
          <w:p w14:paraId="2F82D7AB" w14:textId="48F2C3DB" w:rsidR="006E49CC" w:rsidRPr="00F3265F" w:rsidRDefault="00307E8F" w:rsidP="00F3265F">
            <w:pPr>
              <w:rPr>
                <w:rFonts w:ascii="Arial" w:hAnsi="Arial" w:cs="Arial"/>
                <w:sz w:val="20"/>
              </w:rPr>
            </w:pPr>
            <w:r w:rsidRPr="00307E8F">
              <w:rPr>
                <w:rFonts w:eastAsiaTheme="minorHAnsi"/>
                <w:color w:val="000000"/>
                <w:sz w:val="22"/>
                <w:szCs w:val="22"/>
                <w:lang w:eastAsia="en-US"/>
              </w:rPr>
              <w:t xml:space="preserve">Kanslichefen anmälde en inbjudan från </w:t>
            </w:r>
            <w:r w:rsidR="00F3265F">
              <w:rPr>
                <w:rFonts w:eastAsiaTheme="minorHAnsi"/>
                <w:color w:val="000000"/>
                <w:sz w:val="22"/>
                <w:szCs w:val="22"/>
                <w:lang w:eastAsia="en-US"/>
              </w:rPr>
              <w:t xml:space="preserve">Interparlamentariska unionen, IPU, om ett digitalt förberedande möte </w:t>
            </w:r>
            <w:r w:rsidR="00F3265F" w:rsidRPr="00F3265F">
              <w:rPr>
                <w:rFonts w:eastAsiaTheme="minorHAnsi"/>
                <w:color w:val="000000"/>
                <w:sz w:val="22"/>
                <w:szCs w:val="22"/>
                <w:lang w:eastAsia="en-US"/>
              </w:rPr>
              <w:t>inför</w:t>
            </w:r>
            <w:r w:rsidR="006E49CC" w:rsidRPr="00F3265F">
              <w:rPr>
                <w:rFonts w:eastAsiaTheme="minorHAnsi"/>
                <w:color w:val="000000"/>
                <w:sz w:val="22"/>
                <w:szCs w:val="22"/>
                <w:lang w:eastAsia="en-US"/>
              </w:rPr>
              <w:t xml:space="preserve"> COP28</w:t>
            </w:r>
            <w:r w:rsidR="00F3265F" w:rsidRPr="00F3265F">
              <w:rPr>
                <w:rFonts w:eastAsiaTheme="minorHAnsi"/>
                <w:color w:val="000000"/>
                <w:sz w:val="22"/>
                <w:szCs w:val="22"/>
                <w:lang w:eastAsia="en-US"/>
              </w:rPr>
              <w:t xml:space="preserve">. Mötet äger rum torsdagen den </w:t>
            </w:r>
            <w:r w:rsidR="006E49CC" w:rsidRPr="00F3265F">
              <w:rPr>
                <w:rFonts w:eastAsiaTheme="minorHAnsi"/>
                <w:color w:val="000000"/>
                <w:sz w:val="22"/>
                <w:szCs w:val="22"/>
                <w:lang w:eastAsia="en-US"/>
              </w:rPr>
              <w:t xml:space="preserve">25 </w:t>
            </w:r>
            <w:r w:rsidR="00F3265F" w:rsidRPr="00F3265F">
              <w:rPr>
                <w:rFonts w:eastAsiaTheme="minorHAnsi"/>
                <w:color w:val="000000"/>
                <w:sz w:val="22"/>
                <w:szCs w:val="22"/>
                <w:lang w:eastAsia="en-US"/>
              </w:rPr>
              <w:t>maj</w:t>
            </w:r>
            <w:r w:rsidR="006E49CC" w:rsidRPr="00F3265F">
              <w:rPr>
                <w:rFonts w:eastAsiaTheme="minorHAnsi"/>
                <w:color w:val="000000"/>
                <w:sz w:val="22"/>
                <w:szCs w:val="22"/>
                <w:lang w:eastAsia="en-US"/>
              </w:rPr>
              <w:t xml:space="preserve"> 2023</w:t>
            </w:r>
            <w:r w:rsidR="00F3265F" w:rsidRPr="00F3265F">
              <w:rPr>
                <w:rFonts w:eastAsiaTheme="minorHAnsi"/>
                <w:color w:val="000000"/>
                <w:sz w:val="22"/>
                <w:szCs w:val="22"/>
                <w:lang w:eastAsia="en-US"/>
              </w:rPr>
              <w:t xml:space="preserve"> kl. </w:t>
            </w:r>
            <w:r w:rsidR="006E49CC" w:rsidRPr="00F3265F">
              <w:rPr>
                <w:rFonts w:eastAsiaTheme="minorHAnsi"/>
                <w:color w:val="000000"/>
                <w:sz w:val="22"/>
                <w:szCs w:val="22"/>
                <w:lang w:eastAsia="en-US"/>
              </w:rPr>
              <w:t>13</w:t>
            </w:r>
            <w:r w:rsidR="00F3265F" w:rsidRPr="00F3265F">
              <w:rPr>
                <w:rFonts w:eastAsiaTheme="minorHAnsi"/>
                <w:color w:val="000000"/>
                <w:sz w:val="22"/>
                <w:szCs w:val="22"/>
                <w:lang w:eastAsia="en-US"/>
              </w:rPr>
              <w:t>.</w:t>
            </w:r>
            <w:r w:rsidR="006E49CC" w:rsidRPr="00F3265F">
              <w:rPr>
                <w:rFonts w:eastAsiaTheme="minorHAnsi"/>
                <w:color w:val="000000"/>
                <w:sz w:val="22"/>
                <w:szCs w:val="22"/>
                <w:lang w:eastAsia="en-US"/>
              </w:rPr>
              <w:t>00</w:t>
            </w:r>
            <w:r w:rsidR="00F3265F" w:rsidRPr="00F3265F">
              <w:rPr>
                <w:rFonts w:eastAsiaTheme="minorHAnsi"/>
                <w:color w:val="000000"/>
                <w:sz w:val="22"/>
                <w:szCs w:val="22"/>
                <w:lang w:eastAsia="en-US"/>
              </w:rPr>
              <w:t xml:space="preserve"> – </w:t>
            </w:r>
            <w:r w:rsidR="006E49CC" w:rsidRPr="00F3265F">
              <w:rPr>
                <w:rFonts w:eastAsiaTheme="minorHAnsi"/>
                <w:color w:val="000000"/>
                <w:sz w:val="22"/>
                <w:szCs w:val="22"/>
                <w:lang w:eastAsia="en-US"/>
              </w:rPr>
              <w:t>14</w:t>
            </w:r>
            <w:r w:rsidR="00F3265F" w:rsidRPr="00F3265F">
              <w:rPr>
                <w:rFonts w:eastAsiaTheme="minorHAnsi"/>
                <w:color w:val="000000"/>
                <w:sz w:val="22"/>
                <w:szCs w:val="22"/>
                <w:lang w:eastAsia="en-US"/>
              </w:rPr>
              <w:t>.</w:t>
            </w:r>
            <w:r w:rsidR="006E49CC" w:rsidRPr="00F3265F">
              <w:rPr>
                <w:rFonts w:eastAsiaTheme="minorHAnsi"/>
                <w:color w:val="000000"/>
                <w:sz w:val="22"/>
                <w:szCs w:val="22"/>
                <w:lang w:eastAsia="en-US"/>
              </w:rPr>
              <w:t>30</w:t>
            </w:r>
            <w:r w:rsidR="00F3265F">
              <w:rPr>
                <w:rFonts w:eastAsiaTheme="minorHAnsi"/>
                <w:color w:val="000000"/>
                <w:sz w:val="22"/>
                <w:szCs w:val="22"/>
                <w:lang w:eastAsia="en-US"/>
              </w:rPr>
              <w:t>.</w:t>
            </w:r>
            <w:r w:rsidR="006E49CC" w:rsidRPr="00F3265F">
              <w:rPr>
                <w:rFonts w:ascii="Arial" w:hAnsi="Arial" w:cs="Arial"/>
                <w:color w:val="000000"/>
                <w:sz w:val="20"/>
              </w:rPr>
              <w:t xml:space="preserve"> </w:t>
            </w:r>
          </w:p>
          <w:p w14:paraId="5708B485" w14:textId="5737AE5B" w:rsidR="00DA2753" w:rsidRPr="00307E8F" w:rsidRDefault="00DA2753" w:rsidP="00F3265F">
            <w:pPr>
              <w:rPr>
                <w:rFonts w:eastAsiaTheme="minorHAnsi"/>
                <w:b/>
                <w:bCs/>
                <w:color w:val="000000"/>
                <w:sz w:val="22"/>
                <w:szCs w:val="22"/>
                <w:lang w:eastAsia="en-US"/>
              </w:rPr>
            </w:pPr>
          </w:p>
        </w:tc>
      </w:tr>
      <w:tr w:rsidR="0099098C" w:rsidRPr="00307E8F" w14:paraId="39AB7B5D" w14:textId="77777777" w:rsidTr="00201DCD">
        <w:tc>
          <w:tcPr>
            <w:tcW w:w="567" w:type="dxa"/>
          </w:tcPr>
          <w:p w14:paraId="456AA95B" w14:textId="32370A14" w:rsidR="0099098C" w:rsidRPr="00307E8F" w:rsidRDefault="0099098C" w:rsidP="00201DCD">
            <w:pPr>
              <w:tabs>
                <w:tab w:val="left" w:pos="1701"/>
              </w:tabs>
              <w:rPr>
                <w:b/>
                <w:snapToGrid w:val="0"/>
                <w:sz w:val="22"/>
                <w:szCs w:val="22"/>
              </w:rPr>
            </w:pPr>
            <w:r w:rsidRPr="00307E8F">
              <w:rPr>
                <w:b/>
                <w:snapToGrid w:val="0"/>
                <w:sz w:val="22"/>
                <w:szCs w:val="22"/>
              </w:rPr>
              <w:t>§ 12</w:t>
            </w:r>
          </w:p>
        </w:tc>
        <w:tc>
          <w:tcPr>
            <w:tcW w:w="6946" w:type="dxa"/>
            <w:gridSpan w:val="2"/>
          </w:tcPr>
          <w:p w14:paraId="4FE9693F" w14:textId="42806C26" w:rsidR="0099098C" w:rsidRPr="00307E8F" w:rsidRDefault="0099098C" w:rsidP="00201DCD">
            <w:pPr>
              <w:rPr>
                <w:rFonts w:eastAsiaTheme="minorHAnsi"/>
                <w:b/>
                <w:bCs/>
                <w:color w:val="000000"/>
                <w:sz w:val="22"/>
                <w:szCs w:val="22"/>
                <w:lang w:eastAsia="en-US"/>
              </w:rPr>
            </w:pPr>
            <w:r w:rsidRPr="00307E8F">
              <w:rPr>
                <w:rFonts w:eastAsiaTheme="minorHAnsi"/>
                <w:b/>
                <w:bCs/>
                <w:color w:val="000000"/>
                <w:sz w:val="22"/>
                <w:szCs w:val="22"/>
                <w:lang w:eastAsia="en-US"/>
              </w:rPr>
              <w:t>Skriftlig information inför Konkur</w:t>
            </w:r>
            <w:r w:rsidR="00307E8F">
              <w:rPr>
                <w:rFonts w:eastAsiaTheme="minorHAnsi"/>
                <w:b/>
                <w:bCs/>
                <w:color w:val="000000"/>
                <w:sz w:val="22"/>
                <w:szCs w:val="22"/>
                <w:lang w:eastAsia="en-US"/>
              </w:rPr>
              <w:t>r</w:t>
            </w:r>
            <w:r w:rsidRPr="00307E8F">
              <w:rPr>
                <w:rFonts w:eastAsiaTheme="minorHAnsi"/>
                <w:b/>
                <w:bCs/>
                <w:color w:val="000000"/>
                <w:sz w:val="22"/>
                <w:szCs w:val="22"/>
                <w:lang w:eastAsia="en-US"/>
              </w:rPr>
              <w:t xml:space="preserve">enskraftrådet </w:t>
            </w:r>
          </w:p>
          <w:p w14:paraId="53E6B5A7" w14:textId="54D3B24A" w:rsidR="00307E8F" w:rsidRPr="00307E8F" w:rsidRDefault="00307E8F" w:rsidP="00201DCD">
            <w:pPr>
              <w:rPr>
                <w:rFonts w:eastAsiaTheme="minorHAnsi"/>
                <w:b/>
                <w:bCs/>
                <w:color w:val="000000"/>
                <w:sz w:val="22"/>
                <w:szCs w:val="22"/>
                <w:lang w:eastAsia="en-US"/>
              </w:rPr>
            </w:pPr>
          </w:p>
          <w:p w14:paraId="56B191E0" w14:textId="495E13D8" w:rsidR="00307E8F" w:rsidRPr="00307E8F" w:rsidRDefault="00307E8F" w:rsidP="00307E8F">
            <w:pPr>
              <w:rPr>
                <w:sz w:val="22"/>
                <w:szCs w:val="22"/>
              </w:rPr>
            </w:pPr>
            <w:r w:rsidRPr="00307E8F">
              <w:rPr>
                <w:sz w:val="22"/>
                <w:szCs w:val="22"/>
              </w:rPr>
              <w:t>K</w:t>
            </w:r>
            <w:r>
              <w:rPr>
                <w:sz w:val="22"/>
                <w:szCs w:val="22"/>
              </w:rPr>
              <w:t xml:space="preserve">anslichefen informerade om att information om </w:t>
            </w:r>
            <w:r w:rsidRPr="00307E8F">
              <w:rPr>
                <w:sz w:val="22"/>
                <w:szCs w:val="22"/>
              </w:rPr>
              <w:t>ett förslag om allmän riktlinje rörande det s.k. ekodesigndirektivet</w:t>
            </w:r>
            <w:r>
              <w:rPr>
                <w:sz w:val="22"/>
                <w:szCs w:val="22"/>
              </w:rPr>
              <w:t xml:space="preserve">, vilket ska behandlas på </w:t>
            </w:r>
            <w:r w:rsidRPr="00307E8F">
              <w:rPr>
                <w:sz w:val="22"/>
                <w:szCs w:val="22"/>
              </w:rPr>
              <w:t>Konkurrenskraftrådet den 22 maj 2023</w:t>
            </w:r>
            <w:r>
              <w:rPr>
                <w:sz w:val="22"/>
                <w:szCs w:val="22"/>
              </w:rPr>
              <w:t>, ha</w:t>
            </w:r>
            <w:r w:rsidR="00F3265F">
              <w:rPr>
                <w:sz w:val="22"/>
                <w:szCs w:val="22"/>
              </w:rPr>
              <w:t>de</w:t>
            </w:r>
            <w:r>
              <w:rPr>
                <w:sz w:val="22"/>
                <w:szCs w:val="22"/>
              </w:rPr>
              <w:t xml:space="preserve"> sänts ut.</w:t>
            </w:r>
            <w:r w:rsidR="00F3265F">
              <w:rPr>
                <w:sz w:val="22"/>
                <w:szCs w:val="22"/>
              </w:rPr>
              <w:t xml:space="preserve"> </w:t>
            </w:r>
            <w:r w:rsidRPr="00307E8F">
              <w:rPr>
                <w:sz w:val="22"/>
                <w:szCs w:val="22"/>
              </w:rPr>
              <w:t>Frågan kommer upp i EU-nämnden onsdagen den 17 maj 2023.</w:t>
            </w:r>
          </w:p>
          <w:p w14:paraId="27EFE832" w14:textId="048A7CFB" w:rsidR="0099098C" w:rsidRPr="00307E8F" w:rsidRDefault="0099098C" w:rsidP="00201DCD">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2B7FB4F8"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99098C">
              <w:rPr>
                <w:b/>
                <w:snapToGrid w:val="0"/>
                <w:sz w:val="22"/>
                <w:szCs w:val="22"/>
              </w:rPr>
              <w:t>13</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5AF4317B" w14:textId="77777777" w:rsidR="0099098C" w:rsidRDefault="0099098C" w:rsidP="002A14AC">
            <w:pPr>
              <w:rPr>
                <w:snapToGrid w:val="0"/>
                <w:sz w:val="22"/>
                <w:szCs w:val="22"/>
              </w:rPr>
            </w:pPr>
          </w:p>
          <w:p w14:paraId="08EBE943" w14:textId="5E8AC727"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w:t>
            </w:r>
            <w:r w:rsidR="0099098C">
              <w:rPr>
                <w:snapToGrid w:val="0"/>
                <w:sz w:val="22"/>
                <w:szCs w:val="22"/>
              </w:rPr>
              <w:t>i</w:t>
            </w:r>
            <w:r w:rsidR="008E6B40">
              <w:rPr>
                <w:snapToGrid w:val="0"/>
                <w:sz w:val="22"/>
                <w:szCs w:val="22"/>
              </w:rPr>
              <w:t>s</w:t>
            </w:r>
            <w:r w:rsidRPr="00B40F4D">
              <w:rPr>
                <w:snapToGrid w:val="0"/>
                <w:sz w:val="22"/>
                <w:szCs w:val="22"/>
              </w:rPr>
              <w:t>dagen den</w:t>
            </w:r>
            <w:r w:rsidR="006F544E">
              <w:rPr>
                <w:snapToGrid w:val="0"/>
                <w:sz w:val="22"/>
                <w:szCs w:val="22"/>
              </w:rPr>
              <w:t xml:space="preserve"> 2</w:t>
            </w:r>
            <w:r w:rsidR="0099098C">
              <w:rPr>
                <w:snapToGrid w:val="0"/>
                <w:sz w:val="22"/>
                <w:szCs w:val="22"/>
              </w:rPr>
              <w:t>3</w:t>
            </w:r>
            <w:r w:rsidR="00A10EBF">
              <w:rPr>
                <w:snapToGrid w:val="0"/>
                <w:sz w:val="22"/>
                <w:szCs w:val="22"/>
              </w:rPr>
              <w:t xml:space="preserve"> </w:t>
            </w:r>
            <w:r w:rsidR="009D4B23">
              <w:rPr>
                <w:snapToGrid w:val="0"/>
                <w:sz w:val="22"/>
                <w:szCs w:val="22"/>
              </w:rPr>
              <w:t>april</w:t>
            </w:r>
            <w:r w:rsidR="00CB71B9">
              <w:rPr>
                <w:snapToGrid w:val="0"/>
                <w:sz w:val="22"/>
                <w:szCs w:val="22"/>
              </w:rPr>
              <w:t xml:space="preserve"> 202</w:t>
            </w:r>
            <w:r w:rsidR="00BE7A1B">
              <w:rPr>
                <w:snapToGrid w:val="0"/>
                <w:sz w:val="22"/>
                <w:szCs w:val="22"/>
              </w:rPr>
              <w:t>3</w:t>
            </w:r>
            <w:r w:rsidRPr="00B40F4D">
              <w:rPr>
                <w:snapToGrid w:val="0"/>
                <w:sz w:val="22"/>
                <w:szCs w:val="22"/>
              </w:rPr>
              <w:t xml:space="preserve"> kl. </w:t>
            </w:r>
            <w:r w:rsidR="0099098C">
              <w:rPr>
                <w:snapToGrid w:val="0"/>
                <w:sz w:val="22"/>
                <w:szCs w:val="22"/>
              </w:rPr>
              <w:t>11</w:t>
            </w:r>
            <w:r w:rsidR="00B664F7">
              <w:rPr>
                <w:snapToGrid w:val="0"/>
                <w:sz w:val="22"/>
                <w:szCs w:val="22"/>
              </w:rPr>
              <w:t>.00</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40DBE63A" w14:textId="77777777" w:rsidR="00FC224F" w:rsidRPr="00B40F4D" w:rsidRDefault="00FC224F" w:rsidP="00D5250E">
            <w:pPr>
              <w:tabs>
                <w:tab w:val="left" w:pos="1701"/>
              </w:tabs>
              <w:rPr>
                <w:sz w:val="22"/>
                <w:szCs w:val="22"/>
              </w:rPr>
            </w:pPr>
          </w:p>
          <w:p w14:paraId="6E496FB7" w14:textId="6AE56073"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7179F3" w:rsidRPr="003227DB">
              <w:rPr>
                <w:sz w:val="22"/>
                <w:szCs w:val="22"/>
              </w:rPr>
              <w:t>2</w:t>
            </w:r>
            <w:r w:rsidR="00F3265F" w:rsidRPr="003227DB">
              <w:rPr>
                <w:sz w:val="22"/>
                <w:szCs w:val="22"/>
              </w:rPr>
              <w:t>3</w:t>
            </w:r>
            <w:r w:rsidR="00A10EBF">
              <w:rPr>
                <w:sz w:val="22"/>
                <w:szCs w:val="22"/>
              </w:rPr>
              <w:t xml:space="preserve"> </w:t>
            </w:r>
            <w:r w:rsidR="007179F3">
              <w:rPr>
                <w:sz w:val="22"/>
                <w:szCs w:val="22"/>
              </w:rPr>
              <w:t>maj</w:t>
            </w:r>
            <w:r w:rsidR="009D4B23">
              <w:rPr>
                <w:sz w:val="22"/>
                <w:szCs w:val="22"/>
              </w:rPr>
              <w:t xml:space="preserve"> </w:t>
            </w:r>
            <w:r w:rsidR="00CB71B9">
              <w:rPr>
                <w:sz w:val="22"/>
                <w:szCs w:val="22"/>
              </w:rPr>
              <w:t>202</w:t>
            </w:r>
            <w:r w:rsidR="00BE7A1B">
              <w:rPr>
                <w:sz w:val="22"/>
                <w:szCs w:val="22"/>
              </w:rPr>
              <w:t>3</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595B7B03" w:rsidR="00A10EBF" w:rsidRPr="00B40F4D" w:rsidRDefault="00211FCA"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191"/>
        <w:gridCol w:w="2069"/>
        <w:gridCol w:w="425"/>
        <w:gridCol w:w="425"/>
        <w:gridCol w:w="426"/>
        <w:gridCol w:w="425"/>
        <w:gridCol w:w="425"/>
        <w:gridCol w:w="71"/>
        <w:gridCol w:w="354"/>
        <w:gridCol w:w="426"/>
        <w:gridCol w:w="283"/>
        <w:gridCol w:w="142"/>
        <w:gridCol w:w="425"/>
        <w:gridCol w:w="213"/>
        <w:gridCol w:w="212"/>
        <w:gridCol w:w="425"/>
        <w:gridCol w:w="426"/>
        <w:gridCol w:w="142"/>
        <w:gridCol w:w="496"/>
        <w:gridCol w:w="992"/>
        <w:gridCol w:w="72"/>
      </w:tblGrid>
      <w:tr w:rsidR="00136BAF" w:rsidRPr="00B40F4D" w14:paraId="0E4943FB" w14:textId="77777777" w:rsidTr="00FC224F">
        <w:trPr>
          <w:gridAfter w:val="4"/>
          <w:wAfter w:w="1702" w:type="dxa"/>
        </w:trPr>
        <w:tc>
          <w:tcPr>
            <w:tcW w:w="3969" w:type="dxa"/>
            <w:gridSpan w:val="3"/>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br w:type="page"/>
            </w:r>
            <w:r w:rsidRPr="00B40F4D">
              <w:rPr>
                <w:sz w:val="22"/>
                <w:szCs w:val="22"/>
              </w:rPr>
              <w:br w:type="page"/>
              <w:t>MILJÖ- OCH JORDBRUKS- UTSKOTTET</w:t>
            </w:r>
          </w:p>
        </w:tc>
        <w:tc>
          <w:tcPr>
            <w:tcW w:w="3260" w:type="dxa"/>
            <w:gridSpan w:val="9"/>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731344CB" w:rsidR="00136BAF" w:rsidRPr="00B40F4D" w:rsidRDefault="00136BAF" w:rsidP="002B7AED">
            <w:pPr>
              <w:tabs>
                <w:tab w:val="left" w:pos="1701"/>
              </w:tabs>
              <w:rPr>
                <w:sz w:val="22"/>
                <w:szCs w:val="22"/>
              </w:rPr>
            </w:pPr>
            <w:r w:rsidRPr="00B40F4D">
              <w:rPr>
                <w:sz w:val="22"/>
                <w:szCs w:val="22"/>
              </w:rPr>
              <w:t>prot. 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6F544E">
              <w:rPr>
                <w:sz w:val="22"/>
                <w:szCs w:val="22"/>
              </w:rPr>
              <w:t>41</w:t>
            </w:r>
          </w:p>
        </w:tc>
      </w:tr>
      <w:tr w:rsidR="00136BAF" w:rsidRPr="00B40F4D" w14:paraId="5E9D1058"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cantSplit/>
        </w:trPr>
        <w:tc>
          <w:tcPr>
            <w:tcW w:w="3969" w:type="dxa"/>
            <w:gridSpan w:val="3"/>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7626B9C4" w:rsidR="00136BAF" w:rsidRPr="00B40F4D" w:rsidRDefault="006E49C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r w:rsidR="00FC224F">
              <w:rPr>
                <w:sz w:val="22"/>
                <w:szCs w:val="22"/>
              </w:rPr>
              <w:t xml:space="preserve"> </w:t>
            </w:r>
            <w:r>
              <w:rPr>
                <w:sz w:val="22"/>
                <w:szCs w:val="22"/>
              </w:rPr>
              <w:t>-</w:t>
            </w:r>
            <w:r w:rsidR="00FC224F">
              <w:rPr>
                <w:sz w:val="22"/>
                <w:szCs w:val="22"/>
              </w:rPr>
              <w:t xml:space="preserve"> </w:t>
            </w:r>
            <w:r>
              <w:rPr>
                <w:sz w:val="22"/>
                <w:szCs w:val="22"/>
              </w:rPr>
              <w:t>2</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127A23E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6E49CC">
              <w:rPr>
                <w:sz w:val="22"/>
                <w:szCs w:val="22"/>
              </w:rPr>
              <w:t>§ 3</w:t>
            </w:r>
          </w:p>
        </w:tc>
        <w:tc>
          <w:tcPr>
            <w:tcW w:w="850" w:type="dxa"/>
            <w:gridSpan w:val="3"/>
            <w:tcBorders>
              <w:top w:val="single" w:sz="6" w:space="0" w:color="auto"/>
              <w:left w:val="single" w:sz="6" w:space="0" w:color="auto"/>
              <w:bottom w:val="single" w:sz="6" w:space="0" w:color="auto"/>
              <w:right w:val="single" w:sz="6" w:space="0" w:color="auto"/>
            </w:tcBorders>
          </w:tcPr>
          <w:p w14:paraId="145001CB" w14:textId="3B3BA69F" w:rsidR="00136BAF" w:rsidRPr="00B40F4D" w:rsidRDefault="006E49C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FC224F">
              <w:rPr>
                <w:sz w:val="22"/>
                <w:szCs w:val="22"/>
              </w:rPr>
              <w:t>4 –</w:t>
            </w:r>
            <w:r w:rsidR="005F5539">
              <w:rPr>
                <w:sz w:val="22"/>
                <w:szCs w:val="22"/>
              </w:rPr>
              <w:t xml:space="preserve"> 6</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4EEF45DD"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 –</w:t>
            </w:r>
            <w:r w:rsidR="00F3265F">
              <w:rPr>
                <w:sz w:val="22"/>
                <w:szCs w:val="22"/>
              </w:rPr>
              <w:t xml:space="preserve"> 13</w:t>
            </w:r>
          </w:p>
        </w:tc>
        <w:tc>
          <w:tcPr>
            <w:tcW w:w="850" w:type="dxa"/>
            <w:gridSpan w:val="3"/>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15C0DF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30EA965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136BAF" w:rsidRPr="00B40F4D" w14:paraId="5B271E81"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4FCC9453"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596B77E4"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0AE33FBF"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32C5BB6E"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FC224F" w14:paraId="409490FE"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76631E9F" w:rsidR="00136BAF" w:rsidRPr="006A6B9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1B710221" w:rsidR="00136BAF" w:rsidRPr="006A6B9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4B1134AA" w:rsidR="00136BAF" w:rsidRPr="006A6B9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66B42DF2" w:rsidR="00136BAF" w:rsidRPr="006A6B9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539ABE3C" w:rsidR="00136BAF" w:rsidRPr="006A6B9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2A0EF8F1" w:rsidR="00136BAF" w:rsidRPr="006A6B9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6E1E3306" w:rsidR="00136BAF" w:rsidRPr="006A6B9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29538597" w:rsidR="00136BAF" w:rsidRPr="006A6B9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7280E307" w:rsidR="00136BAF" w:rsidRPr="006A6B9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1E973668" w:rsidR="00136BAF" w:rsidRPr="006A6B9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17986225" w:rsidR="00136BAF" w:rsidRPr="006A6B9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0438C22F" w:rsidR="00136BAF" w:rsidRPr="006A6B9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55927E93"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181CA94A"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4BF9EDBF"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107E2DC3"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700EB121"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01AAFF9C"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4E229D17"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53AE5D84"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7EAE361F"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08C4D1A3"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20F159FE"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63467C53"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7C5F3C44"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12740A88"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6616288F"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221C6128"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6C980A64"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37D21B74"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B1ED421"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35C80FAD"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1FD38AC0"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0A494469"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68BD028D"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570E3903"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117EBB4C"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494229C5"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3617D223"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57AE07C6"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45E41A64"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7EE59997"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4AE5464E"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4A6D0F0C"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5AD5489E"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39975D5D"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58C70403"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4E26CF56"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434FAA84"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17F8A9D0"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65F1D396"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3E7FA511"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624D70FA"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376AD1A0"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094EFBEF"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41EC42C9"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4FF41DA8"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3EBB6DA9"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3623BC84"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1FCAE90C"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63229304"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70B083C1"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1403F2BE"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465B2489"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4158BAF0" w14:textId="77777777" w:rsidR="00136BAF" w:rsidRPr="00B40F4D" w:rsidRDefault="00136BAF" w:rsidP="002B7AED">
            <w:pPr>
              <w:spacing w:line="256" w:lineRule="auto"/>
              <w:rPr>
                <w:b/>
                <w:i/>
                <w:sz w:val="22"/>
                <w:szCs w:val="22"/>
                <w:lang w:eastAsia="en-US"/>
              </w:rPr>
            </w:pPr>
            <w:r>
              <w:rPr>
                <w:sz w:val="22"/>
                <w:szCs w:val="22"/>
                <w:lang w:val="en-US" w:eastAsia="en-US"/>
              </w:rPr>
              <w:t>Björn Tidland</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406EEA41"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0E5F14E0"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6840DE1"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41ECE2F8"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7A1D855E"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4B1C0E58"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43156D0B"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37CC1DEF"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59926B78"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0231C9EC"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28052606"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2CA52B7F"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57E30D21"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6131D267"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23D6CAE0"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689084A7"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57828086"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4F61A444"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6FE79F4A"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0B3DD7A8" w:rsidR="00136BAF" w:rsidRPr="00B40F4D" w:rsidRDefault="00FC224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44898945" w:rsidR="00136BAF" w:rsidRPr="00B40F4D" w:rsidRDefault="005F553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100955D3" w14:textId="502AE826"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7301B">
              <w:rPr>
                <w:sz w:val="22"/>
                <w:szCs w:val="22"/>
                <w:lang w:eastAsia="en-US"/>
              </w:rPr>
              <w:t xml:space="preserve"> </w:t>
            </w:r>
            <w:r w:rsidR="001D7BA2" w:rsidRPr="006204FB">
              <w:rPr>
                <w:sz w:val="22"/>
                <w:szCs w:val="22"/>
                <w:lang w:eastAsia="en-US"/>
              </w:rPr>
              <w:t xml:space="preserve">Tjl t.o.m. </w:t>
            </w:r>
            <w:proofErr w:type="gramStart"/>
            <w:r w:rsidR="001D7BA2" w:rsidRPr="006204FB">
              <w:rPr>
                <w:sz w:val="22"/>
                <w:szCs w:val="22"/>
                <w:lang w:eastAsia="en-US"/>
              </w:rPr>
              <w:t>230512</w:t>
            </w:r>
            <w:proofErr w:type="gramEnd"/>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3EBC40DE" w14:textId="5BC9C116" w:rsidR="006A49EA" w:rsidRPr="005C4C18" w:rsidRDefault="00A258BE" w:rsidP="002B7AED">
            <w:pPr>
              <w:tabs>
                <w:tab w:val="left" w:pos="2268"/>
                <w:tab w:val="left" w:pos="2977"/>
                <w:tab w:val="left" w:pos="4536"/>
              </w:tabs>
              <w:spacing w:line="256" w:lineRule="auto"/>
              <w:rPr>
                <w:sz w:val="22"/>
                <w:szCs w:val="22"/>
                <w:lang w:eastAsia="en-US"/>
              </w:rPr>
            </w:pPr>
            <w:r>
              <w:rPr>
                <w:sz w:val="22"/>
                <w:szCs w:val="22"/>
                <w:lang w:eastAsia="en-US"/>
              </w:rPr>
              <w:t>Vakant</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19F96AA4" w14:textId="39DEB73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D7BA2" w:rsidRPr="00B40F4D" w14:paraId="647A6F10"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3"/>
            <w:tcBorders>
              <w:top w:val="single" w:sz="6" w:space="0" w:color="auto"/>
              <w:left w:val="single" w:sz="6" w:space="0" w:color="auto"/>
              <w:bottom w:val="single" w:sz="6" w:space="0" w:color="auto"/>
              <w:right w:val="single" w:sz="6" w:space="0" w:color="auto"/>
            </w:tcBorders>
          </w:tcPr>
          <w:p w14:paraId="28D680A7" w14:textId="6E9ECE3A" w:rsidR="001D7BA2" w:rsidRDefault="000310B4" w:rsidP="002B7AED">
            <w:pPr>
              <w:tabs>
                <w:tab w:val="left" w:pos="2268"/>
                <w:tab w:val="left" w:pos="2977"/>
                <w:tab w:val="left" w:pos="4536"/>
              </w:tabs>
              <w:spacing w:line="256" w:lineRule="auto"/>
              <w:rPr>
                <w:sz w:val="22"/>
                <w:szCs w:val="22"/>
                <w:lang w:eastAsia="en-US"/>
              </w:rPr>
            </w:pPr>
            <w:r>
              <w:rPr>
                <w:sz w:val="22"/>
                <w:szCs w:val="22"/>
                <w:lang w:eastAsia="en-US"/>
              </w:rPr>
              <w:t>Anette Rangdag (SD) T.o.m. 230512</w:t>
            </w:r>
          </w:p>
        </w:tc>
        <w:tc>
          <w:tcPr>
            <w:tcW w:w="425" w:type="dxa"/>
            <w:tcBorders>
              <w:top w:val="single" w:sz="6" w:space="0" w:color="auto"/>
              <w:left w:val="single" w:sz="6" w:space="0" w:color="auto"/>
              <w:bottom w:val="single" w:sz="6" w:space="0" w:color="auto"/>
              <w:right w:val="single" w:sz="6" w:space="0" w:color="auto"/>
            </w:tcBorders>
          </w:tcPr>
          <w:p w14:paraId="481254AB" w14:textId="77777777" w:rsidR="001D7BA2" w:rsidRPr="00B40F4D" w:rsidRDefault="001D7B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0156" w14:textId="77777777" w:rsidR="001D7BA2" w:rsidRPr="00B40F4D" w:rsidRDefault="001D7B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AF237" w14:textId="77777777" w:rsidR="001D7BA2" w:rsidRPr="00B40F4D" w:rsidRDefault="001D7B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FB2E1B" w14:textId="77777777" w:rsidR="001D7BA2" w:rsidRPr="00B40F4D" w:rsidRDefault="001D7B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4919B" w14:textId="77777777" w:rsidR="001D7BA2" w:rsidRPr="00B40F4D" w:rsidRDefault="001D7B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F2D24F" w14:textId="77777777" w:rsidR="001D7BA2" w:rsidRPr="00B40F4D" w:rsidRDefault="001D7B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7AE2DD" w14:textId="77777777" w:rsidR="001D7BA2" w:rsidRPr="00B40F4D" w:rsidRDefault="001D7B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65DFAAC" w14:textId="77777777" w:rsidR="001D7BA2" w:rsidRPr="00B40F4D" w:rsidRDefault="001D7B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666FC6" w14:textId="77777777" w:rsidR="001D7BA2" w:rsidRPr="00B40F4D" w:rsidRDefault="001D7B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ADAF039" w14:textId="77777777" w:rsidR="001D7BA2" w:rsidRPr="00B40F4D" w:rsidRDefault="001D7B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3E86C2" w14:textId="77777777" w:rsidR="001D7BA2" w:rsidRPr="00B40F4D" w:rsidRDefault="001D7B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C4A855" w14:textId="77777777" w:rsidR="001D7BA2" w:rsidRPr="00B40F4D" w:rsidRDefault="001D7BA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560" w:type="dxa"/>
          <w:trHeight w:val="263"/>
        </w:trPr>
        <w:tc>
          <w:tcPr>
            <w:tcW w:w="3969" w:type="dxa"/>
            <w:gridSpan w:val="3"/>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6"/>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560" w:type="dxa"/>
          <w:trHeight w:val="262"/>
        </w:trPr>
        <w:tc>
          <w:tcPr>
            <w:tcW w:w="3969" w:type="dxa"/>
            <w:gridSpan w:val="3"/>
          </w:tcPr>
          <w:p w14:paraId="301B1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6"/>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FC224F" w:rsidRPr="00B40F4D" w14:paraId="2F5111EF"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09" w:type="dxa"/>
          <w:wAfter w:w="1064" w:type="dxa"/>
          <w:tblHeader/>
        </w:trPr>
        <w:tc>
          <w:tcPr>
            <w:tcW w:w="5457" w:type="dxa"/>
            <w:gridSpan w:val="8"/>
          </w:tcPr>
          <w:p w14:paraId="272B7F76" w14:textId="77777777" w:rsidR="00FC224F" w:rsidRPr="00B40F4D" w:rsidRDefault="00FC224F" w:rsidP="0042205B">
            <w:pPr>
              <w:tabs>
                <w:tab w:val="left" w:pos="1276"/>
              </w:tabs>
              <w:rPr>
                <w:sz w:val="22"/>
                <w:szCs w:val="22"/>
              </w:rPr>
            </w:pPr>
            <w:bookmarkStart w:id="1" w:name="_Hlk73713493"/>
            <w:r>
              <w:rPr>
                <w:sz w:val="22"/>
                <w:szCs w:val="22"/>
              </w:rPr>
              <w:br w:type="page"/>
            </w:r>
          </w:p>
          <w:p w14:paraId="4AC5A69C" w14:textId="77777777" w:rsidR="00FC224F" w:rsidRPr="00B40F4D" w:rsidRDefault="00FC224F" w:rsidP="0042205B">
            <w:pPr>
              <w:tabs>
                <w:tab w:val="left" w:pos="1276"/>
              </w:tabs>
              <w:rPr>
                <w:sz w:val="22"/>
                <w:szCs w:val="22"/>
              </w:rPr>
            </w:pPr>
            <w:r w:rsidRPr="00B40F4D">
              <w:rPr>
                <w:sz w:val="22"/>
                <w:szCs w:val="22"/>
              </w:rPr>
              <w:br w:type="page"/>
              <w:t>MILJÖ- OCH JORDBRUKSUTSKOTTET</w:t>
            </w:r>
          </w:p>
        </w:tc>
        <w:tc>
          <w:tcPr>
            <w:tcW w:w="1843" w:type="dxa"/>
            <w:gridSpan w:val="6"/>
          </w:tcPr>
          <w:p w14:paraId="1B959939" w14:textId="77777777" w:rsidR="00FC224F" w:rsidRPr="00B40F4D" w:rsidRDefault="00FC224F" w:rsidP="0042205B">
            <w:pPr>
              <w:tabs>
                <w:tab w:val="left" w:pos="1276"/>
              </w:tabs>
              <w:rPr>
                <w:sz w:val="22"/>
                <w:szCs w:val="22"/>
              </w:rPr>
            </w:pPr>
          </w:p>
        </w:tc>
        <w:tc>
          <w:tcPr>
            <w:tcW w:w="1701" w:type="dxa"/>
            <w:gridSpan w:val="5"/>
          </w:tcPr>
          <w:p w14:paraId="5523DE6C" w14:textId="77777777" w:rsidR="00FC224F" w:rsidRPr="00B40F4D" w:rsidRDefault="00FC224F" w:rsidP="0042205B">
            <w:pPr>
              <w:tabs>
                <w:tab w:val="left" w:pos="1276"/>
              </w:tabs>
              <w:ind w:right="-212"/>
              <w:rPr>
                <w:b/>
                <w:sz w:val="22"/>
                <w:szCs w:val="22"/>
              </w:rPr>
            </w:pPr>
            <w:r w:rsidRPr="00B40F4D">
              <w:rPr>
                <w:b/>
                <w:sz w:val="22"/>
                <w:szCs w:val="22"/>
              </w:rPr>
              <w:t>Bilaga 2</w:t>
            </w:r>
          </w:p>
          <w:p w14:paraId="5C18B059" w14:textId="77777777" w:rsidR="00FC224F" w:rsidRPr="00B40F4D" w:rsidRDefault="00FC224F" w:rsidP="0042205B">
            <w:pPr>
              <w:tabs>
                <w:tab w:val="left" w:pos="1276"/>
              </w:tabs>
              <w:ind w:right="-212"/>
              <w:rPr>
                <w:sz w:val="22"/>
                <w:szCs w:val="22"/>
              </w:rPr>
            </w:pPr>
            <w:r w:rsidRPr="00B40F4D">
              <w:rPr>
                <w:sz w:val="22"/>
                <w:szCs w:val="22"/>
              </w:rPr>
              <w:t>till protokoll</w:t>
            </w:r>
          </w:p>
          <w:p w14:paraId="3A321B60" w14:textId="5DF20EEE" w:rsidR="00FC224F" w:rsidRPr="00B40F4D" w:rsidRDefault="00FC224F" w:rsidP="0042205B">
            <w:pPr>
              <w:tabs>
                <w:tab w:val="left" w:pos="1276"/>
              </w:tabs>
              <w:ind w:right="-212"/>
              <w:rPr>
                <w:b/>
                <w:sz w:val="22"/>
                <w:szCs w:val="22"/>
              </w:rPr>
            </w:pPr>
            <w:r w:rsidRPr="00B40F4D">
              <w:rPr>
                <w:sz w:val="22"/>
                <w:szCs w:val="22"/>
              </w:rPr>
              <w:t>20</w:t>
            </w:r>
            <w:r>
              <w:rPr>
                <w:sz w:val="22"/>
                <w:szCs w:val="22"/>
              </w:rPr>
              <w:t>22</w:t>
            </w:r>
            <w:r w:rsidRPr="00B40F4D">
              <w:rPr>
                <w:sz w:val="22"/>
                <w:szCs w:val="22"/>
              </w:rPr>
              <w:t>/2</w:t>
            </w:r>
            <w:r>
              <w:rPr>
                <w:sz w:val="22"/>
                <w:szCs w:val="22"/>
              </w:rPr>
              <w:t>3</w:t>
            </w:r>
            <w:r w:rsidRPr="00B40F4D">
              <w:rPr>
                <w:sz w:val="22"/>
                <w:szCs w:val="22"/>
              </w:rPr>
              <w:t>:</w:t>
            </w:r>
            <w:r>
              <w:rPr>
                <w:sz w:val="22"/>
                <w:szCs w:val="22"/>
              </w:rPr>
              <w:t>41</w:t>
            </w:r>
          </w:p>
        </w:tc>
      </w:tr>
      <w:tr w:rsidR="00FC224F" w:rsidRPr="00B40F4D" w14:paraId="637A2F7B"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09" w:type="dxa"/>
          <w:wAfter w:w="72" w:type="dxa"/>
          <w:trHeight w:val="450"/>
        </w:trPr>
        <w:tc>
          <w:tcPr>
            <w:tcW w:w="9993" w:type="dxa"/>
            <w:gridSpan w:val="20"/>
            <w:tcBorders>
              <w:left w:val="nil"/>
              <w:bottom w:val="single" w:sz="4" w:space="0" w:color="A9A9A9"/>
              <w:right w:val="nil"/>
            </w:tcBorders>
            <w:shd w:val="clear" w:color="auto" w:fill="auto"/>
            <w:vAlign w:val="bottom"/>
          </w:tcPr>
          <w:p w14:paraId="5429D26B" w14:textId="01CF6BB7" w:rsidR="00FC224F" w:rsidRPr="00B40F4D" w:rsidRDefault="00FC224F" w:rsidP="0042205B">
            <w:pPr>
              <w:widowControl/>
              <w:rPr>
                <w:b/>
                <w:bCs/>
                <w:sz w:val="22"/>
                <w:szCs w:val="22"/>
              </w:rPr>
            </w:pPr>
            <w:r w:rsidRPr="00B40F4D">
              <w:rPr>
                <w:b/>
                <w:bCs/>
                <w:sz w:val="22"/>
                <w:szCs w:val="22"/>
              </w:rPr>
              <w:t>Till MJU inkomna EU-dokument m.m.</w:t>
            </w:r>
            <w:r>
              <w:rPr>
                <w:b/>
                <w:bCs/>
                <w:sz w:val="22"/>
                <w:szCs w:val="22"/>
              </w:rPr>
              <w:t xml:space="preserve"> 18 april – 8 maj</w:t>
            </w:r>
            <w:r w:rsidRPr="00B40F4D">
              <w:rPr>
                <w:b/>
                <w:bCs/>
                <w:sz w:val="22"/>
                <w:szCs w:val="22"/>
              </w:rPr>
              <w:t xml:space="preserve"> 20</w:t>
            </w:r>
            <w:r>
              <w:rPr>
                <w:b/>
                <w:bCs/>
                <w:sz w:val="22"/>
                <w:szCs w:val="22"/>
              </w:rPr>
              <w:t>23</w:t>
            </w:r>
          </w:p>
        </w:tc>
      </w:tr>
      <w:tr w:rsidR="00FC224F" w:rsidRPr="00B40F4D" w14:paraId="7DBB53B9" w14:textId="77777777" w:rsidTr="00FC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09" w:type="dxa"/>
          <w:wAfter w:w="72" w:type="dxa"/>
          <w:trHeight w:val="745"/>
        </w:trPr>
        <w:tc>
          <w:tcPr>
            <w:tcW w:w="9993" w:type="dxa"/>
            <w:gridSpan w:val="20"/>
            <w:tcBorders>
              <w:top w:val="single" w:sz="4" w:space="0" w:color="A9A9A9"/>
              <w:left w:val="single" w:sz="4" w:space="0" w:color="A9A9A9"/>
              <w:bottom w:val="single" w:sz="4" w:space="0" w:color="A9A9A9"/>
              <w:right w:val="single" w:sz="4" w:space="0" w:color="A9A9A9"/>
            </w:tcBorders>
            <w:shd w:val="clear" w:color="auto" w:fill="auto"/>
            <w:vAlign w:val="center"/>
          </w:tcPr>
          <w:p w14:paraId="617C6F01" w14:textId="77777777" w:rsidR="00FC224F" w:rsidRPr="00B40F4D" w:rsidRDefault="00FC224F" w:rsidP="0042205B">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FC224F" w:rsidRPr="00B40F4D" w14:paraId="3ECB8CE8" w14:textId="77777777" w:rsidTr="00FC224F">
        <w:trPr>
          <w:trHeight w:val="315"/>
          <w:tblHeader/>
        </w:trPr>
        <w:tc>
          <w:tcPr>
            <w:tcW w:w="1900" w:type="dxa"/>
            <w:gridSpan w:val="2"/>
            <w:shd w:val="clear" w:color="auto" w:fill="auto"/>
            <w:vAlign w:val="center"/>
          </w:tcPr>
          <w:p w14:paraId="1687E2A9" w14:textId="77777777" w:rsidR="00FC224F" w:rsidRPr="00B40F4D" w:rsidRDefault="00FC224F" w:rsidP="0042205B">
            <w:pPr>
              <w:rPr>
                <w:b/>
                <w:bCs/>
                <w:sz w:val="22"/>
                <w:szCs w:val="22"/>
              </w:rPr>
            </w:pPr>
            <w:r w:rsidRPr="00B40F4D">
              <w:rPr>
                <w:b/>
                <w:bCs/>
                <w:sz w:val="22"/>
                <w:szCs w:val="22"/>
              </w:rPr>
              <w:t>Beteckning</w:t>
            </w:r>
          </w:p>
        </w:tc>
        <w:tc>
          <w:tcPr>
            <w:tcW w:w="8874" w:type="dxa"/>
            <w:gridSpan w:val="20"/>
            <w:shd w:val="clear" w:color="auto" w:fill="auto"/>
            <w:vAlign w:val="center"/>
          </w:tcPr>
          <w:p w14:paraId="760F2A02" w14:textId="77777777" w:rsidR="00FC224F" w:rsidRPr="00B40F4D" w:rsidRDefault="00FC224F" w:rsidP="0042205B">
            <w:pPr>
              <w:rPr>
                <w:b/>
                <w:bCs/>
                <w:sz w:val="22"/>
                <w:szCs w:val="22"/>
              </w:rPr>
            </w:pPr>
            <w:r w:rsidRPr="00B40F4D">
              <w:rPr>
                <w:b/>
                <w:bCs/>
                <w:sz w:val="22"/>
                <w:szCs w:val="22"/>
              </w:rPr>
              <w:t>Rubrik</w:t>
            </w:r>
          </w:p>
        </w:tc>
      </w:tr>
      <w:tr w:rsidR="00F3265F" w:rsidRPr="00B40F4D" w14:paraId="34EE80C6" w14:textId="77777777" w:rsidTr="00FC224F">
        <w:trPr>
          <w:trHeight w:val="729"/>
        </w:trPr>
        <w:tc>
          <w:tcPr>
            <w:tcW w:w="1900" w:type="dxa"/>
            <w:gridSpan w:val="2"/>
            <w:shd w:val="clear" w:color="auto" w:fill="auto"/>
            <w:vAlign w:val="center"/>
          </w:tcPr>
          <w:p w14:paraId="21E975A0" w14:textId="469AB8ED" w:rsidR="00F3265F" w:rsidRPr="00F3265F" w:rsidRDefault="005638D0" w:rsidP="00F3265F">
            <w:pPr>
              <w:rPr>
                <w:b/>
                <w:bCs/>
                <w:sz w:val="22"/>
                <w:szCs w:val="22"/>
              </w:rPr>
            </w:pPr>
            <w:hyperlink r:id="rId10" w:history="1">
              <w:r w:rsidR="00F3265F" w:rsidRPr="00F3265F">
                <w:rPr>
                  <w:rStyle w:val="Hyperlnk"/>
                  <w:color w:val="auto"/>
                  <w:sz w:val="22"/>
                  <w:szCs w:val="22"/>
                  <w:u w:val="none"/>
                </w:rPr>
                <w:t>COM(2023) 103</w:t>
              </w:r>
            </w:hyperlink>
            <w:r w:rsidR="00F3265F" w:rsidRPr="00F3265F">
              <w:rPr>
                <w:sz w:val="22"/>
                <w:szCs w:val="22"/>
              </w:rPr>
              <w:t xml:space="preserve"> </w:t>
            </w:r>
          </w:p>
        </w:tc>
        <w:tc>
          <w:tcPr>
            <w:tcW w:w="8874" w:type="dxa"/>
            <w:gridSpan w:val="20"/>
            <w:shd w:val="clear" w:color="auto" w:fill="auto"/>
            <w:vAlign w:val="center"/>
          </w:tcPr>
          <w:p w14:paraId="145250B2" w14:textId="38B546B9" w:rsidR="00F3265F" w:rsidRPr="00F3265F" w:rsidRDefault="00F3265F" w:rsidP="00F3265F">
            <w:pPr>
              <w:rPr>
                <w:bCs/>
                <w:sz w:val="22"/>
                <w:szCs w:val="22"/>
              </w:rPr>
            </w:pPr>
            <w:r w:rsidRPr="00F3265F">
              <w:rPr>
                <w:sz w:val="22"/>
                <w:szCs w:val="22"/>
              </w:rPr>
              <w:t xml:space="preserve">Meddelande från kommissionen till Europaparlamentet och rådet </w:t>
            </w:r>
            <w:r w:rsidRPr="00F3265F">
              <w:rPr>
                <w:b/>
                <w:bCs/>
                <w:sz w:val="22"/>
                <w:szCs w:val="22"/>
              </w:rPr>
              <w:t>Den gemensamma fiskeripolitiken i dag och i morgon</w:t>
            </w:r>
            <w:r w:rsidRPr="00F3265F">
              <w:rPr>
                <w:sz w:val="22"/>
                <w:szCs w:val="22"/>
              </w:rPr>
              <w:t>: en pakt för fisket och haven för en hållbar, vetenskapsbaserad, innovativ och inkluderande fiskeförvaltning</w:t>
            </w:r>
            <w:r w:rsidRPr="00F3265F">
              <w:rPr>
                <w:sz w:val="22"/>
                <w:szCs w:val="22"/>
              </w:rPr>
              <w:br/>
            </w:r>
          </w:p>
        </w:tc>
      </w:tr>
      <w:tr w:rsidR="00F3265F" w:rsidRPr="00AF7893" w14:paraId="204B1952" w14:textId="77777777" w:rsidTr="00FC224F">
        <w:trPr>
          <w:trHeight w:val="729"/>
        </w:trPr>
        <w:tc>
          <w:tcPr>
            <w:tcW w:w="1900" w:type="dxa"/>
            <w:gridSpan w:val="2"/>
            <w:shd w:val="clear" w:color="auto" w:fill="auto"/>
            <w:vAlign w:val="center"/>
          </w:tcPr>
          <w:p w14:paraId="3CCF0A0A" w14:textId="1D66ECE5" w:rsidR="00F3265F" w:rsidRPr="00F3265F" w:rsidRDefault="005638D0" w:rsidP="00F3265F">
            <w:pPr>
              <w:rPr>
                <w:b/>
                <w:bCs/>
                <w:sz w:val="22"/>
                <w:szCs w:val="22"/>
              </w:rPr>
            </w:pPr>
            <w:hyperlink r:id="rId11" w:history="1">
              <w:r w:rsidR="00F3265F" w:rsidRPr="00F3265F">
                <w:rPr>
                  <w:rStyle w:val="Hyperlnk"/>
                  <w:color w:val="auto"/>
                  <w:sz w:val="22"/>
                  <w:szCs w:val="22"/>
                  <w:u w:val="none"/>
                </w:rPr>
                <w:t>SWD(2023) 103</w:t>
              </w:r>
            </w:hyperlink>
          </w:p>
        </w:tc>
        <w:tc>
          <w:tcPr>
            <w:tcW w:w="8874" w:type="dxa"/>
            <w:gridSpan w:val="20"/>
            <w:shd w:val="clear" w:color="auto" w:fill="auto"/>
            <w:vAlign w:val="center"/>
          </w:tcPr>
          <w:p w14:paraId="6DC100DD" w14:textId="109ABDD3" w:rsidR="00F3265F" w:rsidRPr="00F3265F" w:rsidRDefault="00F3265F" w:rsidP="00F3265F">
            <w:pPr>
              <w:rPr>
                <w:b/>
                <w:bCs/>
                <w:sz w:val="22"/>
                <w:szCs w:val="22"/>
              </w:rPr>
            </w:pPr>
            <w:r w:rsidRPr="00F3265F">
              <w:rPr>
                <w:sz w:val="22"/>
                <w:szCs w:val="22"/>
              </w:rPr>
              <w:t>ARBETSDOKUMENT från kommissionens AVDELNINGAR Den gemensamma fiskeripolitiken - lägesbeskrivning Följedokument till meddelande från kommissionen till Europaparlamentet och rådet Den gemensamma fiskeripolitiken i dag och i morgon: en pakt för fisket och haven för en hållbar, vetenskapsbaserad, innovativ och inkluderande fiskeförvaltning</w:t>
            </w:r>
            <w:r w:rsidRPr="00F3265F">
              <w:rPr>
                <w:sz w:val="22"/>
                <w:szCs w:val="22"/>
              </w:rPr>
              <w:br/>
            </w:r>
          </w:p>
        </w:tc>
      </w:tr>
      <w:tr w:rsidR="00F3265F" w:rsidRPr="00B40F4D" w14:paraId="1D78B1FC" w14:textId="77777777" w:rsidTr="00FC224F">
        <w:trPr>
          <w:trHeight w:val="729"/>
        </w:trPr>
        <w:tc>
          <w:tcPr>
            <w:tcW w:w="1900" w:type="dxa"/>
            <w:gridSpan w:val="2"/>
            <w:shd w:val="clear" w:color="auto" w:fill="auto"/>
            <w:vAlign w:val="center"/>
          </w:tcPr>
          <w:p w14:paraId="7C171C27" w14:textId="1B70F6B6" w:rsidR="00F3265F" w:rsidRPr="00F3265F" w:rsidRDefault="005638D0" w:rsidP="00F3265F">
            <w:pPr>
              <w:rPr>
                <w:sz w:val="22"/>
                <w:szCs w:val="22"/>
              </w:rPr>
            </w:pPr>
            <w:hyperlink r:id="rId12" w:history="1">
              <w:r w:rsidR="00F3265F" w:rsidRPr="00F3265F">
                <w:rPr>
                  <w:rStyle w:val="Hyperlnk"/>
                  <w:color w:val="auto"/>
                  <w:sz w:val="22"/>
                  <w:szCs w:val="22"/>
                  <w:u w:val="none"/>
                </w:rPr>
                <w:t>COM(2023) 200</w:t>
              </w:r>
            </w:hyperlink>
          </w:p>
        </w:tc>
        <w:tc>
          <w:tcPr>
            <w:tcW w:w="8874" w:type="dxa"/>
            <w:gridSpan w:val="20"/>
            <w:shd w:val="clear" w:color="auto" w:fill="auto"/>
            <w:vAlign w:val="center"/>
          </w:tcPr>
          <w:p w14:paraId="1D9FFB4E" w14:textId="57B55A4A" w:rsidR="00F3265F" w:rsidRPr="00F3265F" w:rsidRDefault="00F3265F" w:rsidP="00F3265F">
            <w:pPr>
              <w:rPr>
                <w:sz w:val="22"/>
                <w:szCs w:val="22"/>
              </w:rPr>
            </w:pPr>
            <w:r w:rsidRPr="00F3265F">
              <w:rPr>
                <w:sz w:val="22"/>
                <w:szCs w:val="22"/>
              </w:rPr>
              <w:t xml:space="preserve">RAPPORT från kommissionen till Europaparlamentet och rådet i enlighet med artikel 75.6 i förordning (EU) nr 1308/2013 om </w:t>
            </w:r>
            <w:r w:rsidRPr="00F3265F">
              <w:rPr>
                <w:b/>
                <w:bCs/>
                <w:sz w:val="22"/>
                <w:szCs w:val="22"/>
              </w:rPr>
              <w:t>nya handelsnormer för cider och päronvin och för torkade baljväxtfrön och sojabönor</w:t>
            </w:r>
            <w:r w:rsidRPr="00F3265F">
              <w:rPr>
                <w:b/>
                <w:bCs/>
                <w:sz w:val="22"/>
                <w:szCs w:val="22"/>
              </w:rPr>
              <w:br/>
            </w:r>
          </w:p>
        </w:tc>
      </w:tr>
      <w:tr w:rsidR="00F3265F" w:rsidRPr="00B40F4D" w14:paraId="39ACEE04" w14:textId="77777777" w:rsidTr="00FC224F">
        <w:trPr>
          <w:trHeight w:val="729"/>
        </w:trPr>
        <w:tc>
          <w:tcPr>
            <w:tcW w:w="1900" w:type="dxa"/>
            <w:gridSpan w:val="2"/>
            <w:shd w:val="clear" w:color="auto" w:fill="auto"/>
            <w:vAlign w:val="center"/>
          </w:tcPr>
          <w:p w14:paraId="3A50D16F" w14:textId="6355AF3C" w:rsidR="00F3265F" w:rsidRPr="00F3265F" w:rsidRDefault="005638D0" w:rsidP="00F3265F">
            <w:pPr>
              <w:rPr>
                <w:sz w:val="22"/>
                <w:szCs w:val="22"/>
              </w:rPr>
            </w:pPr>
            <w:hyperlink r:id="rId13" w:history="1">
              <w:r w:rsidR="00F3265F" w:rsidRPr="00F3265F">
                <w:rPr>
                  <w:rStyle w:val="Hyperlnk"/>
                  <w:color w:val="auto"/>
                  <w:sz w:val="22"/>
                  <w:szCs w:val="22"/>
                  <w:u w:val="none"/>
                </w:rPr>
                <w:t>COM(2023) 201</w:t>
              </w:r>
            </w:hyperlink>
          </w:p>
        </w:tc>
        <w:tc>
          <w:tcPr>
            <w:tcW w:w="8874" w:type="dxa"/>
            <w:gridSpan w:val="20"/>
            <w:shd w:val="clear" w:color="auto" w:fill="auto"/>
            <w:vAlign w:val="center"/>
          </w:tcPr>
          <w:p w14:paraId="497F74B4" w14:textId="69306F47" w:rsidR="00F3265F" w:rsidRPr="00F3265F" w:rsidRDefault="00F3265F" w:rsidP="00F3265F">
            <w:pPr>
              <w:rPr>
                <w:sz w:val="22"/>
                <w:szCs w:val="22"/>
              </w:rPr>
            </w:pPr>
            <w:r w:rsidRPr="00F3265F">
              <w:rPr>
                <w:sz w:val="22"/>
                <w:szCs w:val="22"/>
              </w:rPr>
              <w:t xml:space="preserve">Förslag till Europaparlamentets och rådets direktiv om </w:t>
            </w:r>
            <w:r w:rsidRPr="00F3265F">
              <w:rPr>
                <w:b/>
                <w:bCs/>
                <w:sz w:val="22"/>
                <w:szCs w:val="22"/>
              </w:rPr>
              <w:t>ändring av rådets direktiv</w:t>
            </w:r>
            <w:r w:rsidRPr="00F3265F">
              <w:rPr>
                <w:sz w:val="22"/>
                <w:szCs w:val="22"/>
              </w:rPr>
              <w:t xml:space="preserve"> 2001/110/EG om honung, 2001/112/EG om </w:t>
            </w:r>
            <w:r w:rsidRPr="00F3265F">
              <w:rPr>
                <w:b/>
                <w:bCs/>
                <w:sz w:val="22"/>
                <w:szCs w:val="22"/>
              </w:rPr>
              <w:t>fruktjuice</w:t>
            </w:r>
            <w:r w:rsidRPr="00F3265F">
              <w:rPr>
                <w:sz w:val="22"/>
                <w:szCs w:val="22"/>
              </w:rPr>
              <w:t xml:space="preserve"> och vissa liknande produkter avsedda som livsmedel, 2001/113/EG om </w:t>
            </w:r>
            <w:r w:rsidRPr="00F3265F">
              <w:rPr>
                <w:b/>
                <w:bCs/>
                <w:sz w:val="22"/>
                <w:szCs w:val="22"/>
              </w:rPr>
              <w:t>sylt, gelé och marmelad</w:t>
            </w:r>
            <w:r w:rsidRPr="00F3265F">
              <w:rPr>
                <w:sz w:val="22"/>
                <w:szCs w:val="22"/>
              </w:rPr>
              <w:t xml:space="preserve"> samt </w:t>
            </w:r>
            <w:r w:rsidRPr="00F3265F">
              <w:rPr>
                <w:b/>
                <w:bCs/>
                <w:sz w:val="22"/>
                <w:szCs w:val="22"/>
              </w:rPr>
              <w:t>sötad kastanjepuré</w:t>
            </w:r>
            <w:r w:rsidRPr="00F3265F">
              <w:rPr>
                <w:sz w:val="22"/>
                <w:szCs w:val="22"/>
              </w:rPr>
              <w:t xml:space="preserve"> avsedda som livsmedel och 2001/114/EG om vissa former av </w:t>
            </w:r>
            <w:r w:rsidRPr="00F3265F">
              <w:rPr>
                <w:b/>
                <w:bCs/>
                <w:sz w:val="22"/>
                <w:szCs w:val="22"/>
              </w:rPr>
              <w:t>hållbarhetsbehandlad, helt eller delvis dehydratiserad mjölk avsedd som livsmedel</w:t>
            </w:r>
            <w:r w:rsidRPr="00F3265F">
              <w:rPr>
                <w:b/>
                <w:bCs/>
                <w:sz w:val="22"/>
                <w:szCs w:val="22"/>
              </w:rPr>
              <w:br/>
            </w:r>
          </w:p>
        </w:tc>
      </w:tr>
      <w:tr w:rsidR="00F3265F" w:rsidRPr="00211FCA" w14:paraId="0BAA9ED1" w14:textId="77777777" w:rsidTr="00FC224F">
        <w:trPr>
          <w:trHeight w:val="729"/>
        </w:trPr>
        <w:tc>
          <w:tcPr>
            <w:tcW w:w="1900" w:type="dxa"/>
            <w:gridSpan w:val="2"/>
            <w:shd w:val="clear" w:color="auto" w:fill="auto"/>
            <w:vAlign w:val="center"/>
          </w:tcPr>
          <w:p w14:paraId="3A33D403" w14:textId="0229F8DF" w:rsidR="00F3265F" w:rsidRPr="00F3265F" w:rsidRDefault="005638D0" w:rsidP="00F3265F">
            <w:pPr>
              <w:rPr>
                <w:sz w:val="22"/>
                <w:szCs w:val="22"/>
              </w:rPr>
            </w:pPr>
            <w:hyperlink r:id="rId14" w:history="1">
              <w:proofErr w:type="gramStart"/>
              <w:r w:rsidR="00F3265F" w:rsidRPr="00F3265F">
                <w:rPr>
                  <w:rStyle w:val="Hyperlnk"/>
                  <w:color w:val="auto"/>
                  <w:sz w:val="22"/>
                  <w:szCs w:val="22"/>
                  <w:u w:val="none"/>
                  <w:lang w:val="en-GB"/>
                </w:rPr>
                <w:t>SWD(</w:t>
              </w:r>
              <w:proofErr w:type="gramEnd"/>
              <w:r w:rsidR="00F3265F" w:rsidRPr="00F3265F">
                <w:rPr>
                  <w:rStyle w:val="Hyperlnk"/>
                  <w:color w:val="auto"/>
                  <w:sz w:val="22"/>
                  <w:szCs w:val="22"/>
                  <w:u w:val="none"/>
                  <w:lang w:val="en-GB"/>
                </w:rPr>
                <w:t>2023) 97</w:t>
              </w:r>
            </w:hyperlink>
          </w:p>
        </w:tc>
        <w:tc>
          <w:tcPr>
            <w:tcW w:w="8874" w:type="dxa"/>
            <w:gridSpan w:val="20"/>
            <w:shd w:val="clear" w:color="auto" w:fill="auto"/>
            <w:vAlign w:val="center"/>
          </w:tcPr>
          <w:p w14:paraId="715958A5" w14:textId="1F3D4314" w:rsidR="00F3265F" w:rsidRPr="00F3265F" w:rsidRDefault="00F3265F" w:rsidP="00F3265F">
            <w:pPr>
              <w:rPr>
                <w:sz w:val="22"/>
                <w:szCs w:val="22"/>
                <w:lang w:val="en-GB"/>
              </w:rPr>
            </w:pPr>
            <w:r w:rsidRPr="00F3265F">
              <w:rPr>
                <w:sz w:val="22"/>
                <w:szCs w:val="22"/>
                <w:lang w:val="en-GB"/>
              </w:rPr>
              <w:t>COMMISSION STAFF WORKING DOCUMENT IMPACT ASSESSMENT REPORT Revision of EU marketing standards for agricultural products to ensure the uptake and supply of sustainable products Accompanying the document Proposal for a Directive of the European Parliament and of the Council amending Council Directives 2001/110/EC relating to honey, 2001/112/EC relating to fruit juices and certain similar products intended for human consumption, 2001/113/EC relating to fruit jams, jellies and marmalades and sweetened chestnut purée intended for human consumption, and 2001/114/EC relating to certain partly or wholly dehydrated preserved milk for human consumption</w:t>
            </w:r>
            <w:r w:rsidRPr="00F3265F">
              <w:rPr>
                <w:sz w:val="22"/>
                <w:szCs w:val="22"/>
                <w:lang w:val="en-GB"/>
              </w:rPr>
              <w:br/>
            </w:r>
          </w:p>
        </w:tc>
      </w:tr>
      <w:tr w:rsidR="00F3265F" w:rsidRPr="00F3265F" w14:paraId="178C33E7" w14:textId="77777777" w:rsidTr="00FC224F">
        <w:trPr>
          <w:trHeight w:val="729"/>
        </w:trPr>
        <w:tc>
          <w:tcPr>
            <w:tcW w:w="1900" w:type="dxa"/>
            <w:gridSpan w:val="2"/>
            <w:shd w:val="clear" w:color="auto" w:fill="auto"/>
            <w:vAlign w:val="center"/>
          </w:tcPr>
          <w:p w14:paraId="2B9B688E" w14:textId="6C3E92D9" w:rsidR="00F3265F" w:rsidRPr="00F3265F" w:rsidRDefault="005638D0" w:rsidP="00F3265F">
            <w:pPr>
              <w:rPr>
                <w:sz w:val="22"/>
                <w:szCs w:val="22"/>
                <w:lang w:val="en-GB"/>
              </w:rPr>
            </w:pPr>
            <w:hyperlink r:id="rId15" w:history="1">
              <w:proofErr w:type="gramStart"/>
              <w:r w:rsidR="00F3265F" w:rsidRPr="00F3265F">
                <w:rPr>
                  <w:rStyle w:val="Hyperlnk"/>
                  <w:color w:val="auto"/>
                  <w:sz w:val="22"/>
                  <w:szCs w:val="22"/>
                  <w:u w:val="none"/>
                </w:rPr>
                <w:t>SWD(</w:t>
              </w:r>
              <w:proofErr w:type="gramEnd"/>
              <w:r w:rsidR="00F3265F" w:rsidRPr="00F3265F">
                <w:rPr>
                  <w:rStyle w:val="Hyperlnk"/>
                  <w:color w:val="auto"/>
                  <w:sz w:val="22"/>
                  <w:szCs w:val="22"/>
                  <w:u w:val="none"/>
                </w:rPr>
                <w:t>2023) 98</w:t>
              </w:r>
            </w:hyperlink>
          </w:p>
        </w:tc>
        <w:tc>
          <w:tcPr>
            <w:tcW w:w="8874" w:type="dxa"/>
            <w:gridSpan w:val="20"/>
            <w:shd w:val="clear" w:color="auto" w:fill="auto"/>
            <w:vAlign w:val="center"/>
          </w:tcPr>
          <w:p w14:paraId="0406E502" w14:textId="37947ACE" w:rsidR="00F3265F" w:rsidRPr="00F3265F" w:rsidRDefault="00F3265F" w:rsidP="00F3265F">
            <w:pPr>
              <w:rPr>
                <w:b/>
                <w:bCs/>
                <w:sz w:val="22"/>
                <w:szCs w:val="22"/>
              </w:rPr>
            </w:pPr>
            <w:r w:rsidRPr="00F3265F">
              <w:rPr>
                <w:sz w:val="22"/>
                <w:szCs w:val="22"/>
              </w:rPr>
              <w:t>ARBETSDOKUMENT från kommissionens AVDELNINGAR SAMMANFATTNING AV KONSEKVENSBEDÖMNINGSRAPPORTEN Revidering av EU:s handelsnormer för jordbruksprodukter för att säkerställa spridningen av och tillgången på hållbart producerade produkter Följedokument till Förslag till Europaparlamentets och rådets direktiv om ändring av rådets direktiv 2001/110/EG om honung, 2001/112/EG om fruktjuice och vissa liknande produkter avsedda som livsmedel, 2001/113/EG om sylt, gelé och marmelad samt sötad kastanjepuré avsedda som livsmedel och 2001/114/EG om vissa former av hållbarhetsbehandlad, helt eller delvis dehydratiserad mjölk avsedd som livsmedel</w:t>
            </w:r>
            <w:r w:rsidRPr="00F3265F">
              <w:rPr>
                <w:sz w:val="22"/>
                <w:szCs w:val="22"/>
              </w:rPr>
              <w:br/>
            </w:r>
          </w:p>
        </w:tc>
      </w:tr>
      <w:tr w:rsidR="00F3265F" w:rsidRPr="00211FCA" w14:paraId="5AABF256" w14:textId="77777777" w:rsidTr="00FC224F">
        <w:trPr>
          <w:trHeight w:val="729"/>
        </w:trPr>
        <w:tc>
          <w:tcPr>
            <w:tcW w:w="1900" w:type="dxa"/>
            <w:gridSpan w:val="2"/>
            <w:shd w:val="clear" w:color="auto" w:fill="auto"/>
            <w:vAlign w:val="center"/>
          </w:tcPr>
          <w:p w14:paraId="338C420B" w14:textId="563800EF" w:rsidR="00F3265F" w:rsidRPr="00F3265F" w:rsidRDefault="005638D0" w:rsidP="00F3265F">
            <w:pPr>
              <w:rPr>
                <w:sz w:val="22"/>
                <w:szCs w:val="22"/>
                <w:lang w:val="en-GB"/>
              </w:rPr>
            </w:pPr>
            <w:hyperlink r:id="rId16" w:history="1">
              <w:proofErr w:type="gramStart"/>
              <w:r w:rsidR="00F3265F" w:rsidRPr="00F3265F">
                <w:rPr>
                  <w:rStyle w:val="Hyperlnk"/>
                  <w:color w:val="auto"/>
                  <w:sz w:val="22"/>
                  <w:szCs w:val="22"/>
                  <w:u w:val="none"/>
                  <w:lang w:val="en-GB"/>
                </w:rPr>
                <w:t>SEC(</w:t>
              </w:r>
              <w:proofErr w:type="gramEnd"/>
              <w:r w:rsidR="00F3265F" w:rsidRPr="00F3265F">
                <w:rPr>
                  <w:rStyle w:val="Hyperlnk"/>
                  <w:color w:val="auto"/>
                  <w:sz w:val="22"/>
                  <w:szCs w:val="22"/>
                  <w:u w:val="none"/>
                  <w:lang w:val="en-GB"/>
                </w:rPr>
                <w:t>2023) 162</w:t>
              </w:r>
            </w:hyperlink>
          </w:p>
        </w:tc>
        <w:tc>
          <w:tcPr>
            <w:tcW w:w="8874" w:type="dxa"/>
            <w:gridSpan w:val="20"/>
            <w:shd w:val="clear" w:color="auto" w:fill="auto"/>
            <w:vAlign w:val="center"/>
          </w:tcPr>
          <w:p w14:paraId="26CE7D5C" w14:textId="3D88B155" w:rsidR="00F3265F" w:rsidRPr="00F3265F" w:rsidRDefault="00F3265F" w:rsidP="00F3265F">
            <w:pPr>
              <w:rPr>
                <w:b/>
                <w:bCs/>
                <w:sz w:val="22"/>
                <w:szCs w:val="22"/>
                <w:lang w:val="en-GB"/>
              </w:rPr>
            </w:pPr>
            <w:r w:rsidRPr="00F3265F">
              <w:rPr>
                <w:sz w:val="22"/>
                <w:szCs w:val="22"/>
                <w:lang w:val="en-GB"/>
              </w:rPr>
              <w:t>REGULATORY SCRUTINY BOARD OPINION Proposal for a DIRECTIVE OF THE EUROPEAN PARLIAMENT AND OF THE COUNCIL amending Council Directives 2001/110/EC relating to honey, 2001/112/EC relating to fruit juices and certain similar products intended for human consumption, 2001/113/EC relating to fruit jams, jellies and marmalades and sweetened chestnut purée intended for human consumption, and 2001/114/EC relating to certain partly or wholly dehydrated preserved milk for human consumption</w:t>
            </w:r>
            <w:r w:rsidRPr="00F3265F">
              <w:rPr>
                <w:sz w:val="22"/>
                <w:szCs w:val="22"/>
                <w:lang w:val="en-GB"/>
              </w:rPr>
              <w:br/>
            </w:r>
          </w:p>
        </w:tc>
      </w:tr>
      <w:tr w:rsidR="00F3265F" w:rsidRPr="00F3265F" w14:paraId="2D88C165" w14:textId="77777777" w:rsidTr="00FC224F">
        <w:trPr>
          <w:trHeight w:val="729"/>
        </w:trPr>
        <w:tc>
          <w:tcPr>
            <w:tcW w:w="1900" w:type="dxa"/>
            <w:gridSpan w:val="2"/>
            <w:shd w:val="clear" w:color="auto" w:fill="auto"/>
            <w:vAlign w:val="center"/>
          </w:tcPr>
          <w:p w14:paraId="1B28190C" w14:textId="4007E1EC" w:rsidR="00F3265F" w:rsidRPr="00F3265F" w:rsidRDefault="005638D0" w:rsidP="00F3265F">
            <w:pPr>
              <w:rPr>
                <w:sz w:val="22"/>
                <w:szCs w:val="22"/>
                <w:lang w:val="en-GB"/>
              </w:rPr>
            </w:pPr>
            <w:hyperlink r:id="rId17" w:history="1">
              <w:proofErr w:type="gramStart"/>
              <w:r w:rsidR="00F3265F" w:rsidRPr="00F3265F">
                <w:rPr>
                  <w:rStyle w:val="Hyperlnk"/>
                  <w:color w:val="auto"/>
                  <w:sz w:val="22"/>
                  <w:szCs w:val="22"/>
                  <w:u w:val="none"/>
                </w:rPr>
                <w:t>COM(</w:t>
              </w:r>
              <w:proofErr w:type="gramEnd"/>
              <w:r w:rsidR="00F3265F" w:rsidRPr="00F3265F">
                <w:rPr>
                  <w:rStyle w:val="Hyperlnk"/>
                  <w:color w:val="auto"/>
                  <w:sz w:val="22"/>
                  <w:szCs w:val="22"/>
                  <w:u w:val="none"/>
                </w:rPr>
                <w:t>2023) 213</w:t>
              </w:r>
            </w:hyperlink>
          </w:p>
        </w:tc>
        <w:tc>
          <w:tcPr>
            <w:tcW w:w="8874" w:type="dxa"/>
            <w:gridSpan w:val="20"/>
            <w:shd w:val="clear" w:color="auto" w:fill="auto"/>
            <w:vAlign w:val="center"/>
          </w:tcPr>
          <w:p w14:paraId="6C55AADD" w14:textId="0972DEA0" w:rsidR="00F3265F" w:rsidRPr="00F3265F" w:rsidRDefault="00F3265F" w:rsidP="00F3265F">
            <w:pPr>
              <w:rPr>
                <w:b/>
                <w:bCs/>
                <w:sz w:val="22"/>
                <w:szCs w:val="22"/>
              </w:rPr>
            </w:pPr>
            <w:r w:rsidRPr="00F3265F">
              <w:rPr>
                <w:sz w:val="22"/>
                <w:szCs w:val="22"/>
              </w:rPr>
              <w:t xml:space="preserve">Förslag till rådets beslut om den ståndpunkt som ska intas på Europeiska unionens vägnar i </w:t>
            </w:r>
            <w:r w:rsidRPr="00F3265F">
              <w:rPr>
                <w:b/>
                <w:bCs/>
                <w:sz w:val="22"/>
                <w:szCs w:val="22"/>
              </w:rPr>
              <w:t xml:space="preserve">Internationella </w:t>
            </w:r>
            <w:proofErr w:type="spellStart"/>
            <w:r w:rsidRPr="00F3265F">
              <w:rPr>
                <w:b/>
                <w:bCs/>
                <w:sz w:val="22"/>
                <w:szCs w:val="22"/>
              </w:rPr>
              <w:t>vinorganisationen</w:t>
            </w:r>
            <w:proofErr w:type="spellEnd"/>
            <w:r w:rsidRPr="00F3265F">
              <w:rPr>
                <w:sz w:val="22"/>
                <w:szCs w:val="22"/>
              </w:rPr>
              <w:t xml:space="preserve"> (OIV)</w:t>
            </w:r>
            <w:r w:rsidRPr="00F3265F">
              <w:rPr>
                <w:sz w:val="22"/>
                <w:szCs w:val="22"/>
              </w:rPr>
              <w:br/>
            </w:r>
          </w:p>
        </w:tc>
      </w:tr>
      <w:tr w:rsidR="00F3265F" w:rsidRPr="00F3265F" w14:paraId="46E72F9C" w14:textId="77777777" w:rsidTr="00FC224F">
        <w:trPr>
          <w:trHeight w:val="729"/>
        </w:trPr>
        <w:tc>
          <w:tcPr>
            <w:tcW w:w="1900" w:type="dxa"/>
            <w:gridSpan w:val="2"/>
            <w:shd w:val="clear" w:color="auto" w:fill="auto"/>
            <w:vAlign w:val="center"/>
          </w:tcPr>
          <w:p w14:paraId="19FA853D" w14:textId="16D342F8" w:rsidR="00F3265F" w:rsidRPr="00F3265F" w:rsidRDefault="005638D0" w:rsidP="00F3265F">
            <w:pPr>
              <w:rPr>
                <w:sz w:val="22"/>
                <w:szCs w:val="22"/>
                <w:lang w:val="en-GB"/>
              </w:rPr>
            </w:pPr>
            <w:hyperlink r:id="rId18" w:history="1">
              <w:r w:rsidR="00F3265F" w:rsidRPr="00F3265F">
                <w:rPr>
                  <w:rStyle w:val="Hyperlnk"/>
                  <w:color w:val="auto"/>
                  <w:sz w:val="22"/>
                  <w:szCs w:val="22"/>
                  <w:u w:val="none"/>
                </w:rPr>
                <w:t>COM(2023) 215</w:t>
              </w:r>
            </w:hyperlink>
          </w:p>
        </w:tc>
        <w:tc>
          <w:tcPr>
            <w:tcW w:w="8874" w:type="dxa"/>
            <w:gridSpan w:val="20"/>
            <w:shd w:val="clear" w:color="auto" w:fill="auto"/>
            <w:vAlign w:val="center"/>
          </w:tcPr>
          <w:p w14:paraId="41BCE954" w14:textId="77777777" w:rsidR="00F3265F" w:rsidRPr="00F3265F" w:rsidRDefault="00F3265F" w:rsidP="00F3265F">
            <w:pPr>
              <w:rPr>
                <w:sz w:val="22"/>
                <w:szCs w:val="22"/>
              </w:rPr>
            </w:pPr>
            <w:r w:rsidRPr="00F3265F">
              <w:rPr>
                <w:sz w:val="22"/>
                <w:szCs w:val="22"/>
              </w:rPr>
              <w:t xml:space="preserve">RAPPORT från kommissionen till Europaparlamentet och rådet om </w:t>
            </w:r>
            <w:proofErr w:type="spellStart"/>
            <w:r w:rsidRPr="00F3265F">
              <w:rPr>
                <w:sz w:val="22"/>
                <w:szCs w:val="22"/>
              </w:rPr>
              <w:t>EGFJ:s</w:t>
            </w:r>
            <w:proofErr w:type="spellEnd"/>
            <w:r w:rsidRPr="00F3265F">
              <w:rPr>
                <w:sz w:val="22"/>
                <w:szCs w:val="22"/>
              </w:rPr>
              <w:t xml:space="preserve"> utgifter </w:t>
            </w:r>
            <w:r w:rsidRPr="00F3265F">
              <w:rPr>
                <w:b/>
                <w:bCs/>
                <w:sz w:val="22"/>
                <w:szCs w:val="22"/>
              </w:rPr>
              <w:t>System för tidig varning</w:t>
            </w:r>
            <w:r w:rsidRPr="00F3265F">
              <w:rPr>
                <w:sz w:val="22"/>
                <w:szCs w:val="22"/>
              </w:rPr>
              <w:t xml:space="preserve"> nr </w:t>
            </w:r>
            <w:proofErr w:type="gramStart"/>
            <w:r w:rsidRPr="00F3265F">
              <w:rPr>
                <w:sz w:val="22"/>
                <w:szCs w:val="22"/>
              </w:rPr>
              <w:t>1-3</w:t>
            </w:r>
            <w:proofErr w:type="gramEnd"/>
            <w:r w:rsidRPr="00F3265F">
              <w:rPr>
                <w:sz w:val="22"/>
                <w:szCs w:val="22"/>
              </w:rPr>
              <w:t>/2023</w:t>
            </w:r>
          </w:p>
          <w:p w14:paraId="3AD63620" w14:textId="77777777" w:rsidR="00F3265F" w:rsidRPr="00F3265F" w:rsidRDefault="00F3265F" w:rsidP="00F3265F">
            <w:pPr>
              <w:rPr>
                <w:b/>
                <w:bCs/>
                <w:sz w:val="22"/>
                <w:szCs w:val="22"/>
              </w:rPr>
            </w:pPr>
          </w:p>
        </w:tc>
      </w:tr>
      <w:tr w:rsidR="00F3265F" w:rsidRPr="00F3265F" w14:paraId="6835442D" w14:textId="77777777" w:rsidTr="00FC224F">
        <w:trPr>
          <w:trHeight w:val="729"/>
        </w:trPr>
        <w:tc>
          <w:tcPr>
            <w:tcW w:w="1900" w:type="dxa"/>
            <w:gridSpan w:val="2"/>
            <w:shd w:val="clear" w:color="auto" w:fill="auto"/>
            <w:vAlign w:val="center"/>
          </w:tcPr>
          <w:p w14:paraId="77D84BEC" w14:textId="07500F11" w:rsidR="00F3265F" w:rsidRPr="00F3265F" w:rsidRDefault="005638D0" w:rsidP="00F3265F">
            <w:pPr>
              <w:rPr>
                <w:sz w:val="22"/>
                <w:szCs w:val="22"/>
                <w:lang w:val="en-GB"/>
              </w:rPr>
            </w:pPr>
            <w:hyperlink r:id="rId19" w:history="1">
              <w:r w:rsidR="00F3265F" w:rsidRPr="00F3265F">
                <w:rPr>
                  <w:rStyle w:val="Hyperlnk"/>
                  <w:color w:val="auto"/>
                  <w:sz w:val="22"/>
                  <w:szCs w:val="22"/>
                  <w:u w:val="none"/>
                </w:rPr>
                <w:t>COM(2023) 216</w:t>
              </w:r>
            </w:hyperlink>
          </w:p>
        </w:tc>
        <w:tc>
          <w:tcPr>
            <w:tcW w:w="8874" w:type="dxa"/>
            <w:gridSpan w:val="20"/>
            <w:shd w:val="clear" w:color="auto" w:fill="auto"/>
            <w:vAlign w:val="center"/>
          </w:tcPr>
          <w:p w14:paraId="3FE5A69A" w14:textId="255EA099" w:rsidR="00F3265F" w:rsidRPr="00F3265F" w:rsidRDefault="00F3265F" w:rsidP="00F3265F">
            <w:pPr>
              <w:rPr>
                <w:b/>
                <w:bCs/>
                <w:sz w:val="22"/>
                <w:szCs w:val="22"/>
              </w:rPr>
            </w:pPr>
            <w:r w:rsidRPr="00F3265F">
              <w:rPr>
                <w:sz w:val="22"/>
                <w:szCs w:val="22"/>
              </w:rPr>
              <w:t xml:space="preserve">Förslag till rådets förordning om fördelning av fiskemöjligheterna enligt genomförandeprotokollet till </w:t>
            </w:r>
            <w:r w:rsidRPr="00F3265F">
              <w:rPr>
                <w:b/>
                <w:bCs/>
                <w:sz w:val="22"/>
                <w:szCs w:val="22"/>
              </w:rPr>
              <w:t>partnerskapsavtalet om hållbart fiske mellan Europeiska unionen och Republiken Madagaskar</w:t>
            </w:r>
            <w:r w:rsidRPr="00F3265F">
              <w:rPr>
                <w:sz w:val="22"/>
                <w:szCs w:val="22"/>
              </w:rPr>
              <w:br/>
            </w:r>
          </w:p>
        </w:tc>
      </w:tr>
      <w:tr w:rsidR="00F3265F" w:rsidRPr="00F3265F" w14:paraId="576D56CF" w14:textId="77777777" w:rsidTr="00FC224F">
        <w:trPr>
          <w:trHeight w:val="729"/>
        </w:trPr>
        <w:tc>
          <w:tcPr>
            <w:tcW w:w="1900" w:type="dxa"/>
            <w:gridSpan w:val="2"/>
            <w:shd w:val="clear" w:color="auto" w:fill="auto"/>
            <w:vAlign w:val="center"/>
          </w:tcPr>
          <w:p w14:paraId="587990AB" w14:textId="3A43C182" w:rsidR="00F3265F" w:rsidRPr="00F3265F" w:rsidRDefault="005638D0" w:rsidP="00F3265F">
            <w:pPr>
              <w:rPr>
                <w:sz w:val="22"/>
                <w:szCs w:val="22"/>
                <w:lang w:val="en-GB"/>
              </w:rPr>
            </w:pPr>
            <w:hyperlink r:id="rId20" w:history="1">
              <w:r w:rsidR="00F3265F" w:rsidRPr="00F3265F">
                <w:rPr>
                  <w:rStyle w:val="Hyperlnk"/>
                  <w:color w:val="auto"/>
                  <w:sz w:val="22"/>
                  <w:szCs w:val="22"/>
                  <w:u w:val="none"/>
                </w:rPr>
                <w:t>COM(2023) 218</w:t>
              </w:r>
            </w:hyperlink>
          </w:p>
        </w:tc>
        <w:tc>
          <w:tcPr>
            <w:tcW w:w="8874" w:type="dxa"/>
            <w:gridSpan w:val="20"/>
            <w:shd w:val="clear" w:color="auto" w:fill="auto"/>
            <w:vAlign w:val="center"/>
          </w:tcPr>
          <w:p w14:paraId="4AAFDAE5" w14:textId="54636D58" w:rsidR="00F3265F" w:rsidRPr="00F3265F" w:rsidRDefault="00F3265F" w:rsidP="00F3265F">
            <w:pPr>
              <w:rPr>
                <w:b/>
                <w:bCs/>
                <w:sz w:val="22"/>
                <w:szCs w:val="22"/>
              </w:rPr>
            </w:pPr>
            <w:r w:rsidRPr="00F3265F">
              <w:rPr>
                <w:sz w:val="22"/>
                <w:szCs w:val="22"/>
              </w:rPr>
              <w:t xml:space="preserve">Förslag till rådets beslut om undertecknade, på Europeiska unionens vägnar, och provisorisk tillämpning av ett </w:t>
            </w:r>
            <w:r w:rsidRPr="00F3265F">
              <w:rPr>
                <w:b/>
                <w:bCs/>
                <w:sz w:val="22"/>
                <w:szCs w:val="22"/>
              </w:rPr>
              <w:t>partnerskapsavtal om hållbart fiske mellan Europeiska unionen och Republiken Madagaskar</w:t>
            </w:r>
            <w:r w:rsidRPr="00F3265F">
              <w:rPr>
                <w:sz w:val="22"/>
                <w:szCs w:val="22"/>
              </w:rPr>
              <w:t xml:space="preserve"> och av genomförandeprotokollet till avtalet (2023–2027)</w:t>
            </w:r>
            <w:r w:rsidRPr="00F3265F">
              <w:rPr>
                <w:sz w:val="22"/>
                <w:szCs w:val="22"/>
              </w:rPr>
              <w:br/>
            </w:r>
          </w:p>
        </w:tc>
      </w:tr>
      <w:tr w:rsidR="00F3265F" w:rsidRPr="00F3265F" w14:paraId="26BD2FDD" w14:textId="77777777" w:rsidTr="00FC224F">
        <w:trPr>
          <w:trHeight w:val="729"/>
        </w:trPr>
        <w:tc>
          <w:tcPr>
            <w:tcW w:w="1900" w:type="dxa"/>
            <w:gridSpan w:val="2"/>
            <w:shd w:val="clear" w:color="auto" w:fill="auto"/>
            <w:vAlign w:val="center"/>
          </w:tcPr>
          <w:p w14:paraId="27A1FECD" w14:textId="0566B000" w:rsidR="00F3265F" w:rsidRPr="00F3265F" w:rsidRDefault="005638D0" w:rsidP="00F3265F">
            <w:pPr>
              <w:rPr>
                <w:sz w:val="22"/>
                <w:szCs w:val="22"/>
                <w:lang w:val="en-GB"/>
              </w:rPr>
            </w:pPr>
            <w:hyperlink r:id="rId21" w:history="1">
              <w:r w:rsidR="00F3265F" w:rsidRPr="00F3265F">
                <w:rPr>
                  <w:rStyle w:val="Hyperlnk"/>
                  <w:color w:val="auto"/>
                  <w:sz w:val="22"/>
                  <w:szCs w:val="22"/>
                  <w:u w:val="none"/>
                </w:rPr>
                <w:t>COM(2023) 219</w:t>
              </w:r>
            </w:hyperlink>
          </w:p>
        </w:tc>
        <w:tc>
          <w:tcPr>
            <w:tcW w:w="8874" w:type="dxa"/>
            <w:gridSpan w:val="20"/>
            <w:shd w:val="clear" w:color="auto" w:fill="auto"/>
            <w:vAlign w:val="center"/>
          </w:tcPr>
          <w:p w14:paraId="0CB8C07D" w14:textId="4F7A9A1C" w:rsidR="00F3265F" w:rsidRPr="00F3265F" w:rsidRDefault="00F3265F" w:rsidP="00F3265F">
            <w:pPr>
              <w:rPr>
                <w:b/>
                <w:bCs/>
                <w:sz w:val="22"/>
                <w:szCs w:val="22"/>
              </w:rPr>
            </w:pPr>
            <w:r w:rsidRPr="00F3265F">
              <w:rPr>
                <w:sz w:val="22"/>
                <w:szCs w:val="22"/>
              </w:rPr>
              <w:t xml:space="preserve">Förslag till rådets beslut om ingående, på Europeiska unionens vägnar, och provisorisk tillämpning av ett partnerskapsavtal om </w:t>
            </w:r>
            <w:r w:rsidRPr="00F3265F">
              <w:rPr>
                <w:b/>
                <w:bCs/>
                <w:sz w:val="22"/>
                <w:szCs w:val="22"/>
              </w:rPr>
              <w:t xml:space="preserve">hållbart fiske mellan Europeiska unionen och Republiken Madagaskar </w:t>
            </w:r>
            <w:r w:rsidRPr="00F3265F">
              <w:rPr>
                <w:sz w:val="22"/>
                <w:szCs w:val="22"/>
              </w:rPr>
              <w:t>och av genomförandeprotokollet till avtalet (2023–2027)</w:t>
            </w:r>
            <w:r w:rsidRPr="00F3265F">
              <w:rPr>
                <w:sz w:val="22"/>
                <w:szCs w:val="22"/>
              </w:rPr>
              <w:br/>
            </w:r>
          </w:p>
        </w:tc>
      </w:tr>
      <w:tr w:rsidR="00F3265F" w:rsidRPr="00F3265F" w14:paraId="7824DFE3" w14:textId="77777777" w:rsidTr="00FC224F">
        <w:trPr>
          <w:trHeight w:val="729"/>
        </w:trPr>
        <w:tc>
          <w:tcPr>
            <w:tcW w:w="1900" w:type="dxa"/>
            <w:gridSpan w:val="2"/>
            <w:shd w:val="clear" w:color="auto" w:fill="auto"/>
            <w:vAlign w:val="center"/>
          </w:tcPr>
          <w:p w14:paraId="37032F87" w14:textId="152456D6" w:rsidR="00F3265F" w:rsidRPr="00F3265F" w:rsidRDefault="005638D0" w:rsidP="00F3265F">
            <w:pPr>
              <w:rPr>
                <w:sz w:val="22"/>
                <w:szCs w:val="22"/>
              </w:rPr>
            </w:pPr>
            <w:hyperlink r:id="rId22" w:history="1">
              <w:r w:rsidR="00F3265F" w:rsidRPr="00F3265F">
                <w:rPr>
                  <w:rStyle w:val="Hyperlnk"/>
                  <w:color w:val="auto"/>
                  <w:sz w:val="22"/>
                  <w:szCs w:val="22"/>
                  <w:u w:val="none"/>
                </w:rPr>
                <w:t>COM(2023) 235</w:t>
              </w:r>
            </w:hyperlink>
          </w:p>
        </w:tc>
        <w:tc>
          <w:tcPr>
            <w:tcW w:w="8874" w:type="dxa"/>
            <w:gridSpan w:val="20"/>
            <w:shd w:val="clear" w:color="auto" w:fill="auto"/>
            <w:vAlign w:val="center"/>
          </w:tcPr>
          <w:p w14:paraId="10431261" w14:textId="2E241234" w:rsidR="00F3265F" w:rsidRPr="00F3265F" w:rsidRDefault="00F3265F" w:rsidP="00F3265F">
            <w:pPr>
              <w:rPr>
                <w:b/>
                <w:bCs/>
                <w:sz w:val="22"/>
                <w:szCs w:val="22"/>
              </w:rPr>
            </w:pPr>
            <w:r w:rsidRPr="00F3265F">
              <w:rPr>
                <w:sz w:val="22"/>
                <w:szCs w:val="22"/>
              </w:rPr>
              <w:t xml:space="preserve">RAPPORT från kommissionen om det övergripande genomförandet av EU-ländernas offentliga kontroller under 2021 för att säkerställa </w:t>
            </w:r>
            <w:r w:rsidRPr="00F3265F">
              <w:rPr>
                <w:b/>
                <w:bCs/>
                <w:sz w:val="22"/>
                <w:szCs w:val="22"/>
              </w:rPr>
              <w:t>tillämpningen av livsmedels- och foderlagstiftningen och av bestämmelser om djurs hälsa, djurskydd, växtskydd och växtskyddsmedel</w:t>
            </w:r>
          </w:p>
        </w:tc>
      </w:tr>
      <w:tr w:rsidR="00F3265F" w:rsidRPr="00211FCA" w14:paraId="422C113B" w14:textId="77777777" w:rsidTr="00FC224F">
        <w:trPr>
          <w:trHeight w:val="729"/>
        </w:trPr>
        <w:tc>
          <w:tcPr>
            <w:tcW w:w="1900" w:type="dxa"/>
            <w:gridSpan w:val="2"/>
            <w:shd w:val="clear" w:color="auto" w:fill="auto"/>
            <w:vAlign w:val="center"/>
          </w:tcPr>
          <w:p w14:paraId="137418B4" w14:textId="38DB3327" w:rsidR="00F3265F" w:rsidRPr="00F3265F" w:rsidRDefault="005638D0" w:rsidP="00F3265F">
            <w:pPr>
              <w:rPr>
                <w:sz w:val="22"/>
                <w:szCs w:val="22"/>
              </w:rPr>
            </w:pPr>
            <w:hyperlink r:id="rId23" w:history="1">
              <w:proofErr w:type="gramStart"/>
              <w:r w:rsidR="00F3265F" w:rsidRPr="00F3265F">
                <w:rPr>
                  <w:rStyle w:val="Hyperlnk"/>
                  <w:color w:val="auto"/>
                  <w:sz w:val="22"/>
                  <w:szCs w:val="22"/>
                  <w:u w:val="none"/>
                  <w:lang w:val="en-GB"/>
                </w:rPr>
                <w:t>SWD(</w:t>
              </w:r>
              <w:proofErr w:type="gramEnd"/>
              <w:r w:rsidR="00F3265F" w:rsidRPr="00F3265F">
                <w:rPr>
                  <w:rStyle w:val="Hyperlnk"/>
                  <w:color w:val="auto"/>
                  <w:sz w:val="22"/>
                  <w:szCs w:val="22"/>
                  <w:u w:val="none"/>
                  <w:lang w:val="en-GB"/>
                </w:rPr>
                <w:t>2023) 131</w:t>
              </w:r>
            </w:hyperlink>
          </w:p>
        </w:tc>
        <w:tc>
          <w:tcPr>
            <w:tcW w:w="8874" w:type="dxa"/>
            <w:gridSpan w:val="20"/>
            <w:shd w:val="clear" w:color="auto" w:fill="auto"/>
            <w:vAlign w:val="center"/>
          </w:tcPr>
          <w:p w14:paraId="67E47366" w14:textId="4C4625FA" w:rsidR="00F3265F" w:rsidRPr="00F3265F" w:rsidRDefault="00F3265F" w:rsidP="00F3265F">
            <w:pPr>
              <w:rPr>
                <w:b/>
                <w:bCs/>
                <w:sz w:val="22"/>
                <w:szCs w:val="22"/>
                <w:lang w:val="en-GB"/>
              </w:rPr>
            </w:pPr>
            <w:r w:rsidRPr="00F3265F">
              <w:rPr>
                <w:sz w:val="22"/>
                <w:szCs w:val="22"/>
                <w:lang w:val="en-GB"/>
              </w:rPr>
              <w:t>COMMISSION STAFF WORKING DOCUMENT Accompanying the document REPORT FROM THE COMMISSION On the overall operation of official controls carried out in EU countries (2021) to ensure the application of food and feed law, rules on animal health and welfare, plant health and plant protection products</w:t>
            </w:r>
            <w:r w:rsidRPr="00F3265F">
              <w:rPr>
                <w:sz w:val="22"/>
                <w:szCs w:val="22"/>
                <w:lang w:val="en-GB"/>
              </w:rPr>
              <w:br/>
            </w:r>
          </w:p>
        </w:tc>
      </w:tr>
      <w:tr w:rsidR="00F3265F" w:rsidRPr="00B40F4D" w14:paraId="0EED76C5" w14:textId="77777777" w:rsidTr="00FC224F">
        <w:trPr>
          <w:trHeight w:val="729"/>
        </w:trPr>
        <w:tc>
          <w:tcPr>
            <w:tcW w:w="10774" w:type="dxa"/>
            <w:gridSpan w:val="22"/>
            <w:shd w:val="clear" w:color="auto" w:fill="auto"/>
            <w:vAlign w:val="center"/>
          </w:tcPr>
          <w:p w14:paraId="78AFE4E7" w14:textId="77777777" w:rsidR="00F3265F" w:rsidRPr="00FD4918" w:rsidRDefault="00F3265F" w:rsidP="00F3265F">
            <w:pPr>
              <w:rPr>
                <w:b/>
                <w:sz w:val="22"/>
                <w:szCs w:val="22"/>
              </w:rPr>
            </w:pPr>
            <w:r w:rsidRPr="00FD4918">
              <w:rPr>
                <w:b/>
                <w:bCs/>
                <w:sz w:val="22"/>
                <w:szCs w:val="22"/>
              </w:rPr>
              <w:t>C-dokument för kännedom. (Handlingar som rör rättsakter från kommissionens eget ansvarsområde, bl.a. genomförandeakter och delegerade akter som lämnats till rådet och parlamentet för kännedom.)</w:t>
            </w:r>
          </w:p>
        </w:tc>
      </w:tr>
      <w:tr w:rsidR="00F3265F" w:rsidRPr="00B40F4D" w14:paraId="604784AB" w14:textId="77777777" w:rsidTr="00FC224F">
        <w:trPr>
          <w:trHeight w:val="518"/>
        </w:trPr>
        <w:tc>
          <w:tcPr>
            <w:tcW w:w="1900" w:type="dxa"/>
            <w:gridSpan w:val="2"/>
            <w:tcBorders>
              <w:top w:val="single" w:sz="4" w:space="0" w:color="auto"/>
            </w:tcBorders>
            <w:shd w:val="clear" w:color="auto" w:fill="auto"/>
            <w:vAlign w:val="center"/>
          </w:tcPr>
          <w:p w14:paraId="46F218FD" w14:textId="77777777" w:rsidR="00F3265F" w:rsidRPr="00B40F4D" w:rsidRDefault="00F3265F" w:rsidP="00F3265F">
            <w:pPr>
              <w:rPr>
                <w:b/>
                <w:bCs/>
                <w:sz w:val="22"/>
                <w:szCs w:val="22"/>
              </w:rPr>
            </w:pPr>
            <w:r w:rsidRPr="00B40F4D">
              <w:rPr>
                <w:b/>
                <w:bCs/>
                <w:sz w:val="22"/>
                <w:szCs w:val="22"/>
              </w:rPr>
              <w:t>Beteckning</w:t>
            </w:r>
          </w:p>
        </w:tc>
        <w:tc>
          <w:tcPr>
            <w:tcW w:w="8874" w:type="dxa"/>
            <w:gridSpan w:val="20"/>
            <w:tcBorders>
              <w:top w:val="single" w:sz="4" w:space="0" w:color="auto"/>
            </w:tcBorders>
            <w:shd w:val="clear" w:color="auto" w:fill="auto"/>
            <w:vAlign w:val="center"/>
          </w:tcPr>
          <w:p w14:paraId="50B58F4E" w14:textId="77777777" w:rsidR="00F3265F" w:rsidRPr="00B40F4D" w:rsidRDefault="00F3265F" w:rsidP="00F3265F">
            <w:pPr>
              <w:rPr>
                <w:b/>
                <w:sz w:val="22"/>
                <w:szCs w:val="22"/>
              </w:rPr>
            </w:pPr>
            <w:r w:rsidRPr="00B40F4D">
              <w:rPr>
                <w:b/>
                <w:sz w:val="22"/>
                <w:szCs w:val="22"/>
              </w:rPr>
              <w:t>Rubrik</w:t>
            </w:r>
          </w:p>
        </w:tc>
      </w:tr>
      <w:tr w:rsidR="00F3265F" w:rsidRPr="00F3265F" w14:paraId="234429C2" w14:textId="77777777" w:rsidTr="00FC224F">
        <w:trPr>
          <w:trHeight w:val="729"/>
        </w:trPr>
        <w:tc>
          <w:tcPr>
            <w:tcW w:w="1900" w:type="dxa"/>
            <w:gridSpan w:val="2"/>
            <w:shd w:val="clear" w:color="auto" w:fill="auto"/>
            <w:vAlign w:val="center"/>
          </w:tcPr>
          <w:p w14:paraId="32B96C17" w14:textId="61AE399E" w:rsidR="00F3265F" w:rsidRPr="00F3265F" w:rsidRDefault="005638D0" w:rsidP="00F3265F">
            <w:pPr>
              <w:rPr>
                <w:b/>
                <w:bCs/>
                <w:sz w:val="22"/>
                <w:szCs w:val="22"/>
              </w:rPr>
            </w:pPr>
            <w:hyperlink r:id="rId24" w:history="1">
              <w:r w:rsidR="00F3265F" w:rsidRPr="00F3265F">
                <w:rPr>
                  <w:rStyle w:val="Hyperlnk"/>
                  <w:color w:val="auto"/>
                  <w:sz w:val="22"/>
                  <w:szCs w:val="22"/>
                  <w:u w:val="none"/>
                </w:rPr>
                <w:t>C(2023) 2320</w:t>
              </w:r>
            </w:hyperlink>
          </w:p>
        </w:tc>
        <w:tc>
          <w:tcPr>
            <w:tcW w:w="8874" w:type="dxa"/>
            <w:gridSpan w:val="20"/>
            <w:shd w:val="clear" w:color="auto" w:fill="auto"/>
            <w:vAlign w:val="center"/>
          </w:tcPr>
          <w:p w14:paraId="0E746B47" w14:textId="73E54B98" w:rsidR="00F3265F" w:rsidRPr="00F3265F" w:rsidRDefault="00F3265F" w:rsidP="00F3265F">
            <w:pPr>
              <w:rPr>
                <w:b/>
                <w:sz w:val="22"/>
                <w:szCs w:val="22"/>
              </w:rPr>
            </w:pPr>
            <w:r w:rsidRPr="00F3265F">
              <w:rPr>
                <w:sz w:val="22"/>
                <w:szCs w:val="22"/>
              </w:rPr>
              <w:t xml:space="preserve">Meddelande från kommissionen om det europeiska </w:t>
            </w:r>
            <w:r w:rsidRPr="00F3265F">
              <w:rPr>
                <w:b/>
                <w:bCs/>
                <w:sz w:val="22"/>
                <w:szCs w:val="22"/>
              </w:rPr>
              <w:t>medborgarinitiativet ”Rädda bin och bönder!</w:t>
            </w:r>
            <w:r w:rsidRPr="00F3265F">
              <w:rPr>
                <w:sz w:val="22"/>
                <w:szCs w:val="22"/>
              </w:rPr>
              <w:t xml:space="preserve"> För ett </w:t>
            </w:r>
            <w:proofErr w:type="spellStart"/>
            <w:r w:rsidRPr="00F3265F">
              <w:rPr>
                <w:sz w:val="22"/>
                <w:szCs w:val="22"/>
              </w:rPr>
              <w:t>bivänligt</w:t>
            </w:r>
            <w:proofErr w:type="spellEnd"/>
            <w:r w:rsidRPr="00F3265F">
              <w:rPr>
                <w:sz w:val="22"/>
                <w:szCs w:val="22"/>
              </w:rPr>
              <w:t xml:space="preserve"> jordbruk och en sund miljö”</w:t>
            </w:r>
            <w:r w:rsidRPr="00F3265F">
              <w:rPr>
                <w:sz w:val="22"/>
                <w:szCs w:val="22"/>
              </w:rPr>
              <w:br/>
            </w:r>
          </w:p>
        </w:tc>
      </w:tr>
      <w:tr w:rsidR="00F3265F" w:rsidRPr="00C824C0" w14:paraId="596E5177" w14:textId="77777777" w:rsidTr="00FC224F">
        <w:trPr>
          <w:trHeight w:val="729"/>
        </w:trPr>
        <w:tc>
          <w:tcPr>
            <w:tcW w:w="10774" w:type="dxa"/>
            <w:gridSpan w:val="22"/>
            <w:shd w:val="clear" w:color="auto" w:fill="auto"/>
            <w:vAlign w:val="center"/>
          </w:tcPr>
          <w:p w14:paraId="6FC7A769" w14:textId="77777777" w:rsidR="00F3265F" w:rsidRPr="00C824C0" w:rsidRDefault="00F3265F" w:rsidP="00F3265F">
            <w:pPr>
              <w:rPr>
                <w:b/>
                <w:kern w:val="32"/>
                <w:sz w:val="22"/>
                <w:szCs w:val="22"/>
              </w:rPr>
            </w:pPr>
            <w:r>
              <w:rPr>
                <w:b/>
                <w:kern w:val="32"/>
                <w:sz w:val="22"/>
                <w:szCs w:val="22"/>
              </w:rPr>
              <w:t>Ö</w:t>
            </w:r>
            <w:r w:rsidRPr="00C824C0">
              <w:rPr>
                <w:b/>
                <w:kern w:val="32"/>
                <w:sz w:val="22"/>
                <w:szCs w:val="22"/>
              </w:rPr>
              <w:t>vriga överlämnade dokument som rör EU-arbetet för kännedom</w:t>
            </w:r>
          </w:p>
        </w:tc>
      </w:tr>
      <w:tr w:rsidR="00F3265F" w:rsidRPr="00C824C0" w14:paraId="5BA8B72B" w14:textId="77777777" w:rsidTr="00FC224F">
        <w:trPr>
          <w:trHeight w:val="729"/>
        </w:trPr>
        <w:tc>
          <w:tcPr>
            <w:tcW w:w="1900" w:type="dxa"/>
            <w:gridSpan w:val="2"/>
            <w:shd w:val="clear" w:color="auto" w:fill="auto"/>
            <w:vAlign w:val="center"/>
          </w:tcPr>
          <w:p w14:paraId="783838D7" w14:textId="77777777" w:rsidR="00F3265F" w:rsidRPr="00C824C0" w:rsidRDefault="00F3265F" w:rsidP="00F3265F">
            <w:pPr>
              <w:rPr>
                <w:b/>
                <w:bCs/>
                <w:sz w:val="22"/>
                <w:szCs w:val="22"/>
              </w:rPr>
            </w:pPr>
            <w:r w:rsidRPr="00C824C0">
              <w:rPr>
                <w:b/>
                <w:bCs/>
                <w:sz w:val="22"/>
                <w:szCs w:val="22"/>
              </w:rPr>
              <w:t>Rådsmöten</w:t>
            </w:r>
          </w:p>
        </w:tc>
        <w:tc>
          <w:tcPr>
            <w:tcW w:w="8874" w:type="dxa"/>
            <w:gridSpan w:val="20"/>
            <w:shd w:val="clear" w:color="auto" w:fill="auto"/>
            <w:vAlign w:val="center"/>
          </w:tcPr>
          <w:p w14:paraId="1FE97E8D" w14:textId="77777777" w:rsidR="00F3265F" w:rsidRPr="00C824C0" w:rsidRDefault="00F3265F" w:rsidP="00F3265F">
            <w:pPr>
              <w:rPr>
                <w:sz w:val="22"/>
                <w:szCs w:val="22"/>
              </w:rPr>
            </w:pPr>
          </w:p>
        </w:tc>
      </w:tr>
      <w:tr w:rsidR="00F3265F" w:rsidRPr="00C824C0" w14:paraId="24242639" w14:textId="77777777" w:rsidTr="00FC224F">
        <w:trPr>
          <w:trHeight w:val="729"/>
        </w:trPr>
        <w:tc>
          <w:tcPr>
            <w:tcW w:w="1900" w:type="dxa"/>
            <w:gridSpan w:val="2"/>
            <w:tcBorders>
              <w:bottom w:val="single" w:sz="4" w:space="0" w:color="auto"/>
            </w:tcBorders>
            <w:shd w:val="clear" w:color="auto" w:fill="auto"/>
            <w:vAlign w:val="center"/>
          </w:tcPr>
          <w:p w14:paraId="7287E58D" w14:textId="42083E37" w:rsidR="00F3265F" w:rsidRPr="00862D06" w:rsidRDefault="00F3265F" w:rsidP="00F3265F">
            <w:pPr>
              <w:rPr>
                <w:sz w:val="22"/>
                <w:szCs w:val="22"/>
              </w:rPr>
            </w:pPr>
            <w:r>
              <w:rPr>
                <w:sz w:val="22"/>
                <w:szCs w:val="22"/>
              </w:rPr>
              <w:t>I</w:t>
            </w:r>
            <w:r w:rsidRPr="009C54DD">
              <w:rPr>
                <w:sz w:val="22"/>
                <w:szCs w:val="22"/>
              </w:rPr>
              <w:t>nformellt miljö</w:t>
            </w:r>
            <w:r>
              <w:rPr>
                <w:sz w:val="22"/>
                <w:szCs w:val="22"/>
              </w:rPr>
              <w:t>-</w:t>
            </w:r>
            <w:r w:rsidRPr="009C54DD">
              <w:rPr>
                <w:sz w:val="22"/>
                <w:szCs w:val="22"/>
              </w:rPr>
              <w:t>ministermöte den 18–19 april 2023</w:t>
            </w:r>
          </w:p>
        </w:tc>
        <w:tc>
          <w:tcPr>
            <w:tcW w:w="8874" w:type="dxa"/>
            <w:gridSpan w:val="20"/>
            <w:tcBorders>
              <w:bottom w:val="single" w:sz="4" w:space="0" w:color="auto"/>
            </w:tcBorders>
            <w:shd w:val="clear" w:color="auto" w:fill="auto"/>
            <w:vAlign w:val="center"/>
          </w:tcPr>
          <w:p w14:paraId="627E58DE" w14:textId="60AD75B1" w:rsidR="00F3265F" w:rsidRPr="00862D06" w:rsidRDefault="00F3265F" w:rsidP="00F3265F">
            <w:pPr>
              <w:rPr>
                <w:sz w:val="22"/>
                <w:szCs w:val="22"/>
              </w:rPr>
            </w:pPr>
            <w:r w:rsidRPr="009C54DD">
              <w:rPr>
                <w:sz w:val="22"/>
                <w:szCs w:val="22"/>
              </w:rPr>
              <w:t>Återrapport från informellt miljöministermöte den 18–19 april 2023</w:t>
            </w:r>
            <w:r w:rsidRPr="009C54DD">
              <w:rPr>
                <w:sz w:val="22"/>
                <w:szCs w:val="22"/>
              </w:rPr>
              <w:br/>
            </w:r>
            <w:r w:rsidRPr="009C54DD">
              <w:rPr>
                <w:sz w:val="22"/>
                <w:szCs w:val="22"/>
              </w:rPr>
              <w:br/>
            </w:r>
          </w:p>
        </w:tc>
      </w:tr>
      <w:tr w:rsidR="00F3265F" w:rsidRPr="00C824C0" w14:paraId="56141E9F" w14:textId="77777777" w:rsidTr="00FC224F">
        <w:trPr>
          <w:trHeight w:val="729"/>
        </w:trPr>
        <w:tc>
          <w:tcPr>
            <w:tcW w:w="1900" w:type="dxa"/>
            <w:gridSpan w:val="2"/>
            <w:tcBorders>
              <w:bottom w:val="single" w:sz="4" w:space="0" w:color="auto"/>
            </w:tcBorders>
            <w:shd w:val="clear" w:color="auto" w:fill="auto"/>
            <w:vAlign w:val="center"/>
          </w:tcPr>
          <w:p w14:paraId="421FA2BD" w14:textId="77777777" w:rsidR="00F3265F" w:rsidRDefault="00F3265F" w:rsidP="00F3265F">
            <w:pPr>
              <w:rPr>
                <w:sz w:val="22"/>
                <w:szCs w:val="22"/>
              </w:rPr>
            </w:pPr>
            <w:r w:rsidRPr="00AD5BC7">
              <w:rPr>
                <w:sz w:val="22"/>
                <w:szCs w:val="22"/>
              </w:rPr>
              <w:t xml:space="preserve">Jordbruks- och fiskeråd </w:t>
            </w:r>
            <w:r>
              <w:rPr>
                <w:sz w:val="22"/>
                <w:szCs w:val="22"/>
              </w:rPr>
              <w:t>den 25 april 2</w:t>
            </w:r>
            <w:r w:rsidRPr="00AD5BC7">
              <w:rPr>
                <w:sz w:val="22"/>
                <w:szCs w:val="22"/>
              </w:rPr>
              <w:t>023</w:t>
            </w:r>
          </w:p>
          <w:p w14:paraId="19DB2FED" w14:textId="77777777" w:rsidR="00F3265F" w:rsidRPr="009D3809" w:rsidRDefault="00F3265F" w:rsidP="00F3265F">
            <w:pPr>
              <w:rPr>
                <w:sz w:val="22"/>
                <w:szCs w:val="22"/>
              </w:rPr>
            </w:pPr>
          </w:p>
        </w:tc>
        <w:tc>
          <w:tcPr>
            <w:tcW w:w="8874" w:type="dxa"/>
            <w:gridSpan w:val="20"/>
            <w:tcBorders>
              <w:bottom w:val="single" w:sz="4" w:space="0" w:color="auto"/>
            </w:tcBorders>
            <w:shd w:val="clear" w:color="auto" w:fill="auto"/>
            <w:vAlign w:val="center"/>
          </w:tcPr>
          <w:p w14:paraId="399727F7" w14:textId="0DDFE053" w:rsidR="00F3265F" w:rsidRDefault="00F3265F" w:rsidP="00F3265F">
            <w:pPr>
              <w:rPr>
                <w:sz w:val="22"/>
                <w:szCs w:val="22"/>
              </w:rPr>
            </w:pPr>
            <w:r w:rsidRPr="00271200">
              <w:rPr>
                <w:sz w:val="22"/>
                <w:szCs w:val="22"/>
              </w:rPr>
              <w:t>Återrapport från rådets möte (jordbruk och fiske) 25 april 2023 i Luxemburg</w:t>
            </w:r>
            <w:r w:rsidRPr="00271200">
              <w:rPr>
                <w:sz w:val="22"/>
                <w:szCs w:val="22"/>
              </w:rPr>
              <w:br/>
            </w:r>
          </w:p>
          <w:p w14:paraId="08CA5B10" w14:textId="77777777" w:rsidR="00F3265F" w:rsidRPr="009D3809" w:rsidRDefault="00F3265F" w:rsidP="00F3265F">
            <w:pPr>
              <w:rPr>
                <w:sz w:val="22"/>
                <w:szCs w:val="22"/>
              </w:rPr>
            </w:pPr>
          </w:p>
        </w:tc>
      </w:tr>
      <w:tr w:rsidR="00F3265F" w:rsidRPr="00C824C0" w14:paraId="47956AE3" w14:textId="77777777" w:rsidTr="00FC224F">
        <w:trPr>
          <w:trHeight w:val="729"/>
        </w:trPr>
        <w:tc>
          <w:tcPr>
            <w:tcW w:w="1900" w:type="dxa"/>
            <w:gridSpan w:val="2"/>
            <w:shd w:val="clear" w:color="auto" w:fill="auto"/>
            <w:vAlign w:val="center"/>
          </w:tcPr>
          <w:p w14:paraId="5CE7A13C" w14:textId="77777777" w:rsidR="00F3265F" w:rsidRPr="00B90272" w:rsidRDefault="00F3265F" w:rsidP="00F3265F">
            <w:pPr>
              <w:rPr>
                <w:b/>
                <w:sz w:val="22"/>
                <w:szCs w:val="22"/>
              </w:rPr>
            </w:pPr>
            <w:r w:rsidRPr="00B90272">
              <w:rPr>
                <w:b/>
                <w:sz w:val="22"/>
                <w:szCs w:val="22"/>
              </w:rPr>
              <w:t>Antagna dokument</w:t>
            </w:r>
          </w:p>
        </w:tc>
        <w:tc>
          <w:tcPr>
            <w:tcW w:w="8874" w:type="dxa"/>
            <w:gridSpan w:val="20"/>
            <w:shd w:val="clear" w:color="auto" w:fill="auto"/>
            <w:vAlign w:val="center"/>
          </w:tcPr>
          <w:p w14:paraId="3D217515" w14:textId="77777777" w:rsidR="00F3265F" w:rsidRPr="008105A5" w:rsidRDefault="00F3265F" w:rsidP="00F3265F">
            <w:pPr>
              <w:rPr>
                <w:sz w:val="22"/>
                <w:szCs w:val="22"/>
              </w:rPr>
            </w:pPr>
          </w:p>
        </w:tc>
      </w:tr>
      <w:tr w:rsidR="00F3265F" w:rsidRPr="00C824C0" w14:paraId="5584438C" w14:textId="77777777" w:rsidTr="00FC224F">
        <w:trPr>
          <w:trHeight w:val="729"/>
        </w:trPr>
        <w:tc>
          <w:tcPr>
            <w:tcW w:w="1900" w:type="dxa"/>
            <w:gridSpan w:val="2"/>
            <w:shd w:val="clear" w:color="auto" w:fill="auto"/>
            <w:vAlign w:val="center"/>
          </w:tcPr>
          <w:p w14:paraId="5D7E42F2" w14:textId="77777777" w:rsidR="00F3265F" w:rsidRPr="009321EB" w:rsidRDefault="00F3265F" w:rsidP="00F3265F">
            <w:pPr>
              <w:rPr>
                <w:sz w:val="22"/>
                <w:szCs w:val="22"/>
              </w:rPr>
            </w:pPr>
            <w:r w:rsidRPr="009321EB">
              <w:rPr>
                <w:sz w:val="22"/>
                <w:szCs w:val="22"/>
              </w:rPr>
              <w:t xml:space="preserve">Dokument antagna av </w:t>
            </w:r>
            <w:proofErr w:type="spellStart"/>
            <w:r w:rsidRPr="009321EB">
              <w:rPr>
                <w:sz w:val="22"/>
                <w:szCs w:val="22"/>
              </w:rPr>
              <w:t>Europa-parlamentet</w:t>
            </w:r>
            <w:proofErr w:type="spellEnd"/>
          </w:p>
          <w:p w14:paraId="4A327283" w14:textId="4FDB1C66" w:rsidR="00F3265F" w:rsidRPr="00B90272" w:rsidRDefault="00F3265F" w:rsidP="00F3265F">
            <w:pPr>
              <w:rPr>
                <w:sz w:val="22"/>
                <w:szCs w:val="22"/>
              </w:rPr>
            </w:pPr>
            <w:r w:rsidRPr="009321EB">
              <w:rPr>
                <w:sz w:val="22"/>
                <w:szCs w:val="22"/>
              </w:rPr>
              <w:t>13 – 16 mars 2023</w:t>
            </w:r>
          </w:p>
        </w:tc>
        <w:tc>
          <w:tcPr>
            <w:tcW w:w="8874" w:type="dxa"/>
            <w:gridSpan w:val="20"/>
            <w:shd w:val="clear" w:color="auto" w:fill="auto"/>
            <w:vAlign w:val="center"/>
          </w:tcPr>
          <w:p w14:paraId="0C5FE296" w14:textId="14C83EE5" w:rsidR="00F3265F" w:rsidRPr="00B90272" w:rsidRDefault="00F3265F" w:rsidP="00F3265F">
            <w:pPr>
              <w:rPr>
                <w:sz w:val="22"/>
                <w:szCs w:val="22"/>
              </w:rPr>
            </w:pPr>
            <w:r w:rsidRPr="009321EB">
              <w:rPr>
                <w:sz w:val="22"/>
                <w:szCs w:val="22"/>
              </w:rPr>
              <w:t>Översändande av dokument som antogs av Europaparlamentet under sammanträdesperioden 13</w:t>
            </w:r>
            <w:r>
              <w:rPr>
                <w:sz w:val="22"/>
                <w:szCs w:val="22"/>
              </w:rPr>
              <w:t xml:space="preserve"> – </w:t>
            </w:r>
            <w:r w:rsidRPr="009321EB">
              <w:rPr>
                <w:sz w:val="22"/>
                <w:szCs w:val="22"/>
              </w:rPr>
              <w:t>16 mars 2023</w:t>
            </w:r>
          </w:p>
        </w:tc>
      </w:tr>
      <w:tr w:rsidR="00F3265F" w:rsidRPr="00C824C0" w14:paraId="08CDE77C" w14:textId="77777777" w:rsidTr="00FC224F">
        <w:trPr>
          <w:trHeight w:val="729"/>
        </w:trPr>
        <w:tc>
          <w:tcPr>
            <w:tcW w:w="1900" w:type="dxa"/>
            <w:gridSpan w:val="2"/>
            <w:shd w:val="clear" w:color="auto" w:fill="auto"/>
            <w:vAlign w:val="center"/>
          </w:tcPr>
          <w:p w14:paraId="4E202E65" w14:textId="4C024638" w:rsidR="00F3265F" w:rsidRPr="00EB5072" w:rsidRDefault="00C65ABD" w:rsidP="00F3265F">
            <w:pPr>
              <w:rPr>
                <w:sz w:val="22"/>
                <w:szCs w:val="22"/>
              </w:rPr>
            </w:pPr>
            <w:r w:rsidRPr="00183304">
              <w:rPr>
                <w:b/>
                <w:bCs/>
                <w:sz w:val="22"/>
                <w:szCs w:val="22"/>
              </w:rPr>
              <w:t>Antagna lagstiftningsakter</w:t>
            </w:r>
          </w:p>
        </w:tc>
        <w:tc>
          <w:tcPr>
            <w:tcW w:w="8874" w:type="dxa"/>
            <w:gridSpan w:val="20"/>
            <w:shd w:val="clear" w:color="auto" w:fill="auto"/>
            <w:vAlign w:val="center"/>
          </w:tcPr>
          <w:p w14:paraId="43A0BF0B" w14:textId="77777777" w:rsidR="00F3265F" w:rsidRPr="00EB5072" w:rsidRDefault="00F3265F" w:rsidP="00F3265F">
            <w:pPr>
              <w:rPr>
                <w:sz w:val="22"/>
                <w:szCs w:val="22"/>
              </w:rPr>
            </w:pPr>
          </w:p>
        </w:tc>
      </w:tr>
      <w:tr w:rsidR="00F3265F" w:rsidRPr="00C65ABD" w14:paraId="2647465A" w14:textId="77777777" w:rsidTr="00FC224F">
        <w:trPr>
          <w:trHeight w:val="729"/>
        </w:trPr>
        <w:tc>
          <w:tcPr>
            <w:tcW w:w="1900" w:type="dxa"/>
            <w:gridSpan w:val="2"/>
            <w:shd w:val="clear" w:color="auto" w:fill="auto"/>
            <w:vAlign w:val="center"/>
          </w:tcPr>
          <w:p w14:paraId="5E363565" w14:textId="658FBA89" w:rsidR="00F3265F" w:rsidRPr="00C65ABD" w:rsidRDefault="00F3265F" w:rsidP="00F3265F">
            <w:pPr>
              <w:rPr>
                <w:b/>
                <w:bCs/>
                <w:sz w:val="22"/>
                <w:szCs w:val="22"/>
              </w:rPr>
            </w:pPr>
          </w:p>
        </w:tc>
        <w:tc>
          <w:tcPr>
            <w:tcW w:w="8874" w:type="dxa"/>
            <w:gridSpan w:val="20"/>
            <w:shd w:val="clear" w:color="auto" w:fill="auto"/>
            <w:vAlign w:val="center"/>
          </w:tcPr>
          <w:p w14:paraId="36849E0F" w14:textId="77777777" w:rsidR="00C65ABD" w:rsidRPr="00C65ABD" w:rsidRDefault="00C65ABD" w:rsidP="00C65ABD">
            <w:pPr>
              <w:rPr>
                <w:b/>
                <w:bCs/>
                <w:sz w:val="22"/>
                <w:szCs w:val="22"/>
                <w:lang w:val="en-GB"/>
              </w:rPr>
            </w:pPr>
            <w:r w:rsidRPr="00C65ABD">
              <w:rPr>
                <w:b/>
                <w:bCs/>
                <w:sz w:val="22"/>
                <w:szCs w:val="22"/>
                <w:lang w:val="en-GB"/>
              </w:rPr>
              <w:t>REGULATION OF THE EUROPEAN PARLIAMENT AND OF THE COUNCIL amending Regulation (EU) 2015/757 in order to provide for the inclusion of maritime transport activities in the EU Emissions Trading System and for the monitoring, reporting and verification of emissions of additional greenhouse gases and emissions from additional ship types</w:t>
            </w:r>
          </w:p>
          <w:p w14:paraId="18B079BF" w14:textId="77777777" w:rsidR="00C65ABD" w:rsidRPr="00C65ABD" w:rsidRDefault="00C65ABD" w:rsidP="00C65ABD">
            <w:pPr>
              <w:rPr>
                <w:sz w:val="22"/>
                <w:szCs w:val="22"/>
                <w:lang w:val="en-GB"/>
              </w:rPr>
            </w:pPr>
            <w:r w:rsidRPr="00C65ABD">
              <w:rPr>
                <w:sz w:val="22"/>
                <w:szCs w:val="22"/>
                <w:lang w:val="en-GB"/>
              </w:rPr>
              <w:t>Och</w:t>
            </w:r>
          </w:p>
          <w:p w14:paraId="453B5520" w14:textId="77777777" w:rsidR="00C65ABD" w:rsidRPr="00C65ABD" w:rsidRDefault="00C65ABD" w:rsidP="00C65ABD">
            <w:pPr>
              <w:rPr>
                <w:b/>
                <w:bCs/>
                <w:sz w:val="22"/>
                <w:szCs w:val="22"/>
                <w:lang w:val="en-GB"/>
              </w:rPr>
            </w:pPr>
            <w:r w:rsidRPr="00C65ABD">
              <w:rPr>
                <w:b/>
                <w:bCs/>
                <w:sz w:val="22"/>
                <w:szCs w:val="22"/>
                <w:lang w:val="en-GB"/>
              </w:rPr>
              <w:t>DIRECTIVE OF THE EUROPEAN PARLIAMENT AND OF THE COUNCIL amending Directive 2003/87/EC establishing a system for greenhouse gas emission allowance trading within the Union and Decision (EU) 2015/1814 concerning the establishment and operation of a market stability reserve for the Union greenhouse gas emission trading system</w:t>
            </w:r>
          </w:p>
          <w:p w14:paraId="103D8412" w14:textId="77777777" w:rsidR="00C65ABD" w:rsidRPr="00C65ABD" w:rsidRDefault="00C65ABD" w:rsidP="00C65ABD">
            <w:pPr>
              <w:rPr>
                <w:sz w:val="22"/>
                <w:szCs w:val="22"/>
                <w:lang w:val="en-GB"/>
              </w:rPr>
            </w:pPr>
          </w:p>
          <w:p w14:paraId="242A782B" w14:textId="77777777" w:rsidR="00C65ABD" w:rsidRPr="00C65ABD" w:rsidRDefault="00C65ABD" w:rsidP="00C65ABD">
            <w:pPr>
              <w:rPr>
                <w:sz w:val="22"/>
                <w:szCs w:val="22"/>
              </w:rPr>
            </w:pPr>
            <w:r w:rsidRPr="00C65ABD">
              <w:rPr>
                <w:sz w:val="22"/>
                <w:szCs w:val="22"/>
              </w:rPr>
              <w:t>Ursprungligt förslag COM(2021) 551</w:t>
            </w:r>
          </w:p>
          <w:p w14:paraId="0DF77544" w14:textId="77777777" w:rsidR="00C65ABD" w:rsidRPr="00C65ABD" w:rsidRDefault="00C65ABD" w:rsidP="00C65ABD">
            <w:pPr>
              <w:rPr>
                <w:sz w:val="22"/>
                <w:szCs w:val="22"/>
              </w:rPr>
            </w:pPr>
          </w:p>
          <w:p w14:paraId="2E657C08" w14:textId="55F40883" w:rsidR="00C65ABD" w:rsidRPr="00C65ABD" w:rsidRDefault="00C65ABD" w:rsidP="00C65ABD">
            <w:pPr>
              <w:rPr>
                <w:sz w:val="22"/>
                <w:szCs w:val="22"/>
              </w:rPr>
            </w:pPr>
            <w:r w:rsidRPr="00C65ABD">
              <w:rPr>
                <w:sz w:val="22"/>
                <w:szCs w:val="22"/>
              </w:rPr>
              <w:t>Förslaget ansågs inte strida mot subsidiaritetsprincipen (protokoll 2021/22:7 )</w:t>
            </w:r>
          </w:p>
          <w:p w14:paraId="60AB4A1E" w14:textId="77777777" w:rsidR="00F3265F" w:rsidRPr="00C65ABD" w:rsidRDefault="00F3265F" w:rsidP="00F3265F">
            <w:pPr>
              <w:rPr>
                <w:sz w:val="22"/>
                <w:szCs w:val="22"/>
                <w:u w:val="single"/>
              </w:rPr>
            </w:pPr>
          </w:p>
        </w:tc>
      </w:tr>
      <w:tr w:rsidR="00F3265F" w:rsidRPr="00C65ABD" w14:paraId="007098B9" w14:textId="77777777" w:rsidTr="00FC224F">
        <w:trPr>
          <w:trHeight w:val="729"/>
        </w:trPr>
        <w:tc>
          <w:tcPr>
            <w:tcW w:w="1900" w:type="dxa"/>
            <w:gridSpan w:val="2"/>
            <w:shd w:val="clear" w:color="auto" w:fill="auto"/>
            <w:vAlign w:val="center"/>
          </w:tcPr>
          <w:p w14:paraId="1762C24A" w14:textId="77777777" w:rsidR="00F3265F" w:rsidRPr="00C65ABD" w:rsidRDefault="00F3265F" w:rsidP="00F3265F">
            <w:pPr>
              <w:rPr>
                <w:bCs/>
                <w:sz w:val="22"/>
                <w:szCs w:val="22"/>
              </w:rPr>
            </w:pPr>
          </w:p>
        </w:tc>
        <w:tc>
          <w:tcPr>
            <w:tcW w:w="8874" w:type="dxa"/>
            <w:gridSpan w:val="20"/>
            <w:shd w:val="clear" w:color="auto" w:fill="auto"/>
            <w:vAlign w:val="center"/>
          </w:tcPr>
          <w:p w14:paraId="0DA52F6F" w14:textId="77777777" w:rsidR="00C65ABD" w:rsidRPr="00C65ABD" w:rsidRDefault="00C65ABD" w:rsidP="00C65ABD">
            <w:pPr>
              <w:rPr>
                <w:b/>
                <w:bCs/>
                <w:sz w:val="22"/>
                <w:szCs w:val="22"/>
                <w:lang w:val="en-GB"/>
              </w:rPr>
            </w:pPr>
            <w:r w:rsidRPr="00C65ABD">
              <w:rPr>
                <w:b/>
                <w:bCs/>
                <w:sz w:val="22"/>
                <w:szCs w:val="22"/>
                <w:lang w:val="en-GB"/>
              </w:rPr>
              <w:t>REGULATION OF THE EUROPEAN PARLIAMENT AND OF THE COUNCIL establishing a Social Climate Fund and amending Regulation (EU) 2021/1060</w:t>
            </w:r>
          </w:p>
          <w:p w14:paraId="1519777D" w14:textId="77777777" w:rsidR="00C65ABD" w:rsidRPr="00C65ABD" w:rsidRDefault="00C65ABD" w:rsidP="00C65ABD">
            <w:pPr>
              <w:rPr>
                <w:sz w:val="22"/>
                <w:szCs w:val="22"/>
                <w:lang w:val="en-GB"/>
              </w:rPr>
            </w:pPr>
          </w:p>
          <w:p w14:paraId="5E823D62" w14:textId="77777777" w:rsidR="00C65ABD" w:rsidRPr="00C65ABD" w:rsidRDefault="00C65ABD" w:rsidP="00C65ABD">
            <w:pPr>
              <w:rPr>
                <w:sz w:val="22"/>
                <w:szCs w:val="22"/>
              </w:rPr>
            </w:pPr>
            <w:r w:rsidRPr="00C65ABD">
              <w:rPr>
                <w:sz w:val="22"/>
                <w:szCs w:val="22"/>
              </w:rPr>
              <w:t>Ursprungligt förslag COM(2021) 568</w:t>
            </w:r>
          </w:p>
          <w:p w14:paraId="6AD8F289" w14:textId="77777777" w:rsidR="00C65ABD" w:rsidRPr="00C65ABD" w:rsidRDefault="00C65ABD" w:rsidP="00C65ABD">
            <w:pPr>
              <w:rPr>
                <w:sz w:val="22"/>
                <w:szCs w:val="22"/>
              </w:rPr>
            </w:pPr>
          </w:p>
          <w:p w14:paraId="1FDD6E27" w14:textId="77777777" w:rsidR="00C65ABD" w:rsidRPr="00C65ABD" w:rsidRDefault="00C65ABD" w:rsidP="00C65ABD">
            <w:pPr>
              <w:rPr>
                <w:sz w:val="22"/>
                <w:szCs w:val="22"/>
              </w:rPr>
            </w:pPr>
            <w:r w:rsidRPr="00C65ABD">
              <w:rPr>
                <w:sz w:val="22"/>
                <w:szCs w:val="22"/>
              </w:rPr>
              <w:t xml:space="preserve">Förslaget </w:t>
            </w:r>
            <w:r w:rsidRPr="00C65ABD">
              <w:rPr>
                <w:sz w:val="22"/>
                <w:szCs w:val="22"/>
                <w:u w:val="single"/>
              </w:rPr>
              <w:t>ansågs strida</w:t>
            </w:r>
            <w:r w:rsidRPr="00C65ABD">
              <w:rPr>
                <w:sz w:val="22"/>
                <w:szCs w:val="22"/>
              </w:rPr>
              <w:t xml:space="preserve"> mot subsidiaritetsprincipen (</w:t>
            </w:r>
            <w:hyperlink r:id="rId25" w:history="1">
              <w:r w:rsidRPr="00C65ABD">
                <w:rPr>
                  <w:rStyle w:val="Hyperlnk"/>
                  <w:color w:val="auto"/>
                  <w:sz w:val="22"/>
                  <w:szCs w:val="22"/>
                  <w:u w:val="none"/>
                </w:rPr>
                <w:t>utlåtande 2021/22:MJU11</w:t>
              </w:r>
            </w:hyperlink>
            <w:r w:rsidRPr="00C65ABD">
              <w:rPr>
                <w:sz w:val="22"/>
                <w:szCs w:val="22"/>
              </w:rPr>
              <w:t xml:space="preserve"> på riksdagens webbplats)</w:t>
            </w:r>
          </w:p>
          <w:p w14:paraId="42C45152" w14:textId="77777777" w:rsidR="00F3265F" w:rsidRPr="00C65ABD" w:rsidRDefault="00F3265F" w:rsidP="00F3265F">
            <w:pPr>
              <w:spacing w:after="240"/>
              <w:rPr>
                <w:sz w:val="22"/>
                <w:szCs w:val="22"/>
              </w:rPr>
            </w:pPr>
          </w:p>
        </w:tc>
      </w:tr>
      <w:tr w:rsidR="00F3265F" w:rsidRPr="00C65ABD" w14:paraId="6E42B841" w14:textId="77777777" w:rsidTr="00FC224F">
        <w:trPr>
          <w:trHeight w:val="729"/>
        </w:trPr>
        <w:tc>
          <w:tcPr>
            <w:tcW w:w="1900" w:type="dxa"/>
            <w:gridSpan w:val="2"/>
            <w:shd w:val="clear" w:color="auto" w:fill="auto"/>
            <w:vAlign w:val="center"/>
          </w:tcPr>
          <w:p w14:paraId="7A9FB431" w14:textId="77777777" w:rsidR="00F3265F" w:rsidRPr="00C65ABD" w:rsidRDefault="00F3265F" w:rsidP="00F3265F">
            <w:pPr>
              <w:rPr>
                <w:bCs/>
                <w:sz w:val="22"/>
                <w:szCs w:val="22"/>
              </w:rPr>
            </w:pPr>
          </w:p>
        </w:tc>
        <w:tc>
          <w:tcPr>
            <w:tcW w:w="8874" w:type="dxa"/>
            <w:gridSpan w:val="20"/>
            <w:shd w:val="clear" w:color="auto" w:fill="auto"/>
            <w:vAlign w:val="center"/>
          </w:tcPr>
          <w:p w14:paraId="0C5B360C" w14:textId="77777777" w:rsidR="00C65ABD" w:rsidRPr="00C65ABD" w:rsidRDefault="00C65ABD" w:rsidP="00C65ABD">
            <w:pPr>
              <w:rPr>
                <w:sz w:val="22"/>
                <w:szCs w:val="22"/>
              </w:rPr>
            </w:pPr>
            <w:r w:rsidRPr="00C65ABD">
              <w:rPr>
                <w:b/>
                <w:bCs/>
                <w:sz w:val="22"/>
                <w:szCs w:val="22"/>
              </w:rPr>
              <w:t>EUROPAPARLAMENTETS OCH RÅDETS FÖRORDNING om tillhandahållande på unionsmarknaden och export från unionen av vissa råvaror och produkter som är förknippade med avskogning och skogsförstörelse och om upphävande av förordning (EU) nr 995/2010</w:t>
            </w:r>
          </w:p>
          <w:p w14:paraId="223529E7" w14:textId="77777777" w:rsidR="00C65ABD" w:rsidRPr="00C65ABD" w:rsidRDefault="00C65ABD" w:rsidP="00C65ABD">
            <w:pPr>
              <w:rPr>
                <w:sz w:val="22"/>
                <w:szCs w:val="22"/>
              </w:rPr>
            </w:pPr>
          </w:p>
          <w:p w14:paraId="4D9FF68F" w14:textId="126F0B69" w:rsidR="00C65ABD" w:rsidRPr="00C65ABD" w:rsidRDefault="00C65ABD" w:rsidP="00C65ABD">
            <w:pPr>
              <w:rPr>
                <w:sz w:val="22"/>
                <w:szCs w:val="22"/>
              </w:rPr>
            </w:pPr>
            <w:r w:rsidRPr="00C65ABD">
              <w:rPr>
                <w:sz w:val="22"/>
                <w:szCs w:val="22"/>
              </w:rPr>
              <w:t>Ursprungligt förslag COM( 2021) 706</w:t>
            </w:r>
          </w:p>
          <w:p w14:paraId="22144B6B" w14:textId="77777777" w:rsidR="00C65ABD" w:rsidRPr="00C65ABD" w:rsidRDefault="00C65ABD" w:rsidP="00C65ABD">
            <w:pPr>
              <w:rPr>
                <w:sz w:val="22"/>
                <w:szCs w:val="22"/>
              </w:rPr>
            </w:pPr>
          </w:p>
          <w:p w14:paraId="7F9E1951" w14:textId="77777777" w:rsidR="00C65ABD" w:rsidRPr="00C65ABD" w:rsidRDefault="00C65ABD" w:rsidP="00C65ABD">
            <w:pPr>
              <w:rPr>
                <w:sz w:val="22"/>
                <w:szCs w:val="22"/>
              </w:rPr>
            </w:pPr>
            <w:r w:rsidRPr="00C65ABD">
              <w:rPr>
                <w:sz w:val="22"/>
                <w:szCs w:val="22"/>
              </w:rPr>
              <w:t>Förslaget</w:t>
            </w:r>
            <w:r w:rsidRPr="00C65ABD">
              <w:rPr>
                <w:sz w:val="22"/>
                <w:szCs w:val="22"/>
                <w:u w:val="single"/>
              </w:rPr>
              <w:t xml:space="preserve"> ansågs strida</w:t>
            </w:r>
            <w:r w:rsidRPr="00C65ABD">
              <w:rPr>
                <w:sz w:val="22"/>
                <w:szCs w:val="22"/>
              </w:rPr>
              <w:t xml:space="preserve"> mot subsidiaritetsprincipen (</w:t>
            </w:r>
            <w:hyperlink r:id="rId26" w:history="1">
              <w:r w:rsidRPr="00C65ABD">
                <w:rPr>
                  <w:rStyle w:val="Hyperlnk"/>
                  <w:color w:val="auto"/>
                  <w:sz w:val="22"/>
                  <w:szCs w:val="22"/>
                </w:rPr>
                <w:t>utlåtande 2021/22:MJU19</w:t>
              </w:r>
            </w:hyperlink>
            <w:r w:rsidRPr="00C65ABD">
              <w:rPr>
                <w:sz w:val="22"/>
                <w:szCs w:val="22"/>
                <w:u w:val="single"/>
              </w:rPr>
              <w:t xml:space="preserve"> på</w:t>
            </w:r>
            <w:r w:rsidRPr="00C65ABD">
              <w:rPr>
                <w:sz w:val="22"/>
                <w:szCs w:val="22"/>
              </w:rPr>
              <w:t xml:space="preserve"> riksdagens webbplats)</w:t>
            </w:r>
          </w:p>
          <w:p w14:paraId="5BD0A47A" w14:textId="77777777" w:rsidR="00F3265F" w:rsidRPr="00C65ABD" w:rsidRDefault="00F3265F" w:rsidP="00F3265F">
            <w:pPr>
              <w:rPr>
                <w:sz w:val="22"/>
                <w:szCs w:val="22"/>
              </w:rPr>
            </w:pPr>
          </w:p>
        </w:tc>
      </w:tr>
      <w:tr w:rsidR="00F3265F" w:rsidRPr="00C824C0" w14:paraId="315DD5BF" w14:textId="77777777" w:rsidTr="00FC224F">
        <w:trPr>
          <w:trHeight w:val="729"/>
        </w:trPr>
        <w:tc>
          <w:tcPr>
            <w:tcW w:w="1900" w:type="dxa"/>
            <w:gridSpan w:val="2"/>
            <w:shd w:val="clear" w:color="auto" w:fill="auto"/>
            <w:vAlign w:val="center"/>
          </w:tcPr>
          <w:p w14:paraId="50C4D499" w14:textId="624B8F0A" w:rsidR="00F3265F" w:rsidRPr="006B3148" w:rsidRDefault="00C65ABD" w:rsidP="00F3265F">
            <w:pPr>
              <w:rPr>
                <w:b/>
                <w:bCs/>
                <w:sz w:val="22"/>
                <w:szCs w:val="22"/>
              </w:rPr>
            </w:pPr>
            <w:r>
              <w:rPr>
                <w:b/>
                <w:bCs/>
                <w:sz w:val="22"/>
                <w:szCs w:val="22"/>
              </w:rPr>
              <w:t>Yttranden från andra nationella parlament</w:t>
            </w:r>
          </w:p>
        </w:tc>
        <w:tc>
          <w:tcPr>
            <w:tcW w:w="8874" w:type="dxa"/>
            <w:gridSpan w:val="20"/>
            <w:shd w:val="clear" w:color="auto" w:fill="auto"/>
            <w:vAlign w:val="center"/>
          </w:tcPr>
          <w:p w14:paraId="2A1CE3D9" w14:textId="77777777" w:rsidR="00F3265F" w:rsidRPr="002C489F" w:rsidRDefault="00F3265F" w:rsidP="00F3265F">
            <w:pPr>
              <w:rPr>
                <w:b/>
                <w:bCs/>
                <w:color w:val="000000"/>
                <w:sz w:val="22"/>
                <w:szCs w:val="22"/>
              </w:rPr>
            </w:pPr>
          </w:p>
        </w:tc>
      </w:tr>
      <w:tr w:rsidR="00C65ABD" w:rsidRPr="00211FCA" w14:paraId="4C011850" w14:textId="77777777" w:rsidTr="00FC224F">
        <w:trPr>
          <w:trHeight w:val="729"/>
        </w:trPr>
        <w:tc>
          <w:tcPr>
            <w:tcW w:w="1900" w:type="dxa"/>
            <w:gridSpan w:val="2"/>
            <w:shd w:val="clear" w:color="auto" w:fill="auto"/>
            <w:vAlign w:val="center"/>
          </w:tcPr>
          <w:p w14:paraId="77DDD906" w14:textId="07892104" w:rsidR="00C65ABD" w:rsidRPr="00C65ABD" w:rsidRDefault="005638D0" w:rsidP="00C65ABD">
            <w:pPr>
              <w:rPr>
                <w:bCs/>
                <w:sz w:val="22"/>
                <w:szCs w:val="22"/>
              </w:rPr>
            </w:pPr>
            <w:hyperlink r:id="rId27" w:history="1">
              <w:r w:rsidR="00C65ABD" w:rsidRPr="00C65ABD">
                <w:rPr>
                  <w:rStyle w:val="Hyperlnk"/>
                  <w:color w:val="auto"/>
                  <w:sz w:val="22"/>
                  <w:szCs w:val="22"/>
                  <w:u w:val="none"/>
                  <w:lang w:val="en-GB"/>
                </w:rPr>
                <w:t>ST 8686/23</w:t>
              </w:r>
            </w:hyperlink>
          </w:p>
        </w:tc>
        <w:tc>
          <w:tcPr>
            <w:tcW w:w="8874" w:type="dxa"/>
            <w:gridSpan w:val="20"/>
            <w:shd w:val="clear" w:color="auto" w:fill="auto"/>
            <w:vAlign w:val="center"/>
          </w:tcPr>
          <w:p w14:paraId="14DBB6D0" w14:textId="32C43866" w:rsidR="00C65ABD" w:rsidRPr="00C65ABD" w:rsidRDefault="00C65ABD" w:rsidP="00C65ABD">
            <w:pPr>
              <w:rPr>
                <w:b/>
                <w:bCs/>
                <w:color w:val="000000"/>
                <w:sz w:val="22"/>
                <w:szCs w:val="22"/>
                <w:lang w:val="en-GB"/>
              </w:rPr>
            </w:pPr>
            <w:r w:rsidRPr="00C65ABD">
              <w:rPr>
                <w:sz w:val="22"/>
                <w:szCs w:val="22"/>
                <w:lang w:val="en-GB"/>
              </w:rPr>
              <w:t xml:space="preserve">Proposal for a DIRECTIVE OF THE EUROPEAN PARLIAMENT AND OF THE COUNCIL on </w:t>
            </w:r>
            <w:r w:rsidRPr="00C65ABD">
              <w:rPr>
                <w:b/>
                <w:bCs/>
                <w:sz w:val="22"/>
                <w:szCs w:val="22"/>
                <w:lang w:val="en-GB"/>
              </w:rPr>
              <w:t>ambient air quality and cleaner air for Europe</w:t>
            </w:r>
            <w:r w:rsidRPr="00C65ABD">
              <w:rPr>
                <w:sz w:val="22"/>
                <w:szCs w:val="22"/>
                <w:lang w:val="en-GB"/>
              </w:rPr>
              <w:t xml:space="preserve"> (recast) [14217/22 - COM (2022) 542] - Opinion on the application of the Principles of Subsidiarity and Proportionality - Senate of Romania</w:t>
            </w:r>
            <w:r w:rsidRPr="00C65ABD">
              <w:rPr>
                <w:sz w:val="22"/>
                <w:szCs w:val="22"/>
                <w:lang w:val="en-GB"/>
              </w:rPr>
              <w:br/>
            </w:r>
          </w:p>
        </w:tc>
      </w:tr>
      <w:tr w:rsidR="00C65ABD" w:rsidRPr="00211FCA" w14:paraId="0AE8CF36" w14:textId="77777777" w:rsidTr="00FC224F">
        <w:trPr>
          <w:trHeight w:val="729"/>
        </w:trPr>
        <w:tc>
          <w:tcPr>
            <w:tcW w:w="1900" w:type="dxa"/>
            <w:gridSpan w:val="2"/>
            <w:shd w:val="clear" w:color="auto" w:fill="auto"/>
            <w:vAlign w:val="center"/>
          </w:tcPr>
          <w:p w14:paraId="3E946481" w14:textId="2CB45F66" w:rsidR="00C65ABD" w:rsidRPr="00C65ABD" w:rsidRDefault="005638D0" w:rsidP="00C65ABD">
            <w:pPr>
              <w:rPr>
                <w:bCs/>
                <w:sz w:val="22"/>
                <w:szCs w:val="22"/>
              </w:rPr>
            </w:pPr>
            <w:hyperlink r:id="rId28" w:history="1">
              <w:r w:rsidR="00C65ABD" w:rsidRPr="00C65ABD">
                <w:rPr>
                  <w:rStyle w:val="Hyperlnk"/>
                  <w:color w:val="auto"/>
                  <w:sz w:val="22"/>
                  <w:szCs w:val="22"/>
                  <w:u w:val="none"/>
                  <w:lang w:val="en-GB"/>
                </w:rPr>
                <w:t>ST 8694/23</w:t>
              </w:r>
            </w:hyperlink>
          </w:p>
        </w:tc>
        <w:tc>
          <w:tcPr>
            <w:tcW w:w="8874" w:type="dxa"/>
            <w:gridSpan w:val="20"/>
            <w:shd w:val="clear" w:color="auto" w:fill="auto"/>
            <w:vAlign w:val="center"/>
          </w:tcPr>
          <w:p w14:paraId="5DE08F5D" w14:textId="1EBC8454" w:rsidR="00C65ABD" w:rsidRPr="00C65ABD" w:rsidRDefault="00C65ABD" w:rsidP="00C65ABD">
            <w:pPr>
              <w:rPr>
                <w:b/>
                <w:bCs/>
                <w:color w:val="000000"/>
                <w:sz w:val="22"/>
                <w:szCs w:val="22"/>
                <w:lang w:val="en-GB"/>
              </w:rPr>
            </w:pPr>
            <w:r w:rsidRPr="00C65ABD">
              <w:rPr>
                <w:sz w:val="22"/>
                <w:szCs w:val="22"/>
                <w:lang w:val="en-GB"/>
              </w:rPr>
              <w:t xml:space="preserve">Proposal for a Directive of the European Parliament and of the Council amending Directive 2012/19/EU on </w:t>
            </w:r>
            <w:r w:rsidRPr="00C65ABD">
              <w:rPr>
                <w:b/>
                <w:bCs/>
                <w:sz w:val="22"/>
                <w:szCs w:val="22"/>
                <w:lang w:val="en-GB"/>
              </w:rPr>
              <w:t>waste electrical and electronic equipment</w:t>
            </w:r>
            <w:r w:rsidRPr="00C65ABD">
              <w:rPr>
                <w:sz w:val="22"/>
                <w:szCs w:val="22"/>
                <w:lang w:val="en-GB"/>
              </w:rPr>
              <w:t xml:space="preserve"> (WEEE) [6166/23 - </w:t>
            </w:r>
            <w:proofErr w:type="gramStart"/>
            <w:r w:rsidRPr="00C65ABD">
              <w:rPr>
                <w:sz w:val="22"/>
                <w:szCs w:val="22"/>
                <w:lang w:val="en-GB"/>
              </w:rPr>
              <w:t>COM(</w:t>
            </w:r>
            <w:proofErr w:type="gramEnd"/>
            <w:r w:rsidRPr="00C65ABD">
              <w:rPr>
                <w:sz w:val="22"/>
                <w:szCs w:val="22"/>
                <w:lang w:val="en-GB"/>
              </w:rPr>
              <w:t xml:space="preserve">2023) 63 final] - Opinion on the application of the Principles of Subsidiarity and Proportionality - Chamber of Deputies of the Czech Republic </w:t>
            </w:r>
            <w:r w:rsidRPr="00C65ABD">
              <w:rPr>
                <w:sz w:val="22"/>
                <w:szCs w:val="22"/>
                <w:lang w:val="en-GB"/>
              </w:rPr>
              <w:br/>
            </w:r>
          </w:p>
        </w:tc>
      </w:tr>
      <w:tr w:rsidR="00C65ABD" w:rsidRPr="00211FCA" w14:paraId="19A778B4" w14:textId="77777777" w:rsidTr="00FC224F">
        <w:trPr>
          <w:trHeight w:val="729"/>
        </w:trPr>
        <w:tc>
          <w:tcPr>
            <w:tcW w:w="1900" w:type="dxa"/>
            <w:gridSpan w:val="2"/>
            <w:shd w:val="clear" w:color="auto" w:fill="auto"/>
            <w:vAlign w:val="center"/>
          </w:tcPr>
          <w:p w14:paraId="2D763122" w14:textId="412D4DCD" w:rsidR="00C65ABD" w:rsidRPr="00C65ABD" w:rsidRDefault="005638D0" w:rsidP="00C65ABD">
            <w:pPr>
              <w:rPr>
                <w:bCs/>
                <w:sz w:val="22"/>
                <w:szCs w:val="22"/>
              </w:rPr>
            </w:pPr>
            <w:hyperlink r:id="rId29" w:history="1">
              <w:r w:rsidR="00C65ABD" w:rsidRPr="00C65ABD">
                <w:rPr>
                  <w:rStyle w:val="Hyperlnk"/>
                  <w:color w:val="auto"/>
                  <w:sz w:val="22"/>
                  <w:szCs w:val="22"/>
                  <w:u w:val="none"/>
                  <w:lang w:val="en-GB"/>
                </w:rPr>
                <w:t>ST 8702/23</w:t>
              </w:r>
            </w:hyperlink>
          </w:p>
        </w:tc>
        <w:tc>
          <w:tcPr>
            <w:tcW w:w="8874" w:type="dxa"/>
            <w:gridSpan w:val="20"/>
            <w:shd w:val="clear" w:color="auto" w:fill="auto"/>
            <w:vAlign w:val="center"/>
          </w:tcPr>
          <w:p w14:paraId="2A47A591" w14:textId="020E8FA9" w:rsidR="00C65ABD" w:rsidRPr="00C65ABD" w:rsidRDefault="00C65ABD" w:rsidP="00C65ABD">
            <w:pPr>
              <w:rPr>
                <w:b/>
                <w:bCs/>
                <w:color w:val="000000"/>
                <w:sz w:val="22"/>
                <w:szCs w:val="22"/>
                <w:lang w:val="en-GB"/>
              </w:rPr>
            </w:pPr>
            <w:r w:rsidRPr="00C65ABD">
              <w:rPr>
                <w:sz w:val="22"/>
                <w:szCs w:val="22"/>
                <w:lang w:val="en-GB"/>
              </w:rPr>
              <w:t xml:space="preserve">Proposal for a REGULATION OF THE EUROPEAN PARLIAMENT AND OF THE COUNCIL establishing </w:t>
            </w:r>
            <w:r w:rsidRPr="00C65ABD">
              <w:rPr>
                <w:b/>
                <w:bCs/>
                <w:sz w:val="22"/>
                <w:szCs w:val="22"/>
                <w:lang w:val="en-GB"/>
              </w:rPr>
              <w:t>a Union certification framework for carbon removals</w:t>
            </w:r>
            <w:r w:rsidRPr="00C65ABD">
              <w:rPr>
                <w:sz w:val="22"/>
                <w:szCs w:val="22"/>
                <w:lang w:val="en-GB"/>
              </w:rPr>
              <w:t xml:space="preserve"> 15557/22 - COM (2022)672) - Opinion on the application of the Principles of Subsidiarity and Proportionality - The Portuguese Parliament (Assembleia da República) </w:t>
            </w:r>
            <w:r w:rsidRPr="00C65ABD">
              <w:rPr>
                <w:sz w:val="22"/>
                <w:szCs w:val="22"/>
                <w:lang w:val="en-GB"/>
              </w:rPr>
              <w:br/>
            </w:r>
          </w:p>
        </w:tc>
      </w:tr>
      <w:tr w:rsidR="00C65ABD" w:rsidRPr="00211FCA" w14:paraId="671C66C1" w14:textId="77777777" w:rsidTr="00FC224F">
        <w:trPr>
          <w:trHeight w:val="729"/>
        </w:trPr>
        <w:tc>
          <w:tcPr>
            <w:tcW w:w="1900" w:type="dxa"/>
            <w:gridSpan w:val="2"/>
            <w:shd w:val="clear" w:color="auto" w:fill="auto"/>
            <w:vAlign w:val="center"/>
          </w:tcPr>
          <w:p w14:paraId="70C7A759" w14:textId="03AA063D" w:rsidR="00C65ABD" w:rsidRPr="00C65ABD" w:rsidRDefault="005638D0" w:rsidP="00C65ABD">
            <w:pPr>
              <w:rPr>
                <w:bCs/>
                <w:sz w:val="22"/>
                <w:szCs w:val="22"/>
              </w:rPr>
            </w:pPr>
            <w:hyperlink r:id="rId30" w:history="1">
              <w:r w:rsidR="00C65ABD" w:rsidRPr="00C65ABD">
                <w:rPr>
                  <w:rStyle w:val="Hyperlnk"/>
                  <w:color w:val="auto"/>
                  <w:sz w:val="22"/>
                  <w:szCs w:val="22"/>
                  <w:u w:val="none"/>
                  <w:lang w:val="en-GB"/>
                </w:rPr>
                <w:t>ST 8703/23</w:t>
              </w:r>
            </w:hyperlink>
          </w:p>
        </w:tc>
        <w:tc>
          <w:tcPr>
            <w:tcW w:w="8874" w:type="dxa"/>
            <w:gridSpan w:val="20"/>
            <w:shd w:val="clear" w:color="auto" w:fill="auto"/>
            <w:vAlign w:val="center"/>
          </w:tcPr>
          <w:p w14:paraId="366BF82B" w14:textId="2CBDFC59" w:rsidR="00C65ABD" w:rsidRPr="00C65ABD" w:rsidRDefault="00C65ABD" w:rsidP="00C65ABD">
            <w:pPr>
              <w:rPr>
                <w:b/>
                <w:bCs/>
                <w:color w:val="000000"/>
                <w:sz w:val="22"/>
                <w:szCs w:val="22"/>
                <w:lang w:val="en-GB"/>
              </w:rPr>
            </w:pPr>
            <w:r w:rsidRPr="00C65ABD">
              <w:rPr>
                <w:sz w:val="22"/>
                <w:szCs w:val="22"/>
                <w:lang w:val="en-GB"/>
              </w:rPr>
              <w:t xml:space="preserve">Proposal for a REGULATION OF THE EUROPEAN PARLIAMENT AND OF THE COUNCIL establishing </w:t>
            </w:r>
            <w:r w:rsidRPr="00C65ABD">
              <w:rPr>
                <w:b/>
                <w:bCs/>
                <w:sz w:val="22"/>
                <w:szCs w:val="22"/>
                <w:lang w:val="en-GB"/>
              </w:rPr>
              <w:t>a Union certification framework for carbon removals</w:t>
            </w:r>
            <w:r w:rsidRPr="00C65ABD">
              <w:rPr>
                <w:sz w:val="22"/>
                <w:szCs w:val="22"/>
                <w:lang w:val="en-GB"/>
              </w:rPr>
              <w:t xml:space="preserve"> 15557/22 - COM (2022)672 - Opinion on the application of the Principles of Subsidiarity and Proportionality - The Senate of the Kingdom of the Netherlands</w:t>
            </w:r>
            <w:r w:rsidRPr="00C65ABD">
              <w:rPr>
                <w:sz w:val="22"/>
                <w:szCs w:val="22"/>
                <w:lang w:val="en-GB"/>
              </w:rPr>
              <w:br/>
            </w:r>
          </w:p>
        </w:tc>
      </w:tr>
      <w:tr w:rsidR="00C65ABD" w:rsidRPr="00211FCA" w14:paraId="30BA458B" w14:textId="77777777" w:rsidTr="00FC224F">
        <w:trPr>
          <w:trHeight w:val="729"/>
        </w:trPr>
        <w:tc>
          <w:tcPr>
            <w:tcW w:w="1900" w:type="dxa"/>
            <w:gridSpan w:val="2"/>
            <w:shd w:val="clear" w:color="auto" w:fill="auto"/>
            <w:vAlign w:val="center"/>
          </w:tcPr>
          <w:p w14:paraId="33B02A6A" w14:textId="0F86B6EC" w:rsidR="00C65ABD" w:rsidRPr="00C65ABD" w:rsidRDefault="005638D0" w:rsidP="00C65ABD">
            <w:pPr>
              <w:rPr>
                <w:bCs/>
                <w:sz w:val="22"/>
                <w:szCs w:val="22"/>
              </w:rPr>
            </w:pPr>
            <w:hyperlink r:id="rId31" w:history="1">
              <w:r w:rsidR="00C65ABD" w:rsidRPr="00C65ABD">
                <w:rPr>
                  <w:rStyle w:val="Hyperlnk"/>
                  <w:color w:val="auto"/>
                  <w:sz w:val="22"/>
                  <w:szCs w:val="22"/>
                  <w:u w:val="none"/>
                  <w:lang w:val="en-GB"/>
                </w:rPr>
                <w:t>ST 8714/23</w:t>
              </w:r>
            </w:hyperlink>
          </w:p>
        </w:tc>
        <w:tc>
          <w:tcPr>
            <w:tcW w:w="8874" w:type="dxa"/>
            <w:gridSpan w:val="20"/>
            <w:shd w:val="clear" w:color="auto" w:fill="auto"/>
            <w:vAlign w:val="center"/>
          </w:tcPr>
          <w:p w14:paraId="0857F0B7" w14:textId="3E2422BC" w:rsidR="00C65ABD" w:rsidRPr="00C65ABD" w:rsidRDefault="00C65ABD" w:rsidP="00C65ABD">
            <w:pPr>
              <w:rPr>
                <w:b/>
                <w:bCs/>
                <w:color w:val="000000"/>
                <w:sz w:val="22"/>
                <w:szCs w:val="22"/>
                <w:lang w:val="en-GB"/>
              </w:rPr>
            </w:pPr>
            <w:r w:rsidRPr="00C65ABD">
              <w:rPr>
                <w:sz w:val="22"/>
                <w:szCs w:val="22"/>
                <w:lang w:val="en-GB"/>
              </w:rPr>
              <w:t xml:space="preserve">Proposal for a REGULATION OF THE EUROPEAN PARLIAMENT AND OF THE COUNCIL on </w:t>
            </w:r>
            <w:r w:rsidRPr="00C65ABD">
              <w:rPr>
                <w:b/>
                <w:bCs/>
                <w:sz w:val="22"/>
                <w:szCs w:val="22"/>
                <w:lang w:val="en-GB"/>
              </w:rPr>
              <w:t>packaging and packaging was</w:t>
            </w:r>
            <w:r w:rsidRPr="00C65ABD">
              <w:rPr>
                <w:sz w:val="22"/>
                <w:szCs w:val="22"/>
                <w:lang w:val="en-GB"/>
              </w:rPr>
              <w:t>te, amending Regulation (EU) 2019/1020 and Directive (EU) 2019/904, and repealing Directive 94/62/EC 15581/22 - COM (2022)</w:t>
            </w:r>
            <w:proofErr w:type="gramStart"/>
            <w:r w:rsidRPr="00C65ABD">
              <w:rPr>
                <w:sz w:val="22"/>
                <w:szCs w:val="22"/>
                <w:lang w:val="en-GB"/>
              </w:rPr>
              <w:t>677 ?</w:t>
            </w:r>
            <w:proofErr w:type="gramEnd"/>
            <w:r w:rsidRPr="00C65ABD">
              <w:rPr>
                <w:sz w:val="22"/>
                <w:szCs w:val="22"/>
                <w:lang w:val="en-GB"/>
              </w:rPr>
              <w:t xml:space="preserve"> Opinion on the application of the Principles of Subsidiarity and Proportionality - The French Senate</w:t>
            </w:r>
            <w:r w:rsidRPr="00C65ABD">
              <w:rPr>
                <w:sz w:val="22"/>
                <w:szCs w:val="22"/>
                <w:lang w:val="en-GB"/>
              </w:rPr>
              <w:br/>
            </w:r>
          </w:p>
        </w:tc>
      </w:tr>
      <w:tr w:rsidR="00C65ABD" w:rsidRPr="00211FCA" w14:paraId="771541DD" w14:textId="77777777" w:rsidTr="00FC224F">
        <w:trPr>
          <w:trHeight w:val="729"/>
        </w:trPr>
        <w:tc>
          <w:tcPr>
            <w:tcW w:w="1900" w:type="dxa"/>
            <w:gridSpan w:val="2"/>
            <w:shd w:val="clear" w:color="auto" w:fill="auto"/>
            <w:vAlign w:val="center"/>
          </w:tcPr>
          <w:p w14:paraId="343AF472" w14:textId="0B5561D3" w:rsidR="00C65ABD" w:rsidRPr="00C65ABD" w:rsidRDefault="005638D0" w:rsidP="00C65ABD">
            <w:pPr>
              <w:rPr>
                <w:bCs/>
                <w:sz w:val="22"/>
                <w:szCs w:val="22"/>
              </w:rPr>
            </w:pPr>
            <w:hyperlink r:id="rId32" w:history="1">
              <w:r w:rsidR="00C65ABD" w:rsidRPr="00C65ABD">
                <w:rPr>
                  <w:rStyle w:val="Hyperlnk"/>
                  <w:color w:val="auto"/>
                  <w:sz w:val="22"/>
                  <w:szCs w:val="22"/>
                  <w:u w:val="none"/>
                  <w:lang w:val="en-GB"/>
                </w:rPr>
                <w:t>ST 8760/23</w:t>
              </w:r>
            </w:hyperlink>
          </w:p>
        </w:tc>
        <w:tc>
          <w:tcPr>
            <w:tcW w:w="8874" w:type="dxa"/>
            <w:gridSpan w:val="20"/>
            <w:shd w:val="clear" w:color="auto" w:fill="auto"/>
            <w:vAlign w:val="center"/>
          </w:tcPr>
          <w:p w14:paraId="54C07A00" w14:textId="65969D70" w:rsidR="00C65ABD" w:rsidRPr="00C65ABD" w:rsidRDefault="00C65ABD" w:rsidP="00C65ABD">
            <w:pPr>
              <w:rPr>
                <w:b/>
                <w:bCs/>
                <w:color w:val="000000"/>
                <w:sz w:val="22"/>
                <w:szCs w:val="22"/>
                <w:lang w:val="en-GB"/>
              </w:rPr>
            </w:pPr>
            <w:r w:rsidRPr="00C65ABD">
              <w:rPr>
                <w:sz w:val="22"/>
                <w:szCs w:val="22"/>
                <w:lang w:val="en-GB"/>
              </w:rPr>
              <w:t xml:space="preserve">Proposal for a REGULATION OF THE EUROPEAN PARLIAMENT AND OF THE COUNCIL on </w:t>
            </w:r>
            <w:r w:rsidRPr="00C65ABD">
              <w:rPr>
                <w:b/>
                <w:bCs/>
                <w:sz w:val="22"/>
                <w:szCs w:val="22"/>
                <w:lang w:val="en-GB"/>
              </w:rPr>
              <w:t>packaging and packaging waste</w:t>
            </w:r>
            <w:r w:rsidRPr="00C65ABD">
              <w:rPr>
                <w:sz w:val="22"/>
                <w:szCs w:val="22"/>
                <w:lang w:val="en-GB"/>
              </w:rPr>
              <w:t>, amending Regulation (EU) 2019/1020 and Directive (EU) 2019/904, and repealing Directive 94/62/EC 15581/22 - COM (2022)677 - Opinion on the application of the Principles of Subsidiarity and Proportionality - The Italian Senate</w:t>
            </w:r>
            <w:r w:rsidRPr="00C65ABD">
              <w:rPr>
                <w:sz w:val="22"/>
                <w:szCs w:val="22"/>
                <w:lang w:val="en-GB"/>
              </w:rPr>
              <w:br/>
            </w:r>
          </w:p>
        </w:tc>
      </w:tr>
      <w:tr w:rsidR="00C65ABD" w:rsidRPr="00211FCA" w14:paraId="15C14133" w14:textId="77777777" w:rsidTr="00FC224F">
        <w:trPr>
          <w:trHeight w:val="729"/>
        </w:trPr>
        <w:tc>
          <w:tcPr>
            <w:tcW w:w="1900" w:type="dxa"/>
            <w:gridSpan w:val="2"/>
            <w:shd w:val="clear" w:color="auto" w:fill="auto"/>
            <w:vAlign w:val="center"/>
          </w:tcPr>
          <w:p w14:paraId="0961F1D5" w14:textId="5E22BDF5" w:rsidR="00C65ABD" w:rsidRPr="00C65ABD" w:rsidRDefault="005638D0" w:rsidP="00C65ABD">
            <w:pPr>
              <w:rPr>
                <w:bCs/>
                <w:sz w:val="22"/>
                <w:szCs w:val="22"/>
              </w:rPr>
            </w:pPr>
            <w:hyperlink r:id="rId33" w:history="1">
              <w:r w:rsidR="00C65ABD" w:rsidRPr="00C65ABD">
                <w:rPr>
                  <w:rStyle w:val="Hyperlnk"/>
                  <w:color w:val="auto"/>
                  <w:sz w:val="22"/>
                  <w:szCs w:val="22"/>
                  <w:u w:val="none"/>
                  <w:lang w:val="en-GB"/>
                </w:rPr>
                <w:t>ST 8761/23</w:t>
              </w:r>
            </w:hyperlink>
          </w:p>
        </w:tc>
        <w:tc>
          <w:tcPr>
            <w:tcW w:w="8874" w:type="dxa"/>
            <w:gridSpan w:val="20"/>
            <w:shd w:val="clear" w:color="auto" w:fill="auto"/>
            <w:vAlign w:val="center"/>
          </w:tcPr>
          <w:p w14:paraId="0D872C75" w14:textId="75DE4BE6" w:rsidR="00C65ABD" w:rsidRPr="00C65ABD" w:rsidRDefault="00C65ABD" w:rsidP="00C65ABD">
            <w:pPr>
              <w:rPr>
                <w:b/>
                <w:bCs/>
                <w:color w:val="000000"/>
                <w:sz w:val="22"/>
                <w:szCs w:val="22"/>
                <w:lang w:val="en-GB"/>
              </w:rPr>
            </w:pPr>
            <w:r w:rsidRPr="00C65ABD">
              <w:rPr>
                <w:sz w:val="22"/>
                <w:szCs w:val="22"/>
                <w:lang w:val="en-GB"/>
              </w:rPr>
              <w:t xml:space="preserve">Proposal for a REGULATION OF THE EUROPEAN PARLIAMENT AND OF THE COUNCIL on </w:t>
            </w:r>
            <w:r w:rsidRPr="00C65ABD">
              <w:rPr>
                <w:b/>
                <w:bCs/>
                <w:sz w:val="22"/>
                <w:szCs w:val="22"/>
                <w:lang w:val="en-GB"/>
              </w:rPr>
              <w:t>packaging and packaging waste</w:t>
            </w:r>
            <w:r w:rsidRPr="00C65ABD">
              <w:rPr>
                <w:sz w:val="22"/>
                <w:szCs w:val="22"/>
                <w:lang w:val="en-GB"/>
              </w:rPr>
              <w:t xml:space="preserve">, amending Regulation (EU) 2019/1020 and Directive (EU) 2019/904, and repealing Directive 94/62/EC 15581/22 - COM (2022)677 - Reasoned opinion on the application of the Principles of Subsidiarity and Proportionality - The Italian Chamber of Deputies </w:t>
            </w:r>
            <w:r w:rsidRPr="00C65ABD">
              <w:rPr>
                <w:sz w:val="22"/>
                <w:szCs w:val="22"/>
                <w:lang w:val="en-GB"/>
              </w:rPr>
              <w:br/>
            </w:r>
          </w:p>
        </w:tc>
      </w:tr>
      <w:tr w:rsidR="00C65ABD" w:rsidRPr="00211FCA" w14:paraId="63C581C8" w14:textId="77777777" w:rsidTr="00FC224F">
        <w:trPr>
          <w:trHeight w:val="729"/>
        </w:trPr>
        <w:tc>
          <w:tcPr>
            <w:tcW w:w="1900" w:type="dxa"/>
            <w:gridSpan w:val="2"/>
            <w:shd w:val="clear" w:color="auto" w:fill="auto"/>
            <w:vAlign w:val="center"/>
          </w:tcPr>
          <w:p w14:paraId="6DD5F0A9" w14:textId="6C12A5F8" w:rsidR="00C65ABD" w:rsidRPr="00C65ABD" w:rsidRDefault="005638D0" w:rsidP="00C65ABD">
            <w:pPr>
              <w:rPr>
                <w:bCs/>
                <w:sz w:val="22"/>
                <w:szCs w:val="22"/>
              </w:rPr>
            </w:pPr>
            <w:hyperlink r:id="rId34" w:history="1">
              <w:r w:rsidR="00C65ABD" w:rsidRPr="00C65ABD">
                <w:rPr>
                  <w:rStyle w:val="Hyperlnk"/>
                  <w:color w:val="auto"/>
                  <w:sz w:val="22"/>
                  <w:szCs w:val="22"/>
                  <w:u w:val="none"/>
                  <w:lang w:val="en-GB"/>
                </w:rPr>
                <w:t>ST 8919/23</w:t>
              </w:r>
            </w:hyperlink>
          </w:p>
        </w:tc>
        <w:tc>
          <w:tcPr>
            <w:tcW w:w="8874" w:type="dxa"/>
            <w:gridSpan w:val="20"/>
            <w:shd w:val="clear" w:color="auto" w:fill="auto"/>
            <w:vAlign w:val="center"/>
          </w:tcPr>
          <w:p w14:paraId="437E6A6C" w14:textId="22761F32" w:rsidR="00C65ABD" w:rsidRPr="00C65ABD" w:rsidRDefault="00C65ABD" w:rsidP="00C65ABD">
            <w:pPr>
              <w:rPr>
                <w:b/>
                <w:bCs/>
                <w:color w:val="000000"/>
                <w:sz w:val="22"/>
                <w:szCs w:val="22"/>
                <w:lang w:val="en-GB"/>
              </w:rPr>
            </w:pPr>
            <w:r w:rsidRPr="00C65ABD">
              <w:rPr>
                <w:sz w:val="22"/>
                <w:szCs w:val="22"/>
                <w:lang w:val="en-GB"/>
              </w:rPr>
              <w:t xml:space="preserve">Proposal for a REGULATION OF THE EUROPEAN PARLIAMENT AND OF THE COUNCIL establishing </w:t>
            </w:r>
            <w:r w:rsidRPr="00C65ABD">
              <w:rPr>
                <w:b/>
                <w:bCs/>
                <w:sz w:val="22"/>
                <w:szCs w:val="22"/>
                <w:lang w:val="en-GB"/>
              </w:rPr>
              <w:t>a Union certification framework for carbon removals</w:t>
            </w:r>
            <w:r w:rsidRPr="00C65ABD">
              <w:rPr>
                <w:sz w:val="22"/>
                <w:szCs w:val="22"/>
                <w:lang w:val="en-GB"/>
              </w:rPr>
              <w:t xml:space="preserve"> 15557/22 - COM (2022)672 - Opinion on the application of the Principles of Subsidiarity and Proportionality - The Spanish Parliament (Las Cortes </w:t>
            </w:r>
            <w:proofErr w:type="spellStart"/>
            <w:r w:rsidRPr="00C65ABD">
              <w:rPr>
                <w:sz w:val="22"/>
                <w:szCs w:val="22"/>
                <w:lang w:val="en-GB"/>
              </w:rPr>
              <w:t>Generales</w:t>
            </w:r>
            <w:proofErr w:type="spellEnd"/>
            <w:r w:rsidRPr="00C65ABD">
              <w:rPr>
                <w:sz w:val="22"/>
                <w:szCs w:val="22"/>
                <w:lang w:val="en-GB"/>
              </w:rPr>
              <w:t>)</w:t>
            </w:r>
            <w:r w:rsidRPr="00C65ABD">
              <w:rPr>
                <w:sz w:val="22"/>
                <w:szCs w:val="22"/>
                <w:lang w:val="en-GB"/>
              </w:rPr>
              <w:br/>
            </w:r>
          </w:p>
        </w:tc>
      </w:tr>
      <w:tr w:rsidR="00C65ABD" w:rsidRPr="00211FCA" w14:paraId="0A301A0B" w14:textId="77777777" w:rsidTr="00FC224F">
        <w:trPr>
          <w:trHeight w:val="729"/>
        </w:trPr>
        <w:tc>
          <w:tcPr>
            <w:tcW w:w="1900" w:type="dxa"/>
            <w:gridSpan w:val="2"/>
            <w:shd w:val="clear" w:color="auto" w:fill="auto"/>
            <w:vAlign w:val="center"/>
          </w:tcPr>
          <w:p w14:paraId="2F9D8FEC" w14:textId="28977DA2" w:rsidR="00C65ABD" w:rsidRPr="00C65ABD" w:rsidRDefault="005638D0" w:rsidP="00C65ABD">
            <w:pPr>
              <w:rPr>
                <w:bCs/>
                <w:sz w:val="22"/>
                <w:szCs w:val="22"/>
              </w:rPr>
            </w:pPr>
            <w:hyperlink r:id="rId35" w:history="1">
              <w:r w:rsidR="00C65ABD" w:rsidRPr="00C65ABD">
                <w:rPr>
                  <w:rStyle w:val="Hyperlnk"/>
                  <w:color w:val="auto"/>
                  <w:sz w:val="22"/>
                  <w:szCs w:val="22"/>
                  <w:u w:val="none"/>
                  <w:lang w:val="en-GB"/>
                </w:rPr>
                <w:t>ST 8920/23</w:t>
              </w:r>
            </w:hyperlink>
          </w:p>
        </w:tc>
        <w:tc>
          <w:tcPr>
            <w:tcW w:w="8874" w:type="dxa"/>
            <w:gridSpan w:val="20"/>
            <w:shd w:val="clear" w:color="auto" w:fill="auto"/>
            <w:vAlign w:val="center"/>
          </w:tcPr>
          <w:p w14:paraId="4AA72B2C" w14:textId="56BB79BB" w:rsidR="00C65ABD" w:rsidRPr="00C65ABD" w:rsidRDefault="00C65ABD" w:rsidP="00C65ABD">
            <w:pPr>
              <w:rPr>
                <w:b/>
                <w:bCs/>
                <w:color w:val="000000"/>
                <w:sz w:val="22"/>
                <w:szCs w:val="22"/>
                <w:lang w:val="en-GB"/>
              </w:rPr>
            </w:pPr>
            <w:r w:rsidRPr="00C65ABD">
              <w:rPr>
                <w:sz w:val="22"/>
                <w:szCs w:val="22"/>
                <w:lang w:val="en-GB"/>
              </w:rPr>
              <w:t xml:space="preserve">Proposal for a REGULATION OF THE EUROPEAN PARLIAMENT AND OF THE COUNCIL on </w:t>
            </w:r>
            <w:r w:rsidRPr="00C65ABD">
              <w:rPr>
                <w:b/>
                <w:bCs/>
                <w:sz w:val="22"/>
                <w:szCs w:val="22"/>
                <w:lang w:val="en-GB"/>
              </w:rPr>
              <w:t>packaging and packaging waste</w:t>
            </w:r>
            <w:r w:rsidRPr="00C65ABD">
              <w:rPr>
                <w:sz w:val="22"/>
                <w:szCs w:val="22"/>
                <w:lang w:val="en-GB"/>
              </w:rPr>
              <w:t>, amending Regulation (EU) 2019/1020 and Directive (EU) 2019/904, and repealing Directive 94/62/EC 15581/22 - COM (2022)677 - Opinion on the application of the Principles of Subsidiarity and Proportionality - The Parliament of the Czech Republic</w:t>
            </w:r>
            <w:r w:rsidRPr="00C65ABD">
              <w:rPr>
                <w:sz w:val="22"/>
                <w:szCs w:val="22"/>
                <w:lang w:val="en-GB"/>
              </w:rPr>
              <w:br/>
            </w:r>
          </w:p>
        </w:tc>
      </w:tr>
      <w:tr w:rsidR="00C65ABD" w:rsidRPr="00211FCA" w14:paraId="6AA57B00" w14:textId="77777777" w:rsidTr="00FC224F">
        <w:trPr>
          <w:trHeight w:val="729"/>
        </w:trPr>
        <w:tc>
          <w:tcPr>
            <w:tcW w:w="1900" w:type="dxa"/>
            <w:gridSpan w:val="2"/>
            <w:shd w:val="clear" w:color="auto" w:fill="auto"/>
            <w:vAlign w:val="center"/>
          </w:tcPr>
          <w:p w14:paraId="224C4D11" w14:textId="7139D884" w:rsidR="00C65ABD" w:rsidRPr="00C65ABD" w:rsidRDefault="005638D0" w:rsidP="00C65ABD">
            <w:pPr>
              <w:rPr>
                <w:bCs/>
                <w:sz w:val="22"/>
                <w:szCs w:val="22"/>
              </w:rPr>
            </w:pPr>
            <w:hyperlink r:id="rId36" w:history="1">
              <w:r w:rsidR="00C65ABD" w:rsidRPr="00C65ABD">
                <w:rPr>
                  <w:rStyle w:val="Hyperlnk"/>
                  <w:color w:val="auto"/>
                  <w:sz w:val="22"/>
                  <w:szCs w:val="22"/>
                  <w:u w:val="none"/>
                  <w:lang w:val="en-GB"/>
                </w:rPr>
                <w:t>ST 8922/23</w:t>
              </w:r>
            </w:hyperlink>
          </w:p>
        </w:tc>
        <w:tc>
          <w:tcPr>
            <w:tcW w:w="8874" w:type="dxa"/>
            <w:gridSpan w:val="20"/>
            <w:shd w:val="clear" w:color="auto" w:fill="auto"/>
            <w:vAlign w:val="center"/>
          </w:tcPr>
          <w:p w14:paraId="64354503" w14:textId="53343B22" w:rsidR="00C65ABD" w:rsidRPr="00C65ABD" w:rsidRDefault="00C65ABD" w:rsidP="00C65ABD">
            <w:pPr>
              <w:rPr>
                <w:b/>
                <w:bCs/>
                <w:color w:val="000000"/>
                <w:sz w:val="22"/>
                <w:szCs w:val="22"/>
                <w:lang w:val="en-GB"/>
              </w:rPr>
            </w:pPr>
            <w:r w:rsidRPr="00C65ABD">
              <w:rPr>
                <w:sz w:val="22"/>
                <w:szCs w:val="22"/>
                <w:lang w:val="en-GB"/>
              </w:rPr>
              <w:t xml:space="preserve">Proposal for a REGULATION OF THE EUROPEAN PARLIAMENT AND OF THE COUNCIL on </w:t>
            </w:r>
            <w:r w:rsidRPr="00C65ABD">
              <w:rPr>
                <w:b/>
                <w:bCs/>
                <w:sz w:val="22"/>
                <w:szCs w:val="22"/>
                <w:lang w:val="en-GB"/>
              </w:rPr>
              <w:t>packaging and packaging waste</w:t>
            </w:r>
            <w:r w:rsidRPr="00C65ABD">
              <w:rPr>
                <w:sz w:val="22"/>
                <w:szCs w:val="22"/>
                <w:lang w:val="en-GB"/>
              </w:rPr>
              <w:t xml:space="preserve">, amending Regulation (EU) 2019/1020 and Directive (EU) 2019/904, and repealing Directive 94/62/EC 15581/22 - COM (2022)677 - Opinion on the application of the Principles of Subsidiarity and Proportionality - The Spanish Parliament (Las Cortes </w:t>
            </w:r>
            <w:proofErr w:type="spellStart"/>
            <w:r w:rsidRPr="00C65ABD">
              <w:rPr>
                <w:sz w:val="22"/>
                <w:szCs w:val="22"/>
                <w:lang w:val="en-GB"/>
              </w:rPr>
              <w:t>Generales</w:t>
            </w:r>
            <w:proofErr w:type="spellEnd"/>
            <w:r w:rsidRPr="00C65ABD">
              <w:rPr>
                <w:sz w:val="22"/>
                <w:szCs w:val="22"/>
                <w:lang w:val="en-GB"/>
              </w:rPr>
              <w:t>)</w:t>
            </w:r>
            <w:r w:rsidRPr="00C65ABD">
              <w:rPr>
                <w:sz w:val="22"/>
                <w:szCs w:val="22"/>
                <w:lang w:val="en-GB"/>
              </w:rPr>
              <w:br/>
            </w:r>
            <w:r w:rsidRPr="00C65ABD">
              <w:rPr>
                <w:sz w:val="22"/>
                <w:szCs w:val="22"/>
                <w:lang w:val="en-GB"/>
              </w:rPr>
              <w:br/>
            </w:r>
          </w:p>
        </w:tc>
      </w:tr>
      <w:tr w:rsidR="00C65ABD" w:rsidRPr="00211FCA" w14:paraId="4FA2069A" w14:textId="77777777" w:rsidTr="00FC224F">
        <w:trPr>
          <w:trHeight w:val="729"/>
        </w:trPr>
        <w:tc>
          <w:tcPr>
            <w:tcW w:w="1900" w:type="dxa"/>
            <w:gridSpan w:val="2"/>
            <w:shd w:val="clear" w:color="auto" w:fill="auto"/>
            <w:vAlign w:val="center"/>
          </w:tcPr>
          <w:p w14:paraId="610E8B3A" w14:textId="06A2BD9C" w:rsidR="00C65ABD" w:rsidRPr="00C65ABD" w:rsidRDefault="005638D0" w:rsidP="00C65ABD">
            <w:pPr>
              <w:rPr>
                <w:b/>
                <w:bCs/>
                <w:sz w:val="22"/>
                <w:szCs w:val="22"/>
              </w:rPr>
            </w:pPr>
            <w:hyperlink r:id="rId37" w:history="1">
              <w:r w:rsidR="00C65ABD" w:rsidRPr="00C65ABD">
                <w:rPr>
                  <w:rStyle w:val="Hyperlnk"/>
                  <w:color w:val="auto"/>
                  <w:sz w:val="22"/>
                  <w:szCs w:val="22"/>
                  <w:u w:val="none"/>
                  <w:lang w:val="en-GB"/>
                </w:rPr>
                <w:t>ST 8923/23</w:t>
              </w:r>
            </w:hyperlink>
          </w:p>
        </w:tc>
        <w:tc>
          <w:tcPr>
            <w:tcW w:w="8874" w:type="dxa"/>
            <w:gridSpan w:val="20"/>
            <w:shd w:val="clear" w:color="auto" w:fill="auto"/>
            <w:vAlign w:val="center"/>
          </w:tcPr>
          <w:p w14:paraId="06002BEE" w14:textId="2C50BECC" w:rsidR="00C65ABD" w:rsidRPr="00C65ABD" w:rsidRDefault="00C65ABD" w:rsidP="00C65ABD">
            <w:pPr>
              <w:rPr>
                <w:sz w:val="22"/>
                <w:szCs w:val="22"/>
                <w:lang w:val="en-GB"/>
              </w:rPr>
            </w:pPr>
            <w:r w:rsidRPr="00C65ABD">
              <w:rPr>
                <w:sz w:val="22"/>
                <w:szCs w:val="22"/>
                <w:lang w:val="en-GB"/>
              </w:rPr>
              <w:t xml:space="preserve">Proposal for a REGULATION OF THE EUROPEAN PARLIAMENT AND OF THE COUNCIL </w:t>
            </w:r>
            <w:r w:rsidRPr="00C65ABD">
              <w:rPr>
                <w:b/>
                <w:bCs/>
                <w:sz w:val="22"/>
                <w:szCs w:val="22"/>
                <w:lang w:val="en-GB"/>
              </w:rPr>
              <w:t>on packaging and packaging waste</w:t>
            </w:r>
            <w:r w:rsidRPr="00C65ABD">
              <w:rPr>
                <w:sz w:val="22"/>
                <w:szCs w:val="22"/>
                <w:lang w:val="en-GB"/>
              </w:rPr>
              <w:t>, amending Regulation (EU) 2019/1020 and Directive (EU) 2019/904, and repealing Directive 94/62/EC 15581/22 - COM (2022)677 - Opinion on the application of the Principles of Subsidiarity and Proportionality - The Romanian Senate</w:t>
            </w:r>
            <w:r w:rsidRPr="00C65ABD">
              <w:rPr>
                <w:sz w:val="22"/>
                <w:szCs w:val="22"/>
                <w:lang w:val="en-GB"/>
              </w:rPr>
              <w:br/>
            </w:r>
          </w:p>
        </w:tc>
      </w:tr>
      <w:tr w:rsidR="00C65ABD" w:rsidRPr="00211FCA" w14:paraId="55371672" w14:textId="77777777" w:rsidTr="00C65ABD">
        <w:trPr>
          <w:trHeight w:val="729"/>
        </w:trPr>
        <w:tc>
          <w:tcPr>
            <w:tcW w:w="1900" w:type="dxa"/>
            <w:gridSpan w:val="2"/>
            <w:shd w:val="clear" w:color="auto" w:fill="auto"/>
            <w:vAlign w:val="center"/>
          </w:tcPr>
          <w:p w14:paraId="15E4242E" w14:textId="30B469A2" w:rsidR="00C65ABD" w:rsidRPr="00C65ABD" w:rsidRDefault="005638D0" w:rsidP="00C65ABD">
            <w:pPr>
              <w:rPr>
                <w:bCs/>
                <w:sz w:val="22"/>
                <w:szCs w:val="22"/>
              </w:rPr>
            </w:pPr>
            <w:hyperlink r:id="rId38" w:history="1">
              <w:r w:rsidR="00C65ABD" w:rsidRPr="00C65ABD">
                <w:rPr>
                  <w:rStyle w:val="Hyperlnk"/>
                  <w:color w:val="auto"/>
                  <w:sz w:val="22"/>
                  <w:szCs w:val="22"/>
                  <w:u w:val="none"/>
                  <w:lang w:val="en-GB"/>
                </w:rPr>
                <w:t>ST 8980/23</w:t>
              </w:r>
            </w:hyperlink>
          </w:p>
        </w:tc>
        <w:tc>
          <w:tcPr>
            <w:tcW w:w="8874" w:type="dxa"/>
            <w:gridSpan w:val="20"/>
            <w:shd w:val="clear" w:color="auto" w:fill="auto"/>
            <w:vAlign w:val="center"/>
          </w:tcPr>
          <w:p w14:paraId="6C4CB134" w14:textId="1445374F" w:rsidR="00C65ABD" w:rsidRPr="00C65ABD" w:rsidRDefault="00C65ABD" w:rsidP="00C65ABD">
            <w:pPr>
              <w:rPr>
                <w:sz w:val="22"/>
                <w:szCs w:val="22"/>
                <w:lang w:val="en-GB"/>
              </w:rPr>
            </w:pPr>
            <w:r w:rsidRPr="00C65ABD">
              <w:rPr>
                <w:sz w:val="22"/>
                <w:szCs w:val="22"/>
                <w:lang w:val="en-GB"/>
              </w:rPr>
              <w:t xml:space="preserve">Proposal for a REGULATION OF THE EUROPEAN PARLIAMENT AND OF THE COUNCIL amending Regulation (EU) 2019/1009 as regards </w:t>
            </w:r>
            <w:r w:rsidRPr="00C65ABD">
              <w:rPr>
                <w:b/>
                <w:bCs/>
                <w:sz w:val="22"/>
                <w:szCs w:val="22"/>
                <w:lang w:val="en-GB"/>
              </w:rPr>
              <w:t>the digital labelling of EU fertilising products</w:t>
            </w:r>
            <w:r w:rsidRPr="00C65ABD">
              <w:rPr>
                <w:sz w:val="22"/>
                <w:szCs w:val="22"/>
                <w:lang w:val="en-GB"/>
              </w:rPr>
              <w:t xml:space="preserve"> [6896/23 - COM (2023)98 final] - Opinion on the application of the Principles of Subsidiarity and Proportionality - Cortes </w:t>
            </w:r>
            <w:proofErr w:type="spellStart"/>
            <w:r w:rsidRPr="00C65ABD">
              <w:rPr>
                <w:sz w:val="22"/>
                <w:szCs w:val="22"/>
                <w:lang w:val="en-GB"/>
              </w:rPr>
              <w:t>Generales</w:t>
            </w:r>
            <w:proofErr w:type="spellEnd"/>
            <w:r w:rsidRPr="00C65ABD">
              <w:rPr>
                <w:sz w:val="22"/>
                <w:szCs w:val="22"/>
                <w:lang w:val="en-GB"/>
              </w:rPr>
              <w:t xml:space="preserve"> </w:t>
            </w:r>
            <w:r w:rsidRPr="00C65ABD">
              <w:rPr>
                <w:sz w:val="22"/>
                <w:szCs w:val="22"/>
                <w:lang w:val="en-GB"/>
              </w:rPr>
              <w:br/>
            </w:r>
          </w:p>
        </w:tc>
      </w:tr>
      <w:tr w:rsidR="00C65ABD" w:rsidRPr="00C65ABD" w14:paraId="2CAE456F" w14:textId="77777777" w:rsidTr="00C65ABD">
        <w:trPr>
          <w:trHeight w:val="729"/>
        </w:trPr>
        <w:tc>
          <w:tcPr>
            <w:tcW w:w="1900" w:type="dxa"/>
            <w:gridSpan w:val="2"/>
            <w:shd w:val="clear" w:color="auto" w:fill="auto"/>
            <w:vAlign w:val="center"/>
          </w:tcPr>
          <w:p w14:paraId="132E2253" w14:textId="0DA5D98E" w:rsidR="00C65ABD" w:rsidRPr="00C65ABD" w:rsidRDefault="00C65ABD" w:rsidP="00C65ABD">
            <w:pPr>
              <w:rPr>
                <w:sz w:val="22"/>
                <w:szCs w:val="22"/>
              </w:rPr>
            </w:pPr>
            <w:r>
              <w:rPr>
                <w:b/>
                <w:bCs/>
                <w:sz w:val="22"/>
                <w:szCs w:val="22"/>
              </w:rPr>
              <w:t>Revisionsrättens yttranden, rapporter m.m.</w:t>
            </w:r>
          </w:p>
        </w:tc>
        <w:tc>
          <w:tcPr>
            <w:tcW w:w="8874" w:type="dxa"/>
            <w:gridSpan w:val="20"/>
            <w:shd w:val="clear" w:color="auto" w:fill="auto"/>
            <w:vAlign w:val="center"/>
          </w:tcPr>
          <w:p w14:paraId="6BE78A37" w14:textId="77777777" w:rsidR="00C65ABD" w:rsidRPr="00C65ABD" w:rsidRDefault="00C65ABD" w:rsidP="00C65ABD">
            <w:pPr>
              <w:rPr>
                <w:sz w:val="22"/>
                <w:szCs w:val="22"/>
              </w:rPr>
            </w:pPr>
          </w:p>
        </w:tc>
      </w:tr>
      <w:tr w:rsidR="00C65ABD" w:rsidRPr="00C65ABD" w14:paraId="5E3B5C2E" w14:textId="77777777" w:rsidTr="00C65ABD">
        <w:trPr>
          <w:trHeight w:val="483"/>
        </w:trPr>
        <w:tc>
          <w:tcPr>
            <w:tcW w:w="1900" w:type="dxa"/>
            <w:gridSpan w:val="2"/>
            <w:shd w:val="clear" w:color="auto" w:fill="auto"/>
            <w:vAlign w:val="center"/>
          </w:tcPr>
          <w:p w14:paraId="79ADE1A6" w14:textId="77777777" w:rsidR="00C65ABD" w:rsidRPr="00C65ABD" w:rsidRDefault="00C65ABD" w:rsidP="00C65ABD">
            <w:pPr>
              <w:rPr>
                <w:sz w:val="22"/>
                <w:szCs w:val="22"/>
              </w:rPr>
            </w:pPr>
          </w:p>
        </w:tc>
        <w:tc>
          <w:tcPr>
            <w:tcW w:w="8874" w:type="dxa"/>
            <w:gridSpan w:val="20"/>
            <w:shd w:val="clear" w:color="auto" w:fill="auto"/>
          </w:tcPr>
          <w:p w14:paraId="1EB699EA" w14:textId="18720801" w:rsidR="00C65ABD" w:rsidRPr="00C65ABD" w:rsidRDefault="00C65ABD" w:rsidP="00C65ABD">
            <w:pPr>
              <w:rPr>
                <w:sz w:val="22"/>
                <w:szCs w:val="22"/>
              </w:rPr>
            </w:pPr>
            <w:r w:rsidRPr="00475D41">
              <w:rPr>
                <w:sz w:val="22"/>
                <w:szCs w:val="22"/>
              </w:rPr>
              <w:t xml:space="preserve">Revisionsrättens översikt 03/2023 </w:t>
            </w:r>
            <w:r w:rsidRPr="00FB2A2F">
              <w:rPr>
                <w:b/>
                <w:bCs/>
                <w:sz w:val="22"/>
                <w:szCs w:val="22"/>
              </w:rPr>
              <w:t>Transport av levande djur i EU</w:t>
            </w:r>
            <w:r w:rsidRPr="00475D41">
              <w:rPr>
                <w:sz w:val="22"/>
                <w:szCs w:val="22"/>
              </w:rPr>
              <w:t>: utmaningar och möjligheter</w:t>
            </w:r>
          </w:p>
        </w:tc>
      </w:tr>
      <w:tr w:rsidR="00C65ABD" w:rsidRPr="00C65ABD" w14:paraId="6FBF79E6" w14:textId="77777777" w:rsidTr="00C65ABD">
        <w:trPr>
          <w:trHeight w:val="729"/>
        </w:trPr>
        <w:tc>
          <w:tcPr>
            <w:tcW w:w="1900" w:type="dxa"/>
            <w:gridSpan w:val="2"/>
            <w:shd w:val="clear" w:color="auto" w:fill="auto"/>
            <w:vAlign w:val="center"/>
          </w:tcPr>
          <w:p w14:paraId="00FB5A8C" w14:textId="77777777" w:rsidR="00C65ABD" w:rsidRPr="00C65ABD" w:rsidRDefault="00C65ABD" w:rsidP="00C65ABD">
            <w:pPr>
              <w:rPr>
                <w:sz w:val="22"/>
                <w:szCs w:val="22"/>
              </w:rPr>
            </w:pPr>
          </w:p>
        </w:tc>
        <w:tc>
          <w:tcPr>
            <w:tcW w:w="8874" w:type="dxa"/>
            <w:gridSpan w:val="20"/>
            <w:shd w:val="clear" w:color="auto" w:fill="auto"/>
            <w:vAlign w:val="center"/>
          </w:tcPr>
          <w:p w14:paraId="45CD4AE8" w14:textId="337AC461" w:rsidR="00C65ABD" w:rsidRPr="00C65ABD" w:rsidRDefault="00C65ABD" w:rsidP="00C65ABD">
            <w:pPr>
              <w:rPr>
                <w:sz w:val="22"/>
                <w:szCs w:val="22"/>
              </w:rPr>
            </w:pPr>
            <w:r w:rsidRPr="001F13C0">
              <w:rPr>
                <w:sz w:val="22"/>
                <w:szCs w:val="22"/>
              </w:rPr>
              <w:t xml:space="preserve">Revisionsrättens särskilda rapport 09/2023 </w:t>
            </w:r>
            <w:r w:rsidRPr="00FB2A2F">
              <w:rPr>
                <w:b/>
                <w:bCs/>
                <w:sz w:val="22"/>
                <w:szCs w:val="22"/>
              </w:rPr>
              <w:t>Säkrandet av jordbrukets leveranskedjor under covid-19-pandemin</w:t>
            </w:r>
            <w:r w:rsidRPr="001F13C0">
              <w:rPr>
                <w:sz w:val="22"/>
                <w:szCs w:val="22"/>
              </w:rPr>
              <w:t xml:space="preserve">: EU reagerade snabbt men medlemsstaterna riktade inte insatserna tillräckligt väl </w:t>
            </w:r>
          </w:p>
        </w:tc>
      </w:tr>
      <w:tr w:rsidR="00C65ABD" w:rsidRPr="00C65ABD" w14:paraId="5AD9936F" w14:textId="77777777" w:rsidTr="00C65ABD">
        <w:trPr>
          <w:trHeight w:val="729"/>
        </w:trPr>
        <w:tc>
          <w:tcPr>
            <w:tcW w:w="1900" w:type="dxa"/>
            <w:gridSpan w:val="2"/>
            <w:shd w:val="clear" w:color="auto" w:fill="auto"/>
            <w:vAlign w:val="center"/>
          </w:tcPr>
          <w:p w14:paraId="56C69347" w14:textId="1CF8A81C" w:rsidR="00C65ABD" w:rsidRPr="00C65ABD" w:rsidRDefault="00C65ABD" w:rsidP="00C65ABD">
            <w:pPr>
              <w:rPr>
                <w:b/>
                <w:bCs/>
                <w:sz w:val="22"/>
                <w:szCs w:val="22"/>
              </w:rPr>
            </w:pPr>
            <w:r w:rsidRPr="00C65ABD">
              <w:rPr>
                <w:b/>
                <w:bCs/>
                <w:sz w:val="22"/>
                <w:szCs w:val="22"/>
              </w:rPr>
              <w:t>Övrigt</w:t>
            </w:r>
          </w:p>
        </w:tc>
        <w:tc>
          <w:tcPr>
            <w:tcW w:w="8874" w:type="dxa"/>
            <w:gridSpan w:val="20"/>
            <w:shd w:val="clear" w:color="auto" w:fill="auto"/>
            <w:vAlign w:val="center"/>
          </w:tcPr>
          <w:p w14:paraId="1B0CF32C" w14:textId="77777777" w:rsidR="00C65ABD" w:rsidRPr="00C65ABD" w:rsidRDefault="00C65ABD" w:rsidP="00C65ABD">
            <w:pPr>
              <w:rPr>
                <w:sz w:val="22"/>
                <w:szCs w:val="22"/>
              </w:rPr>
            </w:pPr>
          </w:p>
        </w:tc>
      </w:tr>
      <w:tr w:rsidR="00C65ABD" w:rsidRPr="00211FCA" w14:paraId="73D9D97F" w14:textId="77777777" w:rsidTr="00FC224F">
        <w:trPr>
          <w:trHeight w:val="729"/>
        </w:trPr>
        <w:tc>
          <w:tcPr>
            <w:tcW w:w="1900" w:type="dxa"/>
            <w:gridSpan w:val="2"/>
            <w:tcBorders>
              <w:bottom w:val="single" w:sz="4" w:space="0" w:color="auto"/>
            </w:tcBorders>
            <w:shd w:val="clear" w:color="auto" w:fill="auto"/>
            <w:vAlign w:val="center"/>
          </w:tcPr>
          <w:p w14:paraId="09573C01" w14:textId="77777777" w:rsidR="00C65ABD" w:rsidRPr="0060030E" w:rsidRDefault="00C65ABD" w:rsidP="00C65ABD">
            <w:pPr>
              <w:rPr>
                <w:sz w:val="22"/>
                <w:szCs w:val="22"/>
                <w:lang w:eastAsia="en-US"/>
              </w:rPr>
            </w:pPr>
            <w:r w:rsidRPr="0060030E">
              <w:rPr>
                <w:sz w:val="22"/>
                <w:szCs w:val="22"/>
                <w:lang w:eastAsia="en-US"/>
              </w:rPr>
              <w:t>”Kom med synpunkter”/</w:t>
            </w:r>
          </w:p>
          <w:p w14:paraId="3BB9ED06" w14:textId="72A5A623" w:rsidR="00C65ABD" w:rsidRPr="00C65ABD" w:rsidRDefault="00C65ABD" w:rsidP="00C65ABD">
            <w:pPr>
              <w:rPr>
                <w:sz w:val="22"/>
                <w:szCs w:val="22"/>
              </w:rPr>
            </w:pPr>
            <w:r w:rsidRPr="0060030E">
              <w:rPr>
                <w:sz w:val="22"/>
                <w:szCs w:val="22"/>
                <w:lang w:eastAsia="en-US"/>
              </w:rPr>
              <w:t>”Have your say”</w:t>
            </w:r>
          </w:p>
        </w:tc>
        <w:tc>
          <w:tcPr>
            <w:tcW w:w="8874" w:type="dxa"/>
            <w:gridSpan w:val="20"/>
            <w:tcBorders>
              <w:bottom w:val="single" w:sz="4" w:space="0" w:color="auto"/>
            </w:tcBorders>
            <w:shd w:val="clear" w:color="auto" w:fill="auto"/>
            <w:vAlign w:val="center"/>
          </w:tcPr>
          <w:p w14:paraId="36827DFB" w14:textId="77777777" w:rsidR="00C65ABD" w:rsidRPr="00C65ABD" w:rsidRDefault="00C65ABD" w:rsidP="00C65ABD">
            <w:pPr>
              <w:rPr>
                <w:sz w:val="22"/>
                <w:szCs w:val="22"/>
                <w:lang w:val="en-GB"/>
              </w:rPr>
            </w:pPr>
            <w:r w:rsidRPr="00C65ABD">
              <w:rPr>
                <w:sz w:val="22"/>
                <w:szCs w:val="22"/>
                <w:lang w:val="en-GB"/>
              </w:rPr>
              <w:t>Public health import conditions for food – amendment</w:t>
            </w:r>
          </w:p>
          <w:p w14:paraId="4727C92B" w14:textId="77777777" w:rsidR="00C65ABD" w:rsidRPr="00C65ABD" w:rsidRDefault="00C65ABD" w:rsidP="00C65ABD">
            <w:pPr>
              <w:rPr>
                <w:sz w:val="22"/>
                <w:szCs w:val="22"/>
                <w:lang w:val="en-GB"/>
              </w:rPr>
            </w:pPr>
          </w:p>
          <w:p w14:paraId="5C5D5F4B" w14:textId="77777777" w:rsidR="00C65ABD" w:rsidRPr="00C65ABD" w:rsidRDefault="00C65ABD" w:rsidP="00C65ABD">
            <w:pPr>
              <w:rPr>
                <w:sz w:val="22"/>
                <w:szCs w:val="22"/>
                <w:lang w:val="en-GB"/>
              </w:rPr>
            </w:pPr>
            <w:r w:rsidRPr="00C65ABD">
              <w:rPr>
                <w:sz w:val="22"/>
                <w:szCs w:val="22"/>
                <w:lang w:val="en-GB"/>
              </w:rPr>
              <w:t xml:space="preserve">Review of </w:t>
            </w:r>
            <w:proofErr w:type="spellStart"/>
            <w:r w:rsidRPr="00C65ABD">
              <w:rPr>
                <w:sz w:val="22"/>
                <w:szCs w:val="22"/>
                <w:lang w:val="en-GB"/>
              </w:rPr>
              <w:t>ecodesign</w:t>
            </w:r>
            <w:proofErr w:type="spellEnd"/>
            <w:r w:rsidRPr="00C65ABD">
              <w:rPr>
                <w:sz w:val="22"/>
                <w:szCs w:val="22"/>
                <w:lang w:val="en-GB"/>
              </w:rPr>
              <w:t xml:space="preserve"> requirements for standby and off mode electric power consumption</w:t>
            </w:r>
          </w:p>
          <w:p w14:paraId="051DB6F0" w14:textId="77777777" w:rsidR="00C65ABD" w:rsidRPr="00C65ABD" w:rsidRDefault="00C65ABD" w:rsidP="00C65ABD">
            <w:pPr>
              <w:rPr>
                <w:sz w:val="22"/>
                <w:szCs w:val="22"/>
                <w:lang w:val="en-GB"/>
              </w:rPr>
            </w:pPr>
          </w:p>
          <w:p w14:paraId="5FFFBDDF" w14:textId="77777777" w:rsidR="00C65ABD" w:rsidRPr="00C65ABD" w:rsidRDefault="00C65ABD" w:rsidP="00C65ABD">
            <w:pPr>
              <w:rPr>
                <w:sz w:val="22"/>
                <w:szCs w:val="22"/>
                <w:lang w:val="en-GB"/>
              </w:rPr>
            </w:pPr>
            <w:r w:rsidRPr="00C65ABD">
              <w:rPr>
                <w:sz w:val="22"/>
                <w:szCs w:val="22"/>
                <w:lang w:val="en-GB"/>
              </w:rPr>
              <w:t>Farm Accountancy Data Network (FADN) – recording data on farm production</w:t>
            </w:r>
          </w:p>
          <w:p w14:paraId="7124060D" w14:textId="77777777" w:rsidR="00C65ABD" w:rsidRPr="00C65ABD" w:rsidRDefault="00C65ABD" w:rsidP="00C65ABD">
            <w:pPr>
              <w:rPr>
                <w:sz w:val="22"/>
                <w:szCs w:val="22"/>
                <w:lang w:val="en-GB"/>
              </w:rPr>
            </w:pPr>
          </w:p>
          <w:p w14:paraId="0E090C19" w14:textId="77777777" w:rsidR="00C65ABD" w:rsidRPr="00C65ABD" w:rsidRDefault="00C65ABD" w:rsidP="00C65ABD">
            <w:pPr>
              <w:rPr>
                <w:sz w:val="22"/>
                <w:szCs w:val="22"/>
                <w:lang w:val="en-GB"/>
              </w:rPr>
            </w:pPr>
            <w:r w:rsidRPr="00C65ABD">
              <w:rPr>
                <w:sz w:val="22"/>
                <w:szCs w:val="22"/>
                <w:lang w:val="en-GB"/>
              </w:rPr>
              <w:t>Amendment of the list of products and substances authorised in organic production</w:t>
            </w:r>
          </w:p>
          <w:p w14:paraId="0C21D9CD" w14:textId="77777777" w:rsidR="00C65ABD" w:rsidRPr="00C65ABD" w:rsidRDefault="00C65ABD" w:rsidP="00C65ABD">
            <w:pPr>
              <w:rPr>
                <w:sz w:val="22"/>
                <w:szCs w:val="22"/>
                <w:lang w:val="en-GB"/>
              </w:rPr>
            </w:pPr>
          </w:p>
          <w:p w14:paraId="09AD423A" w14:textId="77777777" w:rsidR="00C65ABD" w:rsidRPr="00C65ABD" w:rsidRDefault="00C65ABD" w:rsidP="00C65ABD">
            <w:pPr>
              <w:rPr>
                <w:sz w:val="22"/>
                <w:szCs w:val="22"/>
                <w:lang w:val="en-GB"/>
              </w:rPr>
            </w:pPr>
            <w:r w:rsidRPr="00C65ABD">
              <w:rPr>
                <w:sz w:val="22"/>
                <w:szCs w:val="22"/>
                <w:lang w:val="en-GB"/>
              </w:rPr>
              <w:t>Statistics on agricultural input and output – plant protection products</w:t>
            </w:r>
          </w:p>
          <w:p w14:paraId="56D259C0" w14:textId="77777777" w:rsidR="00C65ABD" w:rsidRPr="00C65ABD" w:rsidRDefault="00C65ABD" w:rsidP="00C65ABD">
            <w:pPr>
              <w:rPr>
                <w:sz w:val="22"/>
                <w:szCs w:val="22"/>
                <w:lang w:val="en-GB"/>
              </w:rPr>
            </w:pPr>
          </w:p>
          <w:p w14:paraId="5EC9FACE" w14:textId="77777777" w:rsidR="00C65ABD" w:rsidRPr="00C65ABD" w:rsidRDefault="00C65ABD" w:rsidP="00C65ABD">
            <w:pPr>
              <w:rPr>
                <w:sz w:val="22"/>
                <w:szCs w:val="22"/>
                <w:lang w:val="en-GB"/>
              </w:rPr>
            </w:pPr>
            <w:r w:rsidRPr="00C65ABD">
              <w:rPr>
                <w:sz w:val="22"/>
                <w:szCs w:val="22"/>
                <w:lang w:val="en-GB"/>
              </w:rPr>
              <w:t>Statistics on agricultural input and output – crop production</w:t>
            </w:r>
          </w:p>
          <w:p w14:paraId="05A7ABCC" w14:textId="77777777" w:rsidR="00C65ABD" w:rsidRPr="00C65ABD" w:rsidRDefault="00C65ABD" w:rsidP="00C65ABD">
            <w:pPr>
              <w:rPr>
                <w:sz w:val="22"/>
                <w:szCs w:val="22"/>
                <w:lang w:val="en-GB"/>
              </w:rPr>
            </w:pPr>
          </w:p>
          <w:p w14:paraId="0C76675C" w14:textId="77777777" w:rsidR="00C65ABD" w:rsidRPr="00C65ABD" w:rsidRDefault="00C65ABD" w:rsidP="00C65ABD">
            <w:pPr>
              <w:rPr>
                <w:sz w:val="22"/>
                <w:szCs w:val="22"/>
                <w:lang w:val="en-GB"/>
              </w:rPr>
            </w:pPr>
            <w:r w:rsidRPr="00C65ABD">
              <w:rPr>
                <w:sz w:val="22"/>
                <w:szCs w:val="22"/>
                <w:lang w:val="en-GB"/>
              </w:rPr>
              <w:t>Statistics on agricultural input and output – agricultural prices</w:t>
            </w:r>
          </w:p>
          <w:p w14:paraId="3567FB61" w14:textId="77777777" w:rsidR="00C65ABD" w:rsidRPr="00C65ABD" w:rsidRDefault="00C65ABD" w:rsidP="00C65ABD">
            <w:pPr>
              <w:rPr>
                <w:sz w:val="22"/>
                <w:szCs w:val="22"/>
                <w:lang w:val="en-GB"/>
              </w:rPr>
            </w:pPr>
          </w:p>
          <w:p w14:paraId="71239299" w14:textId="77777777" w:rsidR="00C65ABD" w:rsidRPr="00C65ABD" w:rsidRDefault="00C65ABD" w:rsidP="00C65ABD">
            <w:pPr>
              <w:rPr>
                <w:sz w:val="22"/>
                <w:szCs w:val="22"/>
                <w:lang w:val="en-GB"/>
              </w:rPr>
            </w:pPr>
            <w:r w:rsidRPr="00C65ABD">
              <w:rPr>
                <w:sz w:val="22"/>
                <w:szCs w:val="22"/>
                <w:lang w:val="en-GB"/>
              </w:rPr>
              <w:t>Eggs – review of marketing standards (on-farm marking)</w:t>
            </w:r>
          </w:p>
          <w:p w14:paraId="7CBBFA07" w14:textId="77777777" w:rsidR="00C65ABD" w:rsidRPr="00C65ABD" w:rsidRDefault="00C65ABD" w:rsidP="00C65ABD">
            <w:pPr>
              <w:rPr>
                <w:sz w:val="22"/>
                <w:szCs w:val="22"/>
                <w:lang w:val="en-GB"/>
              </w:rPr>
            </w:pPr>
          </w:p>
          <w:p w14:paraId="5273E7E3" w14:textId="77777777" w:rsidR="00C65ABD" w:rsidRPr="00C65ABD" w:rsidRDefault="00C65ABD" w:rsidP="00C65ABD">
            <w:pPr>
              <w:rPr>
                <w:sz w:val="22"/>
                <w:szCs w:val="22"/>
                <w:lang w:val="en-GB"/>
              </w:rPr>
            </w:pPr>
            <w:r w:rsidRPr="00C65ABD">
              <w:rPr>
                <w:sz w:val="22"/>
                <w:szCs w:val="22"/>
                <w:lang w:val="en-GB"/>
              </w:rPr>
              <w:t>Fresh fruit and vegetables, bananas, nuts and dried fruit – review of marketing standards</w:t>
            </w:r>
          </w:p>
          <w:p w14:paraId="4393C75B" w14:textId="77777777" w:rsidR="00C65ABD" w:rsidRPr="00C65ABD" w:rsidRDefault="00C65ABD" w:rsidP="00C65ABD">
            <w:pPr>
              <w:rPr>
                <w:sz w:val="22"/>
                <w:szCs w:val="22"/>
                <w:lang w:val="en-GB"/>
              </w:rPr>
            </w:pPr>
          </w:p>
          <w:p w14:paraId="1753CA60" w14:textId="77777777" w:rsidR="00C65ABD" w:rsidRPr="00C65ABD" w:rsidRDefault="00C65ABD" w:rsidP="00C65ABD">
            <w:pPr>
              <w:rPr>
                <w:sz w:val="22"/>
                <w:szCs w:val="22"/>
                <w:lang w:val="en-GB"/>
              </w:rPr>
            </w:pPr>
            <w:r w:rsidRPr="00C65ABD">
              <w:rPr>
                <w:sz w:val="22"/>
                <w:szCs w:val="22"/>
                <w:lang w:val="en-GB"/>
              </w:rPr>
              <w:t>Eggs – review of marketing standards</w:t>
            </w:r>
          </w:p>
          <w:p w14:paraId="04876FF6" w14:textId="77777777" w:rsidR="00C65ABD" w:rsidRPr="00C65ABD" w:rsidRDefault="00C65ABD" w:rsidP="00C65ABD">
            <w:pPr>
              <w:rPr>
                <w:sz w:val="22"/>
                <w:szCs w:val="22"/>
                <w:lang w:val="en-GB"/>
              </w:rPr>
            </w:pPr>
          </w:p>
          <w:p w14:paraId="5ADEF4DA" w14:textId="77777777" w:rsidR="00C65ABD" w:rsidRPr="00C65ABD" w:rsidRDefault="00C65ABD" w:rsidP="00C65ABD">
            <w:pPr>
              <w:rPr>
                <w:sz w:val="22"/>
                <w:szCs w:val="22"/>
                <w:lang w:val="en-GB"/>
              </w:rPr>
            </w:pPr>
            <w:r w:rsidRPr="00C65ABD">
              <w:rPr>
                <w:sz w:val="22"/>
                <w:szCs w:val="22"/>
                <w:lang w:val="en-GB"/>
              </w:rPr>
              <w:t xml:space="preserve">Poultry – review of marketing </w:t>
            </w:r>
            <w:proofErr w:type="gramStart"/>
            <w:r w:rsidRPr="00C65ABD">
              <w:rPr>
                <w:sz w:val="22"/>
                <w:szCs w:val="22"/>
                <w:lang w:val="en-GB"/>
              </w:rPr>
              <w:t>standards  (</w:t>
            </w:r>
            <w:proofErr w:type="gramEnd"/>
            <w:r w:rsidRPr="00C65ABD">
              <w:rPr>
                <w:sz w:val="22"/>
                <w:szCs w:val="22"/>
                <w:lang w:val="en-GB"/>
              </w:rPr>
              <w:t>Delegated regulation)</w:t>
            </w:r>
          </w:p>
          <w:p w14:paraId="366429C9" w14:textId="77777777" w:rsidR="00C65ABD" w:rsidRPr="00C65ABD" w:rsidRDefault="00C65ABD" w:rsidP="00C65ABD">
            <w:pPr>
              <w:rPr>
                <w:sz w:val="22"/>
                <w:szCs w:val="22"/>
                <w:lang w:val="en-GB"/>
              </w:rPr>
            </w:pPr>
          </w:p>
          <w:p w14:paraId="3BA3CEA6" w14:textId="77777777" w:rsidR="00C65ABD" w:rsidRPr="00C65ABD" w:rsidRDefault="00C65ABD" w:rsidP="00C65ABD">
            <w:pPr>
              <w:rPr>
                <w:sz w:val="22"/>
                <w:szCs w:val="22"/>
                <w:lang w:val="en-GB"/>
              </w:rPr>
            </w:pPr>
            <w:r w:rsidRPr="00C65ABD">
              <w:rPr>
                <w:sz w:val="22"/>
                <w:szCs w:val="22"/>
                <w:lang w:val="en-GB"/>
              </w:rPr>
              <w:t>Poultry – review of marketing standards (Implementing regulation)</w:t>
            </w:r>
          </w:p>
          <w:p w14:paraId="163B8CDA" w14:textId="77777777" w:rsidR="00C65ABD" w:rsidRPr="00C65ABD" w:rsidRDefault="00C65ABD" w:rsidP="00C65ABD">
            <w:pPr>
              <w:rPr>
                <w:sz w:val="22"/>
                <w:szCs w:val="22"/>
                <w:lang w:val="en-GB"/>
              </w:rPr>
            </w:pPr>
          </w:p>
          <w:p w14:paraId="059732CF" w14:textId="77777777" w:rsidR="00C65ABD" w:rsidRPr="00C65ABD" w:rsidRDefault="00C65ABD" w:rsidP="00C65ABD">
            <w:pPr>
              <w:rPr>
                <w:sz w:val="22"/>
                <w:szCs w:val="22"/>
                <w:lang w:val="en-GB"/>
              </w:rPr>
            </w:pPr>
            <w:r w:rsidRPr="00C65ABD">
              <w:rPr>
                <w:sz w:val="22"/>
                <w:szCs w:val="22"/>
                <w:lang w:val="en-GB"/>
              </w:rPr>
              <w:t>Fresh fruit and vegetables, bananas, nuts and dried fruit – review of marketing standards</w:t>
            </w:r>
          </w:p>
          <w:p w14:paraId="1484D7BD" w14:textId="77777777" w:rsidR="00C65ABD" w:rsidRPr="00C65ABD" w:rsidRDefault="00C65ABD" w:rsidP="00C65ABD">
            <w:pPr>
              <w:rPr>
                <w:sz w:val="22"/>
                <w:szCs w:val="22"/>
                <w:lang w:val="en-GB"/>
              </w:rPr>
            </w:pPr>
          </w:p>
          <w:p w14:paraId="47552B67" w14:textId="77777777" w:rsidR="00C65ABD" w:rsidRPr="00C65ABD" w:rsidRDefault="00C65ABD" w:rsidP="00C65ABD">
            <w:pPr>
              <w:rPr>
                <w:sz w:val="22"/>
                <w:szCs w:val="22"/>
                <w:lang w:val="en-GB"/>
              </w:rPr>
            </w:pPr>
            <w:r w:rsidRPr="00C65ABD">
              <w:rPr>
                <w:sz w:val="22"/>
                <w:szCs w:val="22"/>
                <w:lang w:val="en-GB"/>
              </w:rPr>
              <w:t>Agricultural products – revision of EU marketing standards</w:t>
            </w:r>
          </w:p>
          <w:p w14:paraId="296EDBAC" w14:textId="77777777" w:rsidR="00C65ABD" w:rsidRPr="00C65ABD" w:rsidRDefault="00C65ABD" w:rsidP="00C65ABD">
            <w:pPr>
              <w:rPr>
                <w:sz w:val="22"/>
                <w:szCs w:val="22"/>
                <w:lang w:val="en-GB"/>
              </w:rPr>
            </w:pPr>
          </w:p>
          <w:p w14:paraId="1CEE1361" w14:textId="77777777" w:rsidR="00C65ABD" w:rsidRPr="00C65ABD" w:rsidRDefault="00C65ABD" w:rsidP="00C65ABD">
            <w:pPr>
              <w:rPr>
                <w:sz w:val="22"/>
                <w:szCs w:val="22"/>
                <w:lang w:val="en-GB"/>
              </w:rPr>
            </w:pPr>
            <w:r w:rsidRPr="00C65ABD">
              <w:rPr>
                <w:sz w:val="22"/>
                <w:szCs w:val="22"/>
                <w:lang w:val="en-GB"/>
              </w:rPr>
              <w:t xml:space="preserve">Environmental management &amp; performance – recognising parts of </w:t>
            </w:r>
            <w:proofErr w:type="spellStart"/>
            <w:r w:rsidRPr="00C65ABD">
              <w:rPr>
                <w:sz w:val="22"/>
                <w:szCs w:val="22"/>
                <w:lang w:val="en-GB"/>
              </w:rPr>
              <w:t>Ecoprofit</w:t>
            </w:r>
            <w:proofErr w:type="spellEnd"/>
            <w:r w:rsidRPr="00C65ABD">
              <w:rPr>
                <w:sz w:val="22"/>
                <w:szCs w:val="22"/>
                <w:lang w:val="en-GB"/>
              </w:rPr>
              <w:t>, the Austrian environmental management scheme</w:t>
            </w:r>
          </w:p>
          <w:p w14:paraId="746A250F" w14:textId="77777777" w:rsidR="00C65ABD" w:rsidRPr="00C65ABD" w:rsidRDefault="00C65ABD" w:rsidP="00C65ABD">
            <w:pPr>
              <w:rPr>
                <w:sz w:val="22"/>
                <w:szCs w:val="22"/>
                <w:lang w:val="en-GB"/>
              </w:rPr>
            </w:pPr>
          </w:p>
          <w:p w14:paraId="271CB2D4" w14:textId="77777777" w:rsidR="00C65ABD" w:rsidRPr="00C65ABD" w:rsidRDefault="00C65ABD" w:rsidP="00C65ABD">
            <w:pPr>
              <w:rPr>
                <w:sz w:val="22"/>
                <w:szCs w:val="22"/>
                <w:lang w:val="en-GB"/>
              </w:rPr>
            </w:pPr>
            <w:proofErr w:type="gramStart"/>
            <w:r w:rsidRPr="00C65ABD">
              <w:rPr>
                <w:sz w:val="22"/>
                <w:szCs w:val="22"/>
                <w:lang w:val="en-GB"/>
              </w:rPr>
              <w:t>Chemicals</w:t>
            </w:r>
            <w:proofErr w:type="gramEnd"/>
            <w:r w:rsidRPr="00C65ABD">
              <w:rPr>
                <w:sz w:val="22"/>
                <w:szCs w:val="22"/>
                <w:lang w:val="en-GB"/>
              </w:rPr>
              <w:t xml:space="preserve"> classification and labelling – updated list of notes</w:t>
            </w:r>
          </w:p>
          <w:p w14:paraId="13052498" w14:textId="77777777" w:rsidR="00C65ABD" w:rsidRPr="00C65ABD" w:rsidRDefault="00C65ABD" w:rsidP="00C65ABD">
            <w:pPr>
              <w:rPr>
                <w:sz w:val="22"/>
                <w:szCs w:val="22"/>
                <w:lang w:val="en-GB"/>
              </w:rPr>
            </w:pPr>
          </w:p>
          <w:p w14:paraId="475989D3" w14:textId="77777777" w:rsidR="00C65ABD" w:rsidRPr="00C65ABD" w:rsidRDefault="00C65ABD" w:rsidP="00C65ABD">
            <w:pPr>
              <w:rPr>
                <w:sz w:val="22"/>
                <w:szCs w:val="22"/>
                <w:lang w:val="en-GB"/>
              </w:rPr>
            </w:pPr>
            <w:r w:rsidRPr="00C65ABD">
              <w:rPr>
                <w:sz w:val="22"/>
                <w:szCs w:val="22"/>
                <w:lang w:val="en-GB"/>
              </w:rPr>
              <w:t>Fraud – format for reporting of irregularities concerning the common agricultural policy</w:t>
            </w:r>
          </w:p>
          <w:p w14:paraId="51093CBE" w14:textId="77777777" w:rsidR="00C65ABD" w:rsidRPr="00C65ABD" w:rsidRDefault="00C65ABD" w:rsidP="00C65ABD">
            <w:pPr>
              <w:rPr>
                <w:sz w:val="22"/>
                <w:szCs w:val="22"/>
                <w:lang w:val="en-GB"/>
              </w:rPr>
            </w:pPr>
          </w:p>
          <w:p w14:paraId="6A6C1DBC" w14:textId="77777777" w:rsidR="00C65ABD" w:rsidRPr="00C65ABD" w:rsidRDefault="00C65ABD" w:rsidP="00C65ABD">
            <w:pPr>
              <w:rPr>
                <w:sz w:val="22"/>
                <w:szCs w:val="22"/>
                <w:lang w:val="en-GB"/>
              </w:rPr>
            </w:pPr>
            <w:r w:rsidRPr="00C65ABD">
              <w:rPr>
                <w:sz w:val="22"/>
                <w:szCs w:val="22"/>
                <w:lang w:val="en-GB"/>
              </w:rPr>
              <w:t>Fraud – reporting of irregularities concerning the common agricultural policy (CAP)</w:t>
            </w:r>
          </w:p>
          <w:p w14:paraId="50BDB7E5" w14:textId="77777777" w:rsidR="00C65ABD" w:rsidRPr="00C65ABD" w:rsidRDefault="00C65ABD" w:rsidP="00C65ABD">
            <w:pPr>
              <w:rPr>
                <w:sz w:val="22"/>
                <w:szCs w:val="22"/>
                <w:lang w:val="en-GB"/>
              </w:rPr>
            </w:pPr>
          </w:p>
          <w:p w14:paraId="1944BD09" w14:textId="77777777" w:rsidR="00C65ABD" w:rsidRPr="00C65ABD" w:rsidRDefault="00C65ABD" w:rsidP="00C65ABD">
            <w:pPr>
              <w:rPr>
                <w:sz w:val="22"/>
                <w:szCs w:val="22"/>
                <w:lang w:val="en-GB"/>
              </w:rPr>
            </w:pPr>
            <w:r w:rsidRPr="00C65ABD">
              <w:rPr>
                <w:sz w:val="22"/>
                <w:szCs w:val="22"/>
                <w:lang w:val="en-GB"/>
              </w:rPr>
              <w:t>Extension of manufacturer reporting on new HDV to cover certain lorries, buses, coaches and trailers</w:t>
            </w:r>
          </w:p>
          <w:p w14:paraId="7D14CADF" w14:textId="77777777" w:rsidR="00C65ABD" w:rsidRPr="00C65ABD" w:rsidRDefault="00C65ABD" w:rsidP="00C65ABD">
            <w:pPr>
              <w:rPr>
                <w:sz w:val="22"/>
                <w:szCs w:val="22"/>
                <w:lang w:val="en-GB"/>
              </w:rPr>
            </w:pPr>
          </w:p>
          <w:p w14:paraId="21B7CD97" w14:textId="77777777" w:rsidR="00C65ABD" w:rsidRPr="00C65ABD" w:rsidRDefault="00C65ABD" w:rsidP="00C65ABD">
            <w:pPr>
              <w:rPr>
                <w:sz w:val="22"/>
                <w:szCs w:val="22"/>
                <w:lang w:val="en-GB"/>
              </w:rPr>
            </w:pPr>
            <w:r w:rsidRPr="00C65ABD">
              <w:rPr>
                <w:sz w:val="22"/>
                <w:szCs w:val="22"/>
                <w:lang w:val="en-GB"/>
              </w:rPr>
              <w:t>Food hygiene – products of animal origin (updated rules)</w:t>
            </w:r>
          </w:p>
          <w:p w14:paraId="2356E802" w14:textId="77777777" w:rsidR="00C65ABD" w:rsidRPr="00C65ABD" w:rsidRDefault="00C65ABD" w:rsidP="00C65ABD">
            <w:pPr>
              <w:rPr>
                <w:sz w:val="22"/>
                <w:szCs w:val="22"/>
                <w:lang w:val="en-GB"/>
              </w:rPr>
            </w:pPr>
          </w:p>
          <w:p w14:paraId="580F5982" w14:textId="77777777" w:rsidR="00C65ABD" w:rsidRPr="00C65ABD" w:rsidRDefault="00C65ABD" w:rsidP="00C65ABD">
            <w:pPr>
              <w:rPr>
                <w:sz w:val="22"/>
                <w:szCs w:val="22"/>
                <w:lang w:val="en-GB"/>
              </w:rPr>
            </w:pPr>
            <w:r w:rsidRPr="00C65ABD">
              <w:rPr>
                <w:sz w:val="22"/>
                <w:szCs w:val="22"/>
                <w:lang w:val="en-GB"/>
              </w:rPr>
              <w:t>Ship recycling – European list of ship recycling facilities (11th edition)</w:t>
            </w:r>
          </w:p>
          <w:p w14:paraId="5FE9C6B0" w14:textId="77777777" w:rsidR="00C65ABD" w:rsidRPr="00C65ABD" w:rsidRDefault="00C65ABD" w:rsidP="00C65ABD">
            <w:pPr>
              <w:rPr>
                <w:sz w:val="22"/>
                <w:szCs w:val="22"/>
                <w:lang w:val="en-GB"/>
              </w:rPr>
            </w:pPr>
          </w:p>
          <w:p w14:paraId="26782E72" w14:textId="77777777" w:rsidR="00C65ABD" w:rsidRPr="00C65ABD" w:rsidRDefault="00C65ABD" w:rsidP="00C65ABD">
            <w:pPr>
              <w:rPr>
                <w:sz w:val="22"/>
                <w:szCs w:val="22"/>
                <w:lang w:val="en-GB"/>
              </w:rPr>
            </w:pPr>
            <w:r w:rsidRPr="00C65ABD">
              <w:rPr>
                <w:sz w:val="22"/>
                <w:szCs w:val="22"/>
                <w:lang w:val="en-GB"/>
              </w:rPr>
              <w:t>Mercury-added products – EU ban on export, import and manufacture</w:t>
            </w:r>
          </w:p>
          <w:p w14:paraId="6B9AA374" w14:textId="77777777" w:rsidR="00C65ABD" w:rsidRPr="00C65ABD" w:rsidRDefault="00C65ABD" w:rsidP="00C65ABD">
            <w:pPr>
              <w:rPr>
                <w:sz w:val="22"/>
                <w:szCs w:val="22"/>
                <w:lang w:val="en-GB"/>
              </w:rPr>
            </w:pPr>
          </w:p>
          <w:p w14:paraId="267D8364" w14:textId="77777777" w:rsidR="00C65ABD" w:rsidRPr="00C65ABD" w:rsidRDefault="00C65ABD" w:rsidP="00C65ABD">
            <w:pPr>
              <w:rPr>
                <w:sz w:val="22"/>
                <w:szCs w:val="22"/>
                <w:lang w:val="en-GB"/>
              </w:rPr>
            </w:pPr>
            <w:r w:rsidRPr="00C65ABD">
              <w:rPr>
                <w:sz w:val="22"/>
                <w:szCs w:val="22"/>
                <w:lang w:val="en-GB"/>
              </w:rPr>
              <w:t xml:space="preserve">Measures related to specific plant pests - Xylella </w:t>
            </w:r>
            <w:proofErr w:type="spellStart"/>
            <w:r w:rsidRPr="00C65ABD">
              <w:rPr>
                <w:sz w:val="22"/>
                <w:szCs w:val="22"/>
                <w:lang w:val="en-GB"/>
              </w:rPr>
              <w:t>fastidiosa</w:t>
            </w:r>
            <w:proofErr w:type="spellEnd"/>
          </w:p>
          <w:p w14:paraId="38265CAF" w14:textId="77777777" w:rsidR="00C65ABD" w:rsidRPr="00C65ABD" w:rsidRDefault="00C65ABD" w:rsidP="00C65ABD">
            <w:pPr>
              <w:rPr>
                <w:sz w:val="22"/>
                <w:szCs w:val="22"/>
                <w:lang w:val="en-GB"/>
              </w:rPr>
            </w:pPr>
          </w:p>
          <w:p w14:paraId="32BE78BF" w14:textId="77777777" w:rsidR="00C65ABD" w:rsidRPr="00C65ABD" w:rsidRDefault="00C65ABD" w:rsidP="00C65ABD">
            <w:pPr>
              <w:rPr>
                <w:sz w:val="22"/>
                <w:szCs w:val="22"/>
                <w:lang w:val="en-GB"/>
              </w:rPr>
            </w:pPr>
            <w:r w:rsidRPr="00C65ABD">
              <w:rPr>
                <w:sz w:val="22"/>
                <w:szCs w:val="22"/>
                <w:lang w:val="en-GB"/>
              </w:rPr>
              <w:t>Single-use plastic beverage bottles – EU rules for calculating, verifying and reporting on recycled plastic content</w:t>
            </w:r>
          </w:p>
          <w:p w14:paraId="502B02B0" w14:textId="77777777" w:rsidR="00C65ABD" w:rsidRPr="00C65ABD" w:rsidRDefault="00C65ABD" w:rsidP="00C65ABD">
            <w:pPr>
              <w:rPr>
                <w:sz w:val="22"/>
                <w:szCs w:val="22"/>
                <w:lang w:val="en-GB"/>
              </w:rPr>
            </w:pPr>
          </w:p>
          <w:p w14:paraId="1D1308D5" w14:textId="77777777" w:rsidR="00C65ABD" w:rsidRPr="00C65ABD" w:rsidRDefault="00C65ABD" w:rsidP="00C65ABD">
            <w:pPr>
              <w:rPr>
                <w:sz w:val="22"/>
                <w:szCs w:val="22"/>
                <w:lang w:val="en-GB"/>
              </w:rPr>
            </w:pPr>
            <w:r w:rsidRPr="00C65ABD">
              <w:rPr>
                <w:sz w:val="22"/>
                <w:szCs w:val="22"/>
                <w:lang w:val="en-GB"/>
              </w:rPr>
              <w:t>Organic salts- detailed production methods (new rules)</w:t>
            </w:r>
          </w:p>
          <w:p w14:paraId="7E46A69F" w14:textId="77777777" w:rsidR="00C65ABD" w:rsidRPr="00C65ABD" w:rsidRDefault="00C65ABD" w:rsidP="00C65ABD">
            <w:pPr>
              <w:rPr>
                <w:sz w:val="22"/>
                <w:szCs w:val="22"/>
                <w:lang w:val="en-GB"/>
              </w:rPr>
            </w:pPr>
            <w:proofErr w:type="gramStart"/>
            <w:r w:rsidRPr="00C65ABD">
              <w:rPr>
                <w:sz w:val="22"/>
                <w:szCs w:val="22"/>
                <w:lang w:val="en-GB"/>
              </w:rPr>
              <w:t>Chemicals</w:t>
            </w:r>
            <w:proofErr w:type="gramEnd"/>
            <w:r w:rsidRPr="00C65ABD">
              <w:rPr>
                <w:sz w:val="22"/>
                <w:szCs w:val="22"/>
                <w:lang w:val="en-GB"/>
              </w:rPr>
              <w:t xml:space="preserve"> classification and labelling – assignment of notes to certain substances</w:t>
            </w:r>
          </w:p>
          <w:p w14:paraId="77731A65" w14:textId="77777777" w:rsidR="00C65ABD" w:rsidRPr="00C65ABD" w:rsidRDefault="00C65ABD" w:rsidP="00C65ABD">
            <w:pPr>
              <w:rPr>
                <w:sz w:val="22"/>
                <w:szCs w:val="22"/>
                <w:lang w:val="en-GB"/>
              </w:rPr>
            </w:pPr>
          </w:p>
          <w:p w14:paraId="15C87F9E" w14:textId="77777777" w:rsidR="00C65ABD" w:rsidRPr="00C65ABD" w:rsidRDefault="00C65ABD" w:rsidP="00C65ABD">
            <w:pPr>
              <w:rPr>
                <w:sz w:val="22"/>
                <w:szCs w:val="22"/>
                <w:lang w:val="en-GB"/>
              </w:rPr>
            </w:pPr>
            <w:r w:rsidRPr="00C65ABD">
              <w:rPr>
                <w:sz w:val="22"/>
                <w:szCs w:val="22"/>
                <w:lang w:val="en-GB"/>
              </w:rPr>
              <w:t>Environmental Liability Directive (evaluation)</w:t>
            </w:r>
          </w:p>
          <w:p w14:paraId="47D48BAB" w14:textId="77777777" w:rsidR="00C65ABD" w:rsidRPr="00C65ABD" w:rsidRDefault="00C65ABD" w:rsidP="00C65ABD">
            <w:pPr>
              <w:rPr>
                <w:sz w:val="22"/>
                <w:szCs w:val="22"/>
                <w:lang w:val="en-GB"/>
              </w:rPr>
            </w:pPr>
          </w:p>
          <w:p w14:paraId="66C6CE01" w14:textId="3FFEEC99" w:rsidR="00C65ABD" w:rsidRPr="00C65ABD" w:rsidRDefault="00C65ABD" w:rsidP="00C65ABD">
            <w:pPr>
              <w:rPr>
                <w:sz w:val="22"/>
                <w:szCs w:val="22"/>
                <w:lang w:val="en-GB"/>
              </w:rPr>
            </w:pPr>
            <w:r w:rsidRPr="00C65ABD">
              <w:rPr>
                <w:sz w:val="22"/>
                <w:szCs w:val="22"/>
                <w:lang w:val="en-GB"/>
              </w:rPr>
              <w:t>Electrical equipment – mercury in melt pressure transducers for specific capillary rheometers (RoHS exemption)</w:t>
            </w:r>
          </w:p>
        </w:tc>
      </w:tr>
    </w:tbl>
    <w:p w14:paraId="3D64E550" w14:textId="77777777" w:rsidR="00FC224F" w:rsidRPr="00C65ABD" w:rsidRDefault="00FC224F" w:rsidP="00FC224F">
      <w:pPr>
        <w:widowControl/>
        <w:rPr>
          <w:sz w:val="22"/>
          <w:szCs w:val="22"/>
          <w:lang w:val="en-GB"/>
        </w:rPr>
      </w:pPr>
    </w:p>
    <w:bookmarkEnd w:id="1"/>
    <w:p w14:paraId="4EF8CE4D" w14:textId="2CEC8C0C" w:rsidR="00FC224F" w:rsidRPr="00C65ABD" w:rsidRDefault="00FC224F">
      <w:pPr>
        <w:widowControl/>
        <w:rPr>
          <w:sz w:val="22"/>
          <w:szCs w:val="22"/>
          <w:lang w:val="en-GB"/>
        </w:rPr>
      </w:pPr>
      <w:r w:rsidRPr="00C65ABD">
        <w:rPr>
          <w:sz w:val="22"/>
          <w:szCs w:val="22"/>
          <w:lang w:val="en-GB"/>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FC224F" w:rsidRPr="00FD58DB" w14:paraId="2BD5812D" w14:textId="77777777" w:rsidTr="0042205B">
        <w:tc>
          <w:tcPr>
            <w:tcW w:w="5457" w:type="dxa"/>
          </w:tcPr>
          <w:p w14:paraId="136E6B47" w14:textId="77777777" w:rsidR="00FC224F" w:rsidRPr="00FD58DB" w:rsidRDefault="00FC224F" w:rsidP="0042205B">
            <w:pPr>
              <w:tabs>
                <w:tab w:val="left" w:pos="1276"/>
              </w:tabs>
              <w:rPr>
                <w:sz w:val="22"/>
                <w:szCs w:val="22"/>
              </w:rPr>
            </w:pPr>
            <w:r w:rsidRPr="00C65ABD">
              <w:rPr>
                <w:sz w:val="22"/>
                <w:szCs w:val="22"/>
                <w:lang w:val="en-GB"/>
              </w:rPr>
              <w:br w:type="page"/>
            </w:r>
            <w:r w:rsidRPr="00FD58DB">
              <w:rPr>
                <w:sz w:val="22"/>
                <w:szCs w:val="22"/>
              </w:rPr>
              <w:t>MILJÖ- OCH JORDBRUKSUTSKOTTET</w:t>
            </w:r>
          </w:p>
        </w:tc>
        <w:tc>
          <w:tcPr>
            <w:tcW w:w="1843" w:type="dxa"/>
          </w:tcPr>
          <w:p w14:paraId="0E16427C" w14:textId="77777777" w:rsidR="00FC224F" w:rsidRPr="00FD58DB" w:rsidRDefault="00FC224F" w:rsidP="0042205B">
            <w:pPr>
              <w:tabs>
                <w:tab w:val="left" w:pos="1276"/>
              </w:tabs>
              <w:rPr>
                <w:sz w:val="22"/>
                <w:szCs w:val="22"/>
              </w:rPr>
            </w:pPr>
          </w:p>
        </w:tc>
        <w:tc>
          <w:tcPr>
            <w:tcW w:w="1701" w:type="dxa"/>
          </w:tcPr>
          <w:p w14:paraId="070151A9" w14:textId="77777777" w:rsidR="00FC224F" w:rsidRPr="00FD58DB" w:rsidRDefault="00FC224F" w:rsidP="0042205B">
            <w:pPr>
              <w:tabs>
                <w:tab w:val="left" w:pos="1276"/>
              </w:tabs>
              <w:ind w:right="-212"/>
              <w:rPr>
                <w:b/>
                <w:sz w:val="22"/>
                <w:szCs w:val="22"/>
              </w:rPr>
            </w:pPr>
            <w:r w:rsidRPr="00FD58DB">
              <w:rPr>
                <w:b/>
                <w:sz w:val="22"/>
                <w:szCs w:val="22"/>
              </w:rPr>
              <w:t xml:space="preserve">Bilaga </w:t>
            </w:r>
            <w:r>
              <w:rPr>
                <w:b/>
                <w:sz w:val="22"/>
                <w:szCs w:val="22"/>
              </w:rPr>
              <w:t>3</w:t>
            </w:r>
          </w:p>
          <w:p w14:paraId="58A6863A" w14:textId="77777777" w:rsidR="00FC224F" w:rsidRPr="00FD58DB" w:rsidRDefault="00FC224F" w:rsidP="0042205B">
            <w:pPr>
              <w:tabs>
                <w:tab w:val="left" w:pos="1276"/>
              </w:tabs>
              <w:ind w:right="-212"/>
              <w:rPr>
                <w:sz w:val="22"/>
                <w:szCs w:val="22"/>
              </w:rPr>
            </w:pPr>
            <w:r w:rsidRPr="00FD58DB">
              <w:rPr>
                <w:sz w:val="22"/>
                <w:szCs w:val="22"/>
              </w:rPr>
              <w:t>till protokoll</w:t>
            </w:r>
          </w:p>
          <w:p w14:paraId="07784401" w14:textId="31DDE5B2" w:rsidR="00FC224F" w:rsidRPr="00FD58DB" w:rsidRDefault="00FC224F" w:rsidP="0042205B">
            <w:pPr>
              <w:tabs>
                <w:tab w:val="left" w:pos="1276"/>
              </w:tabs>
              <w:ind w:right="-212"/>
              <w:rPr>
                <w:b/>
                <w:sz w:val="22"/>
                <w:szCs w:val="22"/>
              </w:rPr>
            </w:pPr>
            <w:r w:rsidRPr="00FD58DB">
              <w:rPr>
                <w:sz w:val="22"/>
                <w:szCs w:val="22"/>
              </w:rPr>
              <w:t>202</w:t>
            </w:r>
            <w:r>
              <w:rPr>
                <w:sz w:val="22"/>
                <w:szCs w:val="22"/>
              </w:rPr>
              <w:t>2</w:t>
            </w:r>
            <w:r w:rsidRPr="00FD58DB">
              <w:rPr>
                <w:sz w:val="22"/>
                <w:szCs w:val="22"/>
              </w:rPr>
              <w:t>/2</w:t>
            </w:r>
            <w:r>
              <w:rPr>
                <w:sz w:val="22"/>
                <w:szCs w:val="22"/>
              </w:rPr>
              <w:t>3</w:t>
            </w:r>
            <w:r w:rsidRPr="00FD58DB">
              <w:rPr>
                <w:sz w:val="22"/>
                <w:szCs w:val="22"/>
              </w:rPr>
              <w:t>:</w:t>
            </w:r>
            <w:r>
              <w:rPr>
                <w:sz w:val="22"/>
                <w:szCs w:val="22"/>
              </w:rPr>
              <w:t>41</w:t>
            </w:r>
          </w:p>
        </w:tc>
      </w:tr>
    </w:tbl>
    <w:p w14:paraId="6ADAA290" w14:textId="596D8DD2" w:rsidR="00FC224F" w:rsidRPr="00C65ABD" w:rsidRDefault="00FC224F" w:rsidP="00FC224F">
      <w:pPr>
        <w:rPr>
          <w:b/>
          <w:bCs/>
          <w:sz w:val="22"/>
          <w:szCs w:val="22"/>
        </w:rPr>
      </w:pPr>
      <w:r w:rsidRPr="00C65ABD">
        <w:rPr>
          <w:b/>
          <w:bCs/>
          <w:sz w:val="22"/>
          <w:szCs w:val="22"/>
        </w:rPr>
        <w:t>Utskottsinitiativ (S)</w:t>
      </w:r>
      <w:r w:rsidRPr="00C65ABD">
        <w:rPr>
          <w:b/>
          <w:bCs/>
          <w:sz w:val="22"/>
          <w:szCs w:val="22"/>
        </w:rPr>
        <w:br/>
        <w:t xml:space="preserve">Sverigedemokraterna och regeringen måste redovisa konsekvenserna av sänkt reduktionsplikt  </w:t>
      </w:r>
    </w:p>
    <w:p w14:paraId="609B6EE3" w14:textId="77777777" w:rsidR="00FC224F" w:rsidRPr="00C65ABD" w:rsidRDefault="00FC224F" w:rsidP="00FC224F">
      <w:pPr>
        <w:rPr>
          <w:sz w:val="22"/>
          <w:szCs w:val="22"/>
        </w:rPr>
      </w:pPr>
    </w:p>
    <w:p w14:paraId="45F9EEFA" w14:textId="77777777" w:rsidR="00FC224F" w:rsidRPr="00C65ABD" w:rsidRDefault="00FC224F" w:rsidP="00FC224F">
      <w:pPr>
        <w:rPr>
          <w:sz w:val="22"/>
          <w:szCs w:val="22"/>
        </w:rPr>
      </w:pPr>
      <w:r w:rsidRPr="00C65ABD">
        <w:rPr>
          <w:sz w:val="22"/>
          <w:szCs w:val="22"/>
        </w:rPr>
        <w:t xml:space="preserve">Sverige befinner sig i ett mycket osäkert ekonomiskt läge. Vanligt folk är hårt pressade av höga matpriser, dyra elräkningar och ett högt bränslepris samtidigt som regeringen och Sverigedemokraterna sviker en lång rad vallöften. </w:t>
      </w:r>
    </w:p>
    <w:p w14:paraId="2051D7F8" w14:textId="77777777" w:rsidR="00FC224F" w:rsidRPr="00C65ABD" w:rsidRDefault="00FC224F" w:rsidP="00FC224F">
      <w:pPr>
        <w:rPr>
          <w:sz w:val="22"/>
          <w:szCs w:val="22"/>
        </w:rPr>
      </w:pPr>
    </w:p>
    <w:p w14:paraId="7ED71530" w14:textId="77777777" w:rsidR="00FC224F" w:rsidRPr="00C65ABD" w:rsidRDefault="00FC224F" w:rsidP="00FC224F">
      <w:pPr>
        <w:rPr>
          <w:sz w:val="22"/>
          <w:szCs w:val="22"/>
        </w:rPr>
      </w:pPr>
      <w:r w:rsidRPr="00C65ABD">
        <w:rPr>
          <w:sz w:val="22"/>
          <w:szCs w:val="22"/>
        </w:rPr>
        <w:t xml:space="preserve">Regeringen och Sverigedemokraternas beslut om att sänka reduktionsplikten till 6 procent riskerar att medföra allvarliga konsekvenser för svenska jobb och företag, för den gröna omställningen, för vanligt folk och för klimatet. Detta eftersom en kraftig sänkning av reduktionsplikten medför kompensatoriska åtgärder som drabbar svenska företag och hushåll. Det kan exempelvis handla om hastighetsbegränsningar, trängselskatter eller att svenska skattemedel behöver omprioriteras till att köpa utsläppsrätter utomlands. </w:t>
      </w:r>
    </w:p>
    <w:p w14:paraId="1C54D950" w14:textId="77777777" w:rsidR="00FC224F" w:rsidRPr="00C65ABD" w:rsidRDefault="00FC224F" w:rsidP="00FC224F">
      <w:pPr>
        <w:rPr>
          <w:sz w:val="22"/>
          <w:szCs w:val="22"/>
        </w:rPr>
      </w:pPr>
    </w:p>
    <w:p w14:paraId="7E2183BD" w14:textId="77777777" w:rsidR="00FC224F" w:rsidRPr="00C65ABD" w:rsidRDefault="00FC224F" w:rsidP="00FC224F">
      <w:pPr>
        <w:rPr>
          <w:sz w:val="22"/>
          <w:szCs w:val="22"/>
        </w:rPr>
      </w:pPr>
      <w:r w:rsidRPr="00C65ABD">
        <w:rPr>
          <w:sz w:val="22"/>
          <w:szCs w:val="22"/>
        </w:rPr>
        <w:t xml:space="preserve">Dessa behöver finnas med i det förslag som regeringen remitterar för att remissinstanserna och riksdagen ska kunna ta ställning till förslaget på ett seriöst sätt. De säkerhetspolitiska aspekterna av att ökat beroende av diktaturers olja och en minska egenförsörjning av biodrivmedel behöver också redovisas. </w:t>
      </w:r>
    </w:p>
    <w:p w14:paraId="66C7D3E8" w14:textId="77777777" w:rsidR="00FC224F" w:rsidRPr="00C65ABD" w:rsidRDefault="00FC224F" w:rsidP="00FC224F">
      <w:pPr>
        <w:rPr>
          <w:sz w:val="22"/>
          <w:szCs w:val="22"/>
        </w:rPr>
      </w:pPr>
    </w:p>
    <w:p w14:paraId="1B195B00" w14:textId="77777777" w:rsidR="00FC224F" w:rsidRPr="00C65ABD" w:rsidRDefault="00FC224F" w:rsidP="00FC224F">
      <w:pPr>
        <w:rPr>
          <w:sz w:val="22"/>
          <w:szCs w:val="22"/>
        </w:rPr>
      </w:pPr>
      <w:r w:rsidRPr="00C65ABD">
        <w:rPr>
          <w:sz w:val="22"/>
          <w:szCs w:val="22"/>
        </w:rPr>
        <w:t xml:space="preserve">Genom detta utskottsinitiativ kräver vi att Sverigedemokraterna och regeringen måste remittera ett samlat förslag. Där sänkningen och åtgärderna för att hantera konsekvenserna ingår. Vi kräver svar på ett antal frågor: </w:t>
      </w:r>
    </w:p>
    <w:p w14:paraId="3A257D4A" w14:textId="77777777" w:rsidR="00FC224F" w:rsidRPr="00C65ABD" w:rsidRDefault="00FC224F" w:rsidP="00FC224F">
      <w:pPr>
        <w:rPr>
          <w:sz w:val="22"/>
          <w:szCs w:val="22"/>
        </w:rPr>
      </w:pPr>
      <w:r w:rsidRPr="00C65ABD">
        <w:rPr>
          <w:sz w:val="22"/>
          <w:szCs w:val="22"/>
        </w:rPr>
        <w:t xml:space="preserve">Hur garanteras att Sveriges klimatmål 2030 nås med förslag om sänkt reduktionsplikt? </w:t>
      </w:r>
    </w:p>
    <w:p w14:paraId="4B44486A" w14:textId="77777777" w:rsidR="00FC224F" w:rsidRPr="00C65ABD" w:rsidRDefault="00FC224F" w:rsidP="00FC224F">
      <w:pPr>
        <w:rPr>
          <w:sz w:val="22"/>
          <w:szCs w:val="22"/>
        </w:rPr>
      </w:pPr>
    </w:p>
    <w:p w14:paraId="159ADDC2" w14:textId="77777777" w:rsidR="00FC224F" w:rsidRPr="00C65ABD" w:rsidRDefault="00FC224F" w:rsidP="00FC224F">
      <w:pPr>
        <w:rPr>
          <w:sz w:val="22"/>
          <w:szCs w:val="22"/>
        </w:rPr>
      </w:pPr>
      <w:r w:rsidRPr="00C65ABD">
        <w:rPr>
          <w:sz w:val="22"/>
          <w:szCs w:val="22"/>
        </w:rPr>
        <w:t>Hur garanteras att Sverige når EU:s klimatmål som är beslutade inom ramen för Fit-for-55?</w:t>
      </w:r>
    </w:p>
    <w:p w14:paraId="713A0762" w14:textId="77777777" w:rsidR="00FC224F" w:rsidRPr="00C65ABD" w:rsidRDefault="00FC224F" w:rsidP="00FC224F">
      <w:pPr>
        <w:rPr>
          <w:sz w:val="22"/>
          <w:szCs w:val="22"/>
        </w:rPr>
      </w:pPr>
    </w:p>
    <w:p w14:paraId="5A3A2560" w14:textId="77777777" w:rsidR="00FC224F" w:rsidRPr="00C65ABD" w:rsidRDefault="00FC224F" w:rsidP="00FC224F">
      <w:pPr>
        <w:rPr>
          <w:sz w:val="22"/>
          <w:szCs w:val="22"/>
        </w:rPr>
      </w:pPr>
      <w:r w:rsidRPr="00C65ABD">
        <w:rPr>
          <w:sz w:val="22"/>
          <w:szCs w:val="22"/>
        </w:rPr>
        <w:t>Till vilken kostnad planerar regeringen köpa utsläppsrätter för att kompensera för minskade nivåer i reduktionsplikten? Från vilka områden ska resurserna omprioriteras? Vad kommer göras om det inte finns utsläppsrätter att köpa?</w:t>
      </w:r>
    </w:p>
    <w:p w14:paraId="03B8A793" w14:textId="77777777" w:rsidR="00FC224F" w:rsidRPr="00C65ABD" w:rsidRDefault="00FC224F" w:rsidP="00FC224F">
      <w:pPr>
        <w:rPr>
          <w:sz w:val="22"/>
          <w:szCs w:val="22"/>
        </w:rPr>
      </w:pPr>
    </w:p>
    <w:p w14:paraId="5E0161C1" w14:textId="77777777" w:rsidR="00FC224F" w:rsidRPr="00C65ABD" w:rsidRDefault="00FC224F" w:rsidP="00FC224F">
      <w:pPr>
        <w:rPr>
          <w:sz w:val="22"/>
          <w:szCs w:val="22"/>
        </w:rPr>
      </w:pPr>
      <w:r w:rsidRPr="00C65ABD">
        <w:rPr>
          <w:sz w:val="22"/>
          <w:szCs w:val="22"/>
        </w:rPr>
        <w:t xml:space="preserve">Vilka konsekvenser förväntas förslaget innebära för det svenska jordbruket, den svenska skogsnäringen och industrin? </w:t>
      </w:r>
    </w:p>
    <w:p w14:paraId="76102185" w14:textId="77777777" w:rsidR="00FC224F" w:rsidRPr="00C65ABD" w:rsidRDefault="00FC224F" w:rsidP="00FC224F">
      <w:pPr>
        <w:rPr>
          <w:sz w:val="22"/>
          <w:szCs w:val="22"/>
        </w:rPr>
      </w:pPr>
      <w:r w:rsidRPr="00C65ABD">
        <w:rPr>
          <w:sz w:val="22"/>
          <w:szCs w:val="22"/>
        </w:rPr>
        <w:t xml:space="preserve"> </w:t>
      </w:r>
    </w:p>
    <w:p w14:paraId="63E2E78C" w14:textId="77777777" w:rsidR="00FC224F" w:rsidRPr="00C65ABD" w:rsidRDefault="00FC224F" w:rsidP="00FC224F">
      <w:pPr>
        <w:rPr>
          <w:sz w:val="22"/>
          <w:szCs w:val="22"/>
        </w:rPr>
      </w:pPr>
      <w:r w:rsidRPr="00C65ABD">
        <w:rPr>
          <w:sz w:val="22"/>
          <w:szCs w:val="22"/>
        </w:rPr>
        <w:t>Hur många hektar skogsmark måste avvaras varje år på grund av minskade nivåer i reduktionsplikten? Vilken ersättning ska utgå till skogsägare?</w:t>
      </w:r>
    </w:p>
    <w:p w14:paraId="12D9C5FF" w14:textId="77777777" w:rsidR="00FC224F" w:rsidRPr="00C65ABD" w:rsidRDefault="00FC224F" w:rsidP="00FC224F">
      <w:pPr>
        <w:rPr>
          <w:sz w:val="22"/>
          <w:szCs w:val="22"/>
        </w:rPr>
      </w:pPr>
    </w:p>
    <w:p w14:paraId="478D7CD6" w14:textId="77777777" w:rsidR="00FC224F" w:rsidRPr="00C65ABD" w:rsidRDefault="00FC224F" w:rsidP="00FC224F">
      <w:pPr>
        <w:rPr>
          <w:sz w:val="22"/>
          <w:szCs w:val="22"/>
        </w:rPr>
      </w:pPr>
      <w:r w:rsidRPr="00C65ABD">
        <w:rPr>
          <w:sz w:val="22"/>
          <w:szCs w:val="22"/>
        </w:rPr>
        <w:t>Hur säkerställer regeringen att den sänkta nivån i reduktionsplikten garanterar en tillräcklig nivå av biodrivmedel för att säkra Sveriges självförsörjning?</w:t>
      </w:r>
    </w:p>
    <w:p w14:paraId="19FAF63C" w14:textId="77777777" w:rsidR="00FC224F" w:rsidRPr="00C65ABD" w:rsidRDefault="00FC224F" w:rsidP="00FC224F">
      <w:pPr>
        <w:rPr>
          <w:sz w:val="22"/>
          <w:szCs w:val="22"/>
        </w:rPr>
      </w:pPr>
    </w:p>
    <w:p w14:paraId="4BC52321" w14:textId="77777777" w:rsidR="00FC224F" w:rsidRPr="00C65ABD" w:rsidRDefault="00FC224F" w:rsidP="00FC224F">
      <w:pPr>
        <w:rPr>
          <w:sz w:val="22"/>
          <w:szCs w:val="22"/>
        </w:rPr>
      </w:pPr>
      <w:r w:rsidRPr="00C65ABD">
        <w:rPr>
          <w:sz w:val="22"/>
          <w:szCs w:val="22"/>
        </w:rPr>
        <w:t xml:space="preserve">Vilka blir de säkerhetspolitiska konsekvenserna av förslaget utifrån ett ökat beroende av olja från diktaturer? </w:t>
      </w:r>
    </w:p>
    <w:p w14:paraId="64E17FD4" w14:textId="77777777" w:rsidR="00FC224F" w:rsidRPr="00C65ABD" w:rsidRDefault="00FC224F" w:rsidP="00FC224F">
      <w:pPr>
        <w:rPr>
          <w:sz w:val="22"/>
          <w:szCs w:val="22"/>
        </w:rPr>
      </w:pPr>
    </w:p>
    <w:p w14:paraId="39F1D5DC" w14:textId="77777777" w:rsidR="00FC224F" w:rsidRPr="00C65ABD" w:rsidRDefault="00FC224F" w:rsidP="00FC224F">
      <w:pPr>
        <w:rPr>
          <w:sz w:val="22"/>
          <w:szCs w:val="22"/>
        </w:rPr>
      </w:pPr>
      <w:r w:rsidRPr="00C65ABD">
        <w:rPr>
          <w:sz w:val="22"/>
          <w:szCs w:val="22"/>
        </w:rPr>
        <w:t>Vilka begränsningar i bilåkandet avser regeringen att införa för att kompensera för minskade nivåer i reduktionsplikten?</w:t>
      </w:r>
    </w:p>
    <w:p w14:paraId="0DA63DB4" w14:textId="77777777" w:rsidR="00FC224F" w:rsidRPr="00C65ABD" w:rsidRDefault="00FC224F" w:rsidP="00FC224F">
      <w:pPr>
        <w:rPr>
          <w:sz w:val="22"/>
          <w:szCs w:val="22"/>
        </w:rPr>
      </w:pPr>
    </w:p>
    <w:p w14:paraId="3D99E1A1" w14:textId="77777777" w:rsidR="00FC224F" w:rsidRPr="00C65ABD" w:rsidRDefault="00FC224F" w:rsidP="00FC224F">
      <w:pPr>
        <w:rPr>
          <w:sz w:val="22"/>
          <w:szCs w:val="22"/>
        </w:rPr>
      </w:pPr>
      <w:r w:rsidRPr="00C65ABD">
        <w:rPr>
          <w:sz w:val="22"/>
          <w:szCs w:val="22"/>
        </w:rPr>
        <w:t xml:space="preserve">Var i landet avser regeringen att införa fler trängselavgifter för att kompensera för de ökade utsläpp som ett resultat av minskade nivåer i reduktionsplikten?  </w:t>
      </w:r>
    </w:p>
    <w:p w14:paraId="5371C304" w14:textId="77777777" w:rsidR="00FC224F" w:rsidRPr="00C65ABD" w:rsidRDefault="00FC224F" w:rsidP="00FC224F">
      <w:pPr>
        <w:rPr>
          <w:sz w:val="22"/>
          <w:szCs w:val="22"/>
        </w:rPr>
      </w:pPr>
    </w:p>
    <w:p w14:paraId="4E534F03" w14:textId="77777777" w:rsidR="00FC224F" w:rsidRPr="00C65ABD" w:rsidRDefault="00FC224F" w:rsidP="00FC224F">
      <w:pPr>
        <w:rPr>
          <w:sz w:val="22"/>
          <w:szCs w:val="22"/>
        </w:rPr>
      </w:pPr>
      <w:r w:rsidRPr="00C65ABD">
        <w:rPr>
          <w:sz w:val="22"/>
          <w:szCs w:val="22"/>
        </w:rPr>
        <w:t>Vilka städer och landsbygdsorter är föremål för begränsningar i bilåkandet för att kompensera för minskade nivåer i reduktionsplikten?</w:t>
      </w:r>
    </w:p>
    <w:p w14:paraId="6D0B08C5" w14:textId="77777777" w:rsidR="00FC224F" w:rsidRPr="00C65ABD" w:rsidRDefault="00FC224F" w:rsidP="00FC224F">
      <w:pPr>
        <w:rPr>
          <w:sz w:val="22"/>
          <w:szCs w:val="22"/>
        </w:rPr>
      </w:pPr>
    </w:p>
    <w:p w14:paraId="5B5C4FDF" w14:textId="77777777" w:rsidR="00FC224F" w:rsidRPr="00C65ABD" w:rsidRDefault="00FC224F" w:rsidP="00FC224F">
      <w:pPr>
        <w:rPr>
          <w:sz w:val="22"/>
          <w:szCs w:val="22"/>
        </w:rPr>
      </w:pPr>
      <w:r w:rsidRPr="00C65ABD">
        <w:rPr>
          <w:sz w:val="22"/>
          <w:szCs w:val="22"/>
        </w:rPr>
        <w:t xml:space="preserve">Vilka hastighetsbegränsningar avser regeringen införa på svenska vägar och vilka konsekvenser beräknas dessa få för människors resande på grund av minskade nivåer i reduktionsplikten? </w:t>
      </w:r>
    </w:p>
    <w:p w14:paraId="7F7103D6" w14:textId="77777777" w:rsidR="00FC224F" w:rsidRPr="00C65ABD" w:rsidRDefault="00FC224F" w:rsidP="00FC224F">
      <w:pPr>
        <w:rPr>
          <w:sz w:val="22"/>
          <w:szCs w:val="22"/>
        </w:rPr>
      </w:pPr>
    </w:p>
    <w:p w14:paraId="2DAD232D" w14:textId="77777777" w:rsidR="00FC224F" w:rsidRPr="00C65ABD" w:rsidRDefault="00FC224F" w:rsidP="00FC224F">
      <w:pPr>
        <w:rPr>
          <w:sz w:val="22"/>
          <w:szCs w:val="22"/>
        </w:rPr>
      </w:pPr>
      <w:r w:rsidRPr="00C65ABD">
        <w:rPr>
          <w:sz w:val="22"/>
          <w:szCs w:val="22"/>
        </w:rPr>
        <w:t>Vilka åtgärder kommer regeringen att vidta för att säkerställa att en kraftigt sänkt reduktionsplikt inte hotar forskningen och utvecklingen av biodrivmedel, framväxten av nya jobb och ny industri i Sverige?</w:t>
      </w:r>
    </w:p>
    <w:p w14:paraId="662B47B1" w14:textId="77777777" w:rsidR="00FC224F" w:rsidRPr="00C65ABD" w:rsidRDefault="00FC224F" w:rsidP="00FC224F">
      <w:pPr>
        <w:rPr>
          <w:sz w:val="22"/>
          <w:szCs w:val="22"/>
        </w:rPr>
      </w:pPr>
    </w:p>
    <w:p w14:paraId="09C57F3E" w14:textId="23D3DE80" w:rsidR="00D1794C" w:rsidRPr="00C65ABD" w:rsidRDefault="00FC224F" w:rsidP="00C65ABD">
      <w:pPr>
        <w:rPr>
          <w:sz w:val="22"/>
          <w:szCs w:val="22"/>
        </w:rPr>
      </w:pPr>
      <w:r w:rsidRPr="00C65ABD">
        <w:rPr>
          <w:sz w:val="22"/>
          <w:szCs w:val="22"/>
        </w:rPr>
        <w:t>För socialdemokraterna</w:t>
      </w:r>
      <w:r w:rsidR="00C65ABD">
        <w:rPr>
          <w:sz w:val="22"/>
          <w:szCs w:val="22"/>
        </w:rPr>
        <w:br/>
      </w:r>
      <w:r w:rsidRPr="00C65ABD">
        <w:rPr>
          <w:sz w:val="22"/>
          <w:szCs w:val="22"/>
        </w:rPr>
        <w:t>Anna-Caren Sätherberg</w:t>
      </w:r>
    </w:p>
    <w:sectPr w:rsidR="00D1794C" w:rsidRPr="00C65ABD" w:rsidSect="00FC224F">
      <w:pgSz w:w="11906" w:h="16838" w:code="9"/>
      <w:pgMar w:top="709" w:right="1134"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FFF1" w14:textId="77777777" w:rsidR="005638D0" w:rsidRDefault="005638D0">
      <w:r>
        <w:separator/>
      </w:r>
    </w:p>
  </w:endnote>
  <w:endnote w:type="continuationSeparator" w:id="0">
    <w:p w14:paraId="3D7932F4" w14:textId="77777777" w:rsidR="005638D0" w:rsidRDefault="0056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B039" w14:textId="77777777" w:rsidR="005638D0" w:rsidRDefault="005638D0">
      <w:r>
        <w:separator/>
      </w:r>
    </w:p>
  </w:footnote>
  <w:footnote w:type="continuationSeparator" w:id="0">
    <w:p w14:paraId="6739FDA6" w14:textId="77777777" w:rsidR="005638D0" w:rsidRDefault="00563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4" w15:restartNumberingAfterBreak="0">
    <w:nsid w:val="676435B6"/>
    <w:multiLevelType w:val="hybridMultilevel"/>
    <w:tmpl w:val="3878E4F2"/>
    <w:lvl w:ilvl="0" w:tplc="29920C1E">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100F"/>
    <w:rsid w:val="000A29E4"/>
    <w:rsid w:val="000D4425"/>
    <w:rsid w:val="000E402E"/>
    <w:rsid w:val="000E777E"/>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7100"/>
    <w:rsid w:val="001D7BA2"/>
    <w:rsid w:val="001E1F27"/>
    <w:rsid w:val="001F0044"/>
    <w:rsid w:val="001F3F30"/>
    <w:rsid w:val="001F641B"/>
    <w:rsid w:val="00200F8B"/>
    <w:rsid w:val="0021176A"/>
    <w:rsid w:val="00211FCA"/>
    <w:rsid w:val="00212A8D"/>
    <w:rsid w:val="00214162"/>
    <w:rsid w:val="00216C70"/>
    <w:rsid w:val="002241EF"/>
    <w:rsid w:val="0023053D"/>
    <w:rsid w:val="00231475"/>
    <w:rsid w:val="0023528F"/>
    <w:rsid w:val="002378CC"/>
    <w:rsid w:val="00243C44"/>
    <w:rsid w:val="0025203B"/>
    <w:rsid w:val="00254C5A"/>
    <w:rsid w:val="0025725D"/>
    <w:rsid w:val="00267A73"/>
    <w:rsid w:val="002830F4"/>
    <w:rsid w:val="00286C79"/>
    <w:rsid w:val="00287223"/>
    <w:rsid w:val="002968EE"/>
    <w:rsid w:val="002A14AC"/>
    <w:rsid w:val="002A3C5F"/>
    <w:rsid w:val="002B3A62"/>
    <w:rsid w:val="002C1D92"/>
    <w:rsid w:val="002C5FED"/>
    <w:rsid w:val="002D06F9"/>
    <w:rsid w:val="002D20B8"/>
    <w:rsid w:val="002D5CC4"/>
    <w:rsid w:val="002D7649"/>
    <w:rsid w:val="002E536D"/>
    <w:rsid w:val="002F25FD"/>
    <w:rsid w:val="00302EBE"/>
    <w:rsid w:val="00305501"/>
    <w:rsid w:val="00307E8F"/>
    <w:rsid w:val="003100F5"/>
    <w:rsid w:val="00311886"/>
    <w:rsid w:val="003127B4"/>
    <w:rsid w:val="003220D7"/>
    <w:rsid w:val="00322167"/>
    <w:rsid w:val="003227DB"/>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6D90"/>
    <w:rsid w:val="004072D7"/>
    <w:rsid w:val="00416E51"/>
    <w:rsid w:val="00417CF8"/>
    <w:rsid w:val="00420D39"/>
    <w:rsid w:val="004310CA"/>
    <w:rsid w:val="00440E5D"/>
    <w:rsid w:val="00451DB7"/>
    <w:rsid w:val="00463E6E"/>
    <w:rsid w:val="00467848"/>
    <w:rsid w:val="00470F4B"/>
    <w:rsid w:val="004763AE"/>
    <w:rsid w:val="0047654D"/>
    <w:rsid w:val="00481A80"/>
    <w:rsid w:val="00481AE3"/>
    <w:rsid w:val="00482D9A"/>
    <w:rsid w:val="00485C5B"/>
    <w:rsid w:val="004945A7"/>
    <w:rsid w:val="004A5400"/>
    <w:rsid w:val="004A5A59"/>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38D0"/>
    <w:rsid w:val="005654CA"/>
    <w:rsid w:val="00573E17"/>
    <w:rsid w:val="00573F9E"/>
    <w:rsid w:val="005742F7"/>
    <w:rsid w:val="00575332"/>
    <w:rsid w:val="005855D5"/>
    <w:rsid w:val="005957E5"/>
    <w:rsid w:val="005A3E8B"/>
    <w:rsid w:val="005B0CFF"/>
    <w:rsid w:val="005B1B2C"/>
    <w:rsid w:val="005D2E63"/>
    <w:rsid w:val="005D7C2B"/>
    <w:rsid w:val="005E2647"/>
    <w:rsid w:val="005E5543"/>
    <w:rsid w:val="005E6A1F"/>
    <w:rsid w:val="005F5539"/>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67438"/>
    <w:rsid w:val="00675F6F"/>
    <w:rsid w:val="0069597E"/>
    <w:rsid w:val="006A49EA"/>
    <w:rsid w:val="006A5302"/>
    <w:rsid w:val="006A63A7"/>
    <w:rsid w:val="006C1EB7"/>
    <w:rsid w:val="006D05CF"/>
    <w:rsid w:val="006D312E"/>
    <w:rsid w:val="006D4530"/>
    <w:rsid w:val="006D5F8F"/>
    <w:rsid w:val="006E15D9"/>
    <w:rsid w:val="006E49CC"/>
    <w:rsid w:val="006F4672"/>
    <w:rsid w:val="006F544E"/>
    <w:rsid w:val="007027D6"/>
    <w:rsid w:val="00716686"/>
    <w:rsid w:val="007179F3"/>
    <w:rsid w:val="00721C53"/>
    <w:rsid w:val="007238FF"/>
    <w:rsid w:val="00740391"/>
    <w:rsid w:val="007453FF"/>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098C"/>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978E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6868"/>
    <w:rsid w:val="00B916EB"/>
    <w:rsid w:val="00B92FE4"/>
    <w:rsid w:val="00B96B39"/>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11E5F"/>
    <w:rsid w:val="00C20B9F"/>
    <w:rsid w:val="00C20F78"/>
    <w:rsid w:val="00C22E5F"/>
    <w:rsid w:val="00C367C6"/>
    <w:rsid w:val="00C55553"/>
    <w:rsid w:val="00C65ABD"/>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9074B"/>
    <w:rsid w:val="00EA5C1E"/>
    <w:rsid w:val="00EB321F"/>
    <w:rsid w:val="00EB5801"/>
    <w:rsid w:val="00EC7E9B"/>
    <w:rsid w:val="00EE0BF7"/>
    <w:rsid w:val="00EE6E7B"/>
    <w:rsid w:val="00EF1B0A"/>
    <w:rsid w:val="00EF4ADF"/>
    <w:rsid w:val="00EF4B6A"/>
    <w:rsid w:val="00F13B23"/>
    <w:rsid w:val="00F143DB"/>
    <w:rsid w:val="00F25AFF"/>
    <w:rsid w:val="00F3265F"/>
    <w:rsid w:val="00F52E1E"/>
    <w:rsid w:val="00F54B7B"/>
    <w:rsid w:val="00F6549A"/>
    <w:rsid w:val="00F65F54"/>
    <w:rsid w:val="00F66FF9"/>
    <w:rsid w:val="00F73CB8"/>
    <w:rsid w:val="00F73D67"/>
    <w:rsid w:val="00F73D97"/>
    <w:rsid w:val="00F755B2"/>
    <w:rsid w:val="00F760FF"/>
    <w:rsid w:val="00F82610"/>
    <w:rsid w:val="00F832D2"/>
    <w:rsid w:val="00F86DDF"/>
    <w:rsid w:val="00F902C3"/>
    <w:rsid w:val="00F97D4A"/>
    <w:rsid w:val="00FA2B53"/>
    <w:rsid w:val="00FA6C99"/>
    <w:rsid w:val="00FB0559"/>
    <w:rsid w:val="00FB5AF3"/>
    <w:rsid w:val="00FC1B12"/>
    <w:rsid w:val="00FC224F"/>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uiPriority w:val="99"/>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6160">
      <w:bodyDiv w:val="1"/>
      <w:marLeft w:val="0"/>
      <w:marRight w:val="0"/>
      <w:marTop w:val="0"/>
      <w:marBottom w:val="0"/>
      <w:divBdr>
        <w:top w:val="none" w:sz="0" w:space="0" w:color="auto"/>
        <w:left w:val="none" w:sz="0" w:space="0" w:color="auto"/>
        <w:bottom w:val="none" w:sz="0" w:space="0" w:color="auto"/>
        <w:right w:val="none" w:sz="0" w:space="0" w:color="auto"/>
      </w:divBdr>
    </w:div>
    <w:div w:id="286473463">
      <w:bodyDiv w:val="1"/>
      <w:marLeft w:val="0"/>
      <w:marRight w:val="0"/>
      <w:marTop w:val="0"/>
      <w:marBottom w:val="0"/>
      <w:divBdr>
        <w:top w:val="none" w:sz="0" w:space="0" w:color="auto"/>
        <w:left w:val="none" w:sz="0" w:space="0" w:color="auto"/>
        <w:bottom w:val="none" w:sz="0" w:space="0" w:color="auto"/>
        <w:right w:val="none" w:sz="0" w:space="0" w:color="auto"/>
      </w:divBdr>
    </w:div>
    <w:div w:id="1546403696">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mur.riksdagen.se/?dokumentId=41262" TargetMode="External"/><Relationship Id="rId18" Type="http://schemas.openxmlformats.org/officeDocument/2006/relationships/hyperlink" Target="https://lemur.riksdagen.se/?dokumentId=41222" TargetMode="External"/><Relationship Id="rId26" Type="http://schemas.openxmlformats.org/officeDocument/2006/relationships/hyperlink" Target="https://www.riksdagen.se/sv/dokument-lagar/arende/_H901MJU1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emur.riksdagen.se/?dokumentId=41338" TargetMode="External"/><Relationship Id="rId34" Type="http://schemas.openxmlformats.org/officeDocument/2006/relationships/hyperlink" Target="https://lemur.riksdagen.se/?dokumentId=41358" TargetMode="External"/><Relationship Id="rId7" Type="http://schemas.openxmlformats.org/officeDocument/2006/relationships/endnotes" Target="endnotes.xml"/><Relationship Id="rId12" Type="http://schemas.openxmlformats.org/officeDocument/2006/relationships/hyperlink" Target="http://lemur.riksdagen.se/?dokumentId=41260" TargetMode="External"/><Relationship Id="rId17" Type="http://schemas.openxmlformats.org/officeDocument/2006/relationships/hyperlink" Target="https://lemur.riksdagen.se/?dokumentId=41280" TargetMode="External"/><Relationship Id="rId25" Type="http://schemas.openxmlformats.org/officeDocument/2006/relationships/hyperlink" Target="https://www.riksdagen.se/sv/dokument-lagar/arende/_H901MJU11" TargetMode="External"/><Relationship Id="rId33" Type="http://schemas.openxmlformats.org/officeDocument/2006/relationships/hyperlink" Target="https://lemur.riksdagen.se/?dokumentId=41346" TargetMode="External"/><Relationship Id="rId38" Type="http://schemas.openxmlformats.org/officeDocument/2006/relationships/hyperlink" Target="https://lemur.riksdagen.se/?dokumentId=41362" TargetMode="External"/><Relationship Id="rId2" Type="http://schemas.openxmlformats.org/officeDocument/2006/relationships/numbering" Target="numbering.xml"/><Relationship Id="rId16" Type="http://schemas.openxmlformats.org/officeDocument/2006/relationships/hyperlink" Target="http://lemur.riksdagen.se/?dokumentId=41263" TargetMode="External"/><Relationship Id="rId20" Type="http://schemas.openxmlformats.org/officeDocument/2006/relationships/hyperlink" Target="https://lemur.riksdagen.se/?dokumentId=41337" TargetMode="External"/><Relationship Id="rId29" Type="http://schemas.openxmlformats.org/officeDocument/2006/relationships/hyperlink" Target="https://lemur.riksdagen.se/?dokumentId=413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Id=40874" TargetMode="External"/><Relationship Id="rId24" Type="http://schemas.openxmlformats.org/officeDocument/2006/relationships/hyperlink" Target="http://lemur.riksdagen.se/?dokumentId=41181" TargetMode="External"/><Relationship Id="rId32" Type="http://schemas.openxmlformats.org/officeDocument/2006/relationships/hyperlink" Target="https://lemur.riksdagen.se/?dokumentId=41345" TargetMode="External"/><Relationship Id="rId37" Type="http://schemas.openxmlformats.org/officeDocument/2006/relationships/hyperlink" Target="http://lemur.riksdagen.se/?dokumentId=4137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mur.riksdagen.se/?dokumentId=41261" TargetMode="External"/><Relationship Id="rId23" Type="http://schemas.openxmlformats.org/officeDocument/2006/relationships/hyperlink" Target="http://lemur.riksdagen.se/?dokumentId=41378" TargetMode="External"/><Relationship Id="rId28" Type="http://schemas.openxmlformats.org/officeDocument/2006/relationships/hyperlink" Target="http://lemur.riksdagen.se/?dokumentId=41299" TargetMode="External"/><Relationship Id="rId36" Type="http://schemas.openxmlformats.org/officeDocument/2006/relationships/hyperlink" Target="http://lemur.riksdagen.se/?dokumentId=41369" TargetMode="External"/><Relationship Id="rId10" Type="http://schemas.openxmlformats.org/officeDocument/2006/relationships/hyperlink" Target="http://lemur.riksdagen.se/?dokumentId=40875" TargetMode="External"/><Relationship Id="rId19" Type="http://schemas.openxmlformats.org/officeDocument/2006/relationships/hyperlink" Target="https://lemur.riksdagen.se/?dokumentId=41336" TargetMode="External"/><Relationship Id="rId31" Type="http://schemas.openxmlformats.org/officeDocument/2006/relationships/hyperlink" Target="https://lemur.riksdagen.se/?dokumentId=4134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emur.riksdagen.se/?dokumentId=41264" TargetMode="External"/><Relationship Id="rId22" Type="http://schemas.openxmlformats.org/officeDocument/2006/relationships/hyperlink" Target="http://lemur.riksdagen.se/?dokumentId=41379" TargetMode="External"/><Relationship Id="rId27" Type="http://schemas.openxmlformats.org/officeDocument/2006/relationships/hyperlink" Target="https://lemur.riksdagen.se/?dokumentId=41290" TargetMode="External"/><Relationship Id="rId30" Type="http://schemas.openxmlformats.org/officeDocument/2006/relationships/hyperlink" Target="https://lemur.riksdagen.se/?dokumentId=41311" TargetMode="External"/><Relationship Id="rId35" Type="http://schemas.openxmlformats.org/officeDocument/2006/relationships/hyperlink" Target="http://lemur.riksdagen.se/?dokumentId=4136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3346</Words>
  <Characters>20578</Characters>
  <Application>Microsoft Office Word</Application>
  <DocSecurity>0</DocSecurity>
  <Lines>1371</Lines>
  <Paragraphs>469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2</cp:revision>
  <cp:lastPrinted>2023-02-22T11:36:00Z</cp:lastPrinted>
  <dcterms:created xsi:type="dcterms:W3CDTF">2023-05-17T10:10:00Z</dcterms:created>
  <dcterms:modified xsi:type="dcterms:W3CDTF">2023-05-17T10:10:00Z</dcterms:modified>
</cp:coreProperties>
</file>