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316E1-0E13-4F58-A4D2-3A95FA045BC2}"/>
</file>

<file path=customXml/itemProps2.xml><?xml version="1.0" encoding="utf-8"?>
<ds:datastoreItem xmlns:ds="http://schemas.openxmlformats.org/officeDocument/2006/customXml" ds:itemID="{D4E7F041-CE39-44B3-A5D2-A0DD7612E420}"/>
</file>

<file path=customXml/itemProps3.xml><?xml version="1.0" encoding="utf-8"?>
<ds:datastoreItem xmlns:ds="http://schemas.openxmlformats.org/officeDocument/2006/customXml" ds:itemID="{8913666D-7817-4444-8793-11676772FB31}"/>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