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93BCA" w:rsidP="00493BCA">
      <w:pPr>
        <w:pStyle w:val="Title"/>
        <w:rPr>
          <w:sz w:val="25"/>
          <w:szCs w:val="25"/>
        </w:rPr>
      </w:pPr>
      <w:r w:rsidRPr="004C12B2">
        <w:rPr>
          <w:rFonts w:cstheme="majorHAnsi"/>
          <w:szCs w:val="26"/>
        </w:rPr>
        <w:t xml:space="preserve">Svar på fråga </w:t>
      </w:r>
      <w:r w:rsidRPr="004C12B2" w:rsidR="00031D8A">
        <w:rPr>
          <w:rFonts w:cstheme="majorHAnsi"/>
          <w:szCs w:val="26"/>
        </w:rPr>
        <w:t>2021/22:1</w:t>
      </w:r>
      <w:r w:rsidRPr="004C12B2" w:rsidR="00F5233D">
        <w:rPr>
          <w:rFonts w:cstheme="majorHAnsi"/>
          <w:szCs w:val="26"/>
        </w:rPr>
        <w:t>207</w:t>
      </w:r>
      <w:r w:rsidRPr="004C12B2" w:rsidR="00031D8A">
        <w:rPr>
          <w:rFonts w:cstheme="majorHAnsi"/>
          <w:szCs w:val="26"/>
        </w:rPr>
        <w:t xml:space="preserve"> av </w:t>
      </w:r>
      <w:r w:rsidRPr="004C12B2" w:rsidR="00F5233D">
        <w:rPr>
          <w:rFonts w:cstheme="majorHAnsi"/>
          <w:szCs w:val="26"/>
        </w:rPr>
        <w:t xml:space="preserve">Mats Nordberg </w:t>
      </w:r>
      <w:r w:rsidRPr="004C12B2" w:rsidR="00031D8A">
        <w:rPr>
          <w:rFonts w:cstheme="majorHAnsi"/>
          <w:szCs w:val="26"/>
        </w:rPr>
        <w:t>(</w:t>
      </w:r>
      <w:r w:rsidRPr="004C12B2" w:rsidR="00F5233D">
        <w:rPr>
          <w:rFonts w:cstheme="majorHAnsi"/>
          <w:szCs w:val="26"/>
        </w:rPr>
        <w:t>SD)</w:t>
      </w:r>
      <w:r w:rsidR="004C12B2">
        <w:rPr>
          <w:rFonts w:cstheme="majorHAnsi"/>
          <w:szCs w:val="26"/>
        </w:rPr>
        <w:t xml:space="preserve"> </w:t>
      </w:r>
      <w:r w:rsidRPr="004C12B2" w:rsidR="004C12B2">
        <w:rPr>
          <w:rFonts w:cstheme="majorHAnsi"/>
          <w:szCs w:val="26"/>
        </w:rPr>
        <w:t>Dnestrrepubliken och riskerna för Moldavien</w:t>
      </w:r>
    </w:p>
    <w:p w:rsidR="008D0099" w:rsidRPr="004C12B2" w:rsidP="00493BCA">
      <w:r w:rsidRPr="004C12B2">
        <w:t>Mats Nordberg har frågat mig huruvida regeringen avser agera för att stödja Moldavien genom att internationellt verka för att Moldavien</w:t>
      </w:r>
      <w:r w:rsidRPr="004C12B2" w:rsidR="00E6486E">
        <w:t>,</w:t>
      </w:r>
      <w:r w:rsidRPr="004C12B2">
        <w:t xml:space="preserve"> </w:t>
      </w:r>
      <w:r w:rsidRPr="004C12B2" w:rsidR="001673FB">
        <w:t xml:space="preserve">inklusive </w:t>
      </w:r>
      <w:r w:rsidRPr="004C12B2">
        <w:t>Transnistrien</w:t>
      </w:r>
      <w:r w:rsidRPr="004C12B2" w:rsidR="00E6486E">
        <w:t>,</w:t>
      </w:r>
      <w:r w:rsidRPr="004C12B2">
        <w:t xml:space="preserve"> inte blandas in i den pågående konflikten mellan Ryssland och Ukraina.</w:t>
      </w:r>
    </w:p>
    <w:p w:rsidR="008D0099" w:rsidRPr="004C12B2" w:rsidP="00493BCA">
      <w:pPr>
        <w:rPr>
          <w:rFonts w:cs="TimesNewRomanPSMT"/>
        </w:rPr>
      </w:pPr>
      <w:r w:rsidRPr="004C12B2">
        <w:rPr>
          <w:rFonts w:cs="TimesNewRomanPSMT"/>
        </w:rPr>
        <w:t>Sverige stöd</w:t>
      </w:r>
      <w:r w:rsidR="00133C2E">
        <w:rPr>
          <w:rFonts w:cs="TimesNewRomanPSMT"/>
        </w:rPr>
        <w:t>jer</w:t>
      </w:r>
      <w:r w:rsidRPr="004C12B2">
        <w:rPr>
          <w:rFonts w:cs="TimesNewRomanPSMT"/>
        </w:rPr>
        <w:t xml:space="preserve"> Moldavien</w:t>
      </w:r>
      <w:r w:rsidRPr="004C12B2" w:rsidR="000E137A">
        <w:rPr>
          <w:rFonts w:cs="TimesNewRomanPSMT"/>
        </w:rPr>
        <w:t xml:space="preserve">s </w:t>
      </w:r>
      <w:r w:rsidRPr="004C12B2">
        <w:rPr>
          <w:rFonts w:cs="TimesNewRomanPSMT"/>
        </w:rPr>
        <w:t>suveränitet och territoriella integritet</w:t>
      </w:r>
      <w:r w:rsidR="00133C2E">
        <w:rPr>
          <w:rFonts w:cs="TimesNewRomanPSMT"/>
        </w:rPr>
        <w:t xml:space="preserve"> och är </w:t>
      </w:r>
      <w:r w:rsidRPr="004C12B2">
        <w:rPr>
          <w:rFonts w:cs="TimesNewRomanPSMT"/>
        </w:rPr>
        <w:t xml:space="preserve">en av de största bilaterala givarna till Moldavien, </w:t>
      </w:r>
      <w:r w:rsidRPr="004C12B2" w:rsidR="001673FB">
        <w:rPr>
          <w:rFonts w:cs="TimesNewRomanPSMT"/>
        </w:rPr>
        <w:t>med ett bilateralt</w:t>
      </w:r>
      <w:r w:rsidRPr="004C12B2" w:rsidR="0043779F">
        <w:rPr>
          <w:rFonts w:cs="TimesNewRomanPSMT"/>
        </w:rPr>
        <w:t xml:space="preserve"> </w:t>
      </w:r>
      <w:r w:rsidRPr="004C12B2" w:rsidR="000E137A">
        <w:rPr>
          <w:rFonts w:cs="TimesNewRomanPSMT"/>
        </w:rPr>
        <w:t xml:space="preserve">reformstöd </w:t>
      </w:r>
      <w:r w:rsidRPr="004C12B2" w:rsidR="001673FB">
        <w:rPr>
          <w:rFonts w:cs="TimesNewRomanPSMT"/>
        </w:rPr>
        <w:t>som</w:t>
      </w:r>
      <w:r w:rsidRPr="004C12B2" w:rsidR="000E137A">
        <w:rPr>
          <w:rFonts w:cs="TimesNewRomanPSMT"/>
        </w:rPr>
        <w:t xml:space="preserve"> under</w:t>
      </w:r>
      <w:r w:rsidRPr="004C12B2">
        <w:rPr>
          <w:rFonts w:cs="TimesNewRomanPSMT"/>
        </w:rPr>
        <w:t xml:space="preserve"> 2021 </w:t>
      </w:r>
      <w:r w:rsidRPr="004C12B2" w:rsidR="001673FB">
        <w:rPr>
          <w:rFonts w:cs="TimesNewRomanPSMT"/>
        </w:rPr>
        <w:t xml:space="preserve">uppgick </w:t>
      </w:r>
      <w:r w:rsidRPr="004C12B2">
        <w:rPr>
          <w:rFonts w:cs="TimesNewRomanPSMT"/>
        </w:rPr>
        <w:t>till 142 miljoner kronor.</w:t>
      </w:r>
      <w:r w:rsidRPr="004C12B2" w:rsidR="00E6486E">
        <w:rPr>
          <w:rFonts w:cs="TimesNewRomanPSMT"/>
        </w:rPr>
        <w:t xml:space="preserve"> </w:t>
      </w:r>
      <w:r w:rsidRPr="004C12B2" w:rsidR="001673FB">
        <w:rPr>
          <w:rFonts w:cs="TimesNewRomanPSMT"/>
        </w:rPr>
        <w:t xml:space="preserve">Under Sveriges ordförandeskap i OSSE förra året </w:t>
      </w:r>
      <w:r w:rsidRPr="004C12B2" w:rsidR="00664FFE">
        <w:rPr>
          <w:rFonts w:cs="TimesNewRomanPSMT"/>
        </w:rPr>
        <w:t xml:space="preserve">var en av våra prioriteringar </w:t>
      </w:r>
      <w:r w:rsidRPr="004C12B2" w:rsidR="001673FB">
        <w:rPr>
          <w:rFonts w:cs="TimesNewRomanPSMT"/>
        </w:rPr>
        <w:t xml:space="preserve">att försöka uppnå resultat i hanteringen </w:t>
      </w:r>
      <w:r w:rsidRPr="004C12B2" w:rsidR="0043779F">
        <w:rPr>
          <w:rFonts w:cs="TimesNewRomanPSMT"/>
        </w:rPr>
        <w:t xml:space="preserve">av </w:t>
      </w:r>
      <w:r w:rsidRPr="004C12B2" w:rsidR="001673FB">
        <w:rPr>
          <w:rFonts w:cs="TimesNewRomanPSMT"/>
        </w:rPr>
        <w:t>Transnistrien</w:t>
      </w:r>
      <w:r w:rsidRPr="004C12B2" w:rsidR="00E6486E">
        <w:rPr>
          <w:rFonts w:cs="TimesNewRomanPSMT"/>
        </w:rPr>
        <w:t>-</w:t>
      </w:r>
      <w:r w:rsidRPr="004C12B2" w:rsidR="001673FB">
        <w:rPr>
          <w:rFonts w:cs="TimesNewRomanPSMT"/>
        </w:rPr>
        <w:t>konflikten</w:t>
      </w:r>
      <w:r w:rsidRPr="004C12B2" w:rsidR="00664FFE">
        <w:rPr>
          <w:rFonts w:cs="TimesNewRomanPSMT"/>
        </w:rPr>
        <w:t xml:space="preserve"> och andra utdragna konflikter i regionen</w:t>
      </w:r>
      <w:r w:rsidRPr="004C12B2" w:rsidR="001673FB">
        <w:rPr>
          <w:rFonts w:cs="TimesNewRomanPSMT"/>
        </w:rPr>
        <w:t xml:space="preserve">. Inom ramen för dessa ansträngningar gjorde jag bland annat själv två resor till Chisinau och Transnistrien. Vi fortsätter i år, inte minst i egenskap av medlem i OSSE-trojkan, att noga följa denna process.  </w:t>
      </w:r>
    </w:p>
    <w:p w:rsidR="008D0099" w:rsidRPr="004C12B2" w:rsidP="00493BCA">
      <w:pPr>
        <w:rPr>
          <w:rFonts w:cs="TimesNewRomanPSMT"/>
        </w:rPr>
      </w:pPr>
      <w:r w:rsidRPr="004C12B2">
        <w:rPr>
          <w:rFonts w:cs="TimesNewRomanPSMT"/>
        </w:rPr>
        <w:t xml:space="preserve">Rysslands </w:t>
      </w:r>
      <w:r w:rsidR="00B95911">
        <w:rPr>
          <w:rFonts w:cs="TimesNewRomanPSMT"/>
        </w:rPr>
        <w:t xml:space="preserve">aggression mot </w:t>
      </w:r>
      <w:r w:rsidRPr="004C12B2">
        <w:rPr>
          <w:rFonts w:cs="TimesNewRomanPSMT"/>
        </w:rPr>
        <w:t>Ukraina utgör inte endast e</w:t>
      </w:r>
      <w:r w:rsidR="00B95911">
        <w:rPr>
          <w:rFonts w:cs="TimesNewRomanPSMT"/>
        </w:rPr>
        <w:t>n</w:t>
      </w:r>
      <w:r w:rsidRPr="004C12B2">
        <w:rPr>
          <w:rFonts w:cs="TimesNewRomanPSMT"/>
        </w:rPr>
        <w:t xml:space="preserve"> flagrant </w:t>
      </w:r>
      <w:r w:rsidR="00B95911">
        <w:rPr>
          <w:rFonts w:cs="TimesNewRomanPSMT"/>
        </w:rPr>
        <w:t xml:space="preserve">överträdelse av folkrätten och </w:t>
      </w:r>
      <w:r w:rsidRPr="004C12B2">
        <w:rPr>
          <w:rFonts w:cs="TimesNewRomanPSMT"/>
        </w:rPr>
        <w:t xml:space="preserve">den europeiska säkerhetsordningen, utan </w:t>
      </w:r>
      <w:r w:rsidR="00B95911">
        <w:rPr>
          <w:rFonts w:cs="TimesNewRomanPSMT"/>
        </w:rPr>
        <w:t xml:space="preserve">är </w:t>
      </w:r>
      <w:r w:rsidRPr="004C12B2">
        <w:rPr>
          <w:rFonts w:cs="TimesNewRomanPSMT"/>
        </w:rPr>
        <w:t xml:space="preserve">även ett hot mot fred och säkerhet ur ett globalt perspektiv. Den ryska </w:t>
      </w:r>
      <w:r w:rsidR="00655D72">
        <w:rPr>
          <w:rFonts w:cs="TimesNewRomanPSMT"/>
        </w:rPr>
        <w:t>invasionen</w:t>
      </w:r>
      <w:r w:rsidR="00B95911">
        <w:rPr>
          <w:rFonts w:cs="TimesNewRomanPSMT"/>
        </w:rPr>
        <w:t xml:space="preserve"> </w:t>
      </w:r>
      <w:r w:rsidR="00655D72">
        <w:rPr>
          <w:rFonts w:cs="TimesNewRomanPSMT"/>
        </w:rPr>
        <w:t>av</w:t>
      </w:r>
      <w:r w:rsidR="00B95911">
        <w:rPr>
          <w:rFonts w:cs="TimesNewRomanPSMT"/>
        </w:rPr>
        <w:t xml:space="preserve"> </w:t>
      </w:r>
      <w:r w:rsidRPr="004C12B2">
        <w:rPr>
          <w:rFonts w:cs="TimesNewRomanPSMT"/>
        </w:rPr>
        <w:t xml:space="preserve">Ukraina </w:t>
      </w:r>
      <w:r w:rsidRPr="004C12B2" w:rsidR="000E137A">
        <w:rPr>
          <w:rFonts w:cs="TimesNewRomanPSMT"/>
        </w:rPr>
        <w:t>riskerar</w:t>
      </w:r>
      <w:r w:rsidRPr="004C12B2">
        <w:rPr>
          <w:rFonts w:cs="TimesNewRomanPSMT"/>
        </w:rPr>
        <w:t xml:space="preserve"> att få </w:t>
      </w:r>
      <w:r w:rsidRPr="004C12B2" w:rsidR="000E137A">
        <w:rPr>
          <w:rFonts w:cs="TimesNewRomanPSMT"/>
        </w:rPr>
        <w:t xml:space="preserve">omfattande </w:t>
      </w:r>
      <w:r w:rsidRPr="004C12B2">
        <w:rPr>
          <w:rFonts w:cs="TimesNewRomanPSMT"/>
        </w:rPr>
        <w:t>konsekvenser</w:t>
      </w:r>
      <w:r w:rsidRPr="004C12B2" w:rsidR="000E137A">
        <w:rPr>
          <w:rFonts w:cs="TimesNewRomanPSMT"/>
        </w:rPr>
        <w:t xml:space="preserve"> även</w:t>
      </w:r>
      <w:r w:rsidRPr="004C12B2">
        <w:rPr>
          <w:rFonts w:cs="TimesNewRomanPSMT"/>
        </w:rPr>
        <w:t xml:space="preserve"> för närområde</w:t>
      </w:r>
      <w:r w:rsidR="00133C2E">
        <w:rPr>
          <w:rFonts w:cs="TimesNewRomanPSMT"/>
        </w:rPr>
        <w:t>t</w:t>
      </w:r>
      <w:r w:rsidRPr="004C12B2">
        <w:rPr>
          <w:rFonts w:cs="TimesNewRomanPSMT"/>
        </w:rPr>
        <w:t>, inklusive Moldavien.</w:t>
      </w:r>
    </w:p>
    <w:p w:rsidR="008D0099" w:rsidRPr="004C12B2" w:rsidP="00493BCA">
      <w:pPr>
        <w:rPr>
          <w:rFonts w:cs="TimesNewRomanPSMT"/>
        </w:rPr>
      </w:pPr>
      <w:r w:rsidRPr="004C12B2">
        <w:rPr>
          <w:rFonts w:cs="TimesNewRomanPSMT"/>
        </w:rPr>
        <w:t xml:space="preserve">Hittills </w:t>
      </w:r>
      <w:r w:rsidR="00133C2E">
        <w:rPr>
          <w:rFonts w:cs="TimesNewRomanPSMT"/>
        </w:rPr>
        <w:t>beräknas</w:t>
      </w:r>
      <w:r w:rsidRPr="004C12B2" w:rsidR="00133C2E">
        <w:rPr>
          <w:rFonts w:cs="TimesNewRomanPSMT"/>
        </w:rPr>
        <w:t xml:space="preserve"> </w:t>
      </w:r>
      <w:r w:rsidRPr="004C12B2">
        <w:rPr>
          <w:rFonts w:cs="TimesNewRomanPSMT"/>
        </w:rPr>
        <w:t>över 130 000 ukrainska flyktingar</w:t>
      </w:r>
      <w:r w:rsidR="00133C2E">
        <w:rPr>
          <w:rFonts w:cs="TimesNewRomanPSMT"/>
        </w:rPr>
        <w:t xml:space="preserve"> ha</w:t>
      </w:r>
      <w:r w:rsidRPr="004C12B2">
        <w:rPr>
          <w:rFonts w:cs="TimesNewRomanPSMT"/>
        </w:rPr>
        <w:t xml:space="preserve"> anlänt till Moldavien</w:t>
      </w:r>
      <w:r w:rsidRPr="004C12B2" w:rsidR="001673FB">
        <w:rPr>
          <w:rFonts w:cs="TimesNewRomanPSMT"/>
        </w:rPr>
        <w:t xml:space="preserve"> och </w:t>
      </w:r>
      <w:r w:rsidRPr="004C12B2" w:rsidR="00664FFE">
        <w:rPr>
          <w:rFonts w:cs="TimesNewRomanPSMT"/>
        </w:rPr>
        <w:t>antalet</w:t>
      </w:r>
      <w:r w:rsidRPr="004C12B2" w:rsidR="001673FB">
        <w:rPr>
          <w:rFonts w:cs="TimesNewRomanPSMT"/>
        </w:rPr>
        <w:t xml:space="preserve"> ökar stadigt</w:t>
      </w:r>
      <w:r w:rsidRPr="004C12B2">
        <w:rPr>
          <w:rFonts w:cs="TimesNewRomanPSMT"/>
        </w:rPr>
        <w:t xml:space="preserve">. För att stödja Moldavien i </w:t>
      </w:r>
      <w:r w:rsidRPr="004C12B2" w:rsidR="00664FFE">
        <w:rPr>
          <w:rFonts w:cs="TimesNewRomanPSMT"/>
        </w:rPr>
        <w:t>mottagandet av flyktingarna</w:t>
      </w:r>
      <w:r w:rsidRPr="004C12B2">
        <w:rPr>
          <w:rFonts w:cs="TimesNewRomanPSMT"/>
        </w:rPr>
        <w:t xml:space="preserve"> har Sverige den </w:t>
      </w:r>
      <w:r w:rsidRPr="004C12B2" w:rsidR="000E137A">
        <w:rPr>
          <w:rFonts w:cs="TimesNewRomanPSMT"/>
        </w:rPr>
        <w:t>1</w:t>
      </w:r>
      <w:r w:rsidRPr="004C12B2">
        <w:rPr>
          <w:rFonts w:cs="TimesNewRomanPSMT"/>
        </w:rPr>
        <w:t xml:space="preserve"> mars beslutat att skicka utrustning och personal till Moldavien. Stödet ges via MSB som en del av EU:s civilskyddsmekanism.</w:t>
      </w:r>
    </w:p>
    <w:p w:rsidR="006D7F9D" w:rsidP="004C12B2">
      <w:pPr>
        <w:tabs>
          <w:tab w:val="left" w:pos="4215"/>
        </w:tabs>
      </w:pPr>
      <w:r w:rsidRPr="004C12B2">
        <w:t>S</w:t>
      </w:r>
      <w:r w:rsidRPr="004C12B2" w:rsidR="0060773B">
        <w:t>tockholm den</w:t>
      </w:r>
      <w:r w:rsidRPr="004C12B2" w:rsidR="00595785">
        <w:t xml:space="preserve"> </w:t>
      </w:r>
      <w:r w:rsidRPr="004C12B2" w:rsidR="00031D8A">
        <w:t>9 mars</w:t>
      </w:r>
      <w:r w:rsidRPr="004C12B2" w:rsidR="00661DD4">
        <w:t xml:space="preserve"> 202</w:t>
      </w:r>
      <w:r w:rsidRPr="004C12B2" w:rsidR="00031D8A">
        <w:t>2</w:t>
      </w:r>
      <w:r w:rsidR="004C12B2">
        <w:tab/>
      </w:r>
    </w:p>
    <w:p w:rsidR="004C12B2" w:rsidRPr="004C12B2" w:rsidP="004C12B2">
      <w:pPr>
        <w:tabs>
          <w:tab w:val="left" w:pos="4215"/>
        </w:tabs>
        <w:rPr>
          <w:rFonts w:eastAsia="Times New Roman"/>
        </w:rPr>
      </w:pPr>
    </w:p>
    <w:p w:rsidR="00F5233D" w:rsidRPr="004C12B2" w:rsidP="0043779F">
      <w:pPr>
        <w:autoSpaceDE w:val="0"/>
        <w:autoSpaceDN w:val="0"/>
        <w:adjustRightInd w:val="0"/>
        <w:spacing w:after="0"/>
      </w:pPr>
      <w:r w:rsidRPr="004C12B2">
        <w:t>Ann Linde</w:t>
      </w:r>
    </w:p>
    <w:sectPr w:rsidSect="00FE17B8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4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255"/>
      <w:gridCol w:w="3010"/>
      <w:gridCol w:w="1076"/>
    </w:tblGrid>
    <w:tr w:rsidTr="00FE17B8">
      <w:tblPrEx>
        <w:tblW w:w="934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255" w:type="dxa"/>
        </w:tcPr>
        <w:p w:rsidR="003D7550" w:rsidRPr="007D73AB">
          <w:pPr>
            <w:pStyle w:val="Header"/>
          </w:pPr>
        </w:p>
      </w:tc>
      <w:tc>
        <w:tcPr>
          <w:tcW w:w="301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076" w:type="dxa"/>
        </w:tcPr>
        <w:p w:rsidR="003D7550" w:rsidP="005A703A">
          <w:pPr>
            <w:pStyle w:val="Header"/>
          </w:pPr>
        </w:p>
      </w:tc>
    </w:tr>
    <w:tr w:rsidTr="00FE17B8">
      <w:tblPrEx>
        <w:tblW w:w="934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60"/>
      </w:trPr>
      <w:tc>
        <w:tcPr>
          <w:tcW w:w="5255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3" name="Bildobjekt 13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</w:t>
              </w:r>
              <w:r w:rsidR="00FE17B8">
                <w:t>03672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076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FE17B8">
      <w:tblPrEx>
        <w:tblW w:w="934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255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4C12B2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01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76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B642D4A"/>
    <w:multiLevelType w:val="hybridMultilevel"/>
    <w:tmpl w:val="A9C8FC5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B931E27"/>
    <w:multiLevelType w:val="hybridMultilevel"/>
    <w:tmpl w:val="2FA8B042"/>
    <w:lvl w:ilvl="0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88532F"/>
    <w:multiLevelType w:val="multilevel"/>
    <w:tmpl w:val="1B563932"/>
    <w:numStyleLink w:val="RKNumreradlista"/>
  </w:abstractNum>
  <w:abstractNum w:abstractNumId="14">
    <w:nsid w:val="2AB05199"/>
    <w:multiLevelType w:val="multilevel"/>
    <w:tmpl w:val="186C6512"/>
    <w:numStyleLink w:val="Strecklistan"/>
  </w:abstractNum>
  <w:abstractNum w:abstractNumId="15">
    <w:nsid w:val="2BE361F1"/>
    <w:multiLevelType w:val="multilevel"/>
    <w:tmpl w:val="1B563932"/>
    <w:numStyleLink w:val="RKNumreradlista"/>
  </w:abstractNum>
  <w:abstractNum w:abstractNumId="16">
    <w:nsid w:val="2C9B0453"/>
    <w:multiLevelType w:val="multilevel"/>
    <w:tmpl w:val="1A20A4CA"/>
    <w:numStyleLink w:val="RKPunktlista"/>
  </w:abstractNum>
  <w:abstractNum w:abstractNumId="17">
    <w:nsid w:val="2ECF6BA1"/>
    <w:multiLevelType w:val="multilevel"/>
    <w:tmpl w:val="1B563932"/>
    <w:numStyleLink w:val="RKNumreradlista"/>
  </w:abstractNum>
  <w:abstractNum w:abstractNumId="18">
    <w:nsid w:val="2F604539"/>
    <w:multiLevelType w:val="multilevel"/>
    <w:tmpl w:val="1B563932"/>
    <w:numStyleLink w:val="RKNumreradlista"/>
  </w:abstractNum>
  <w:abstractNum w:abstractNumId="19">
    <w:nsid w:val="348522EF"/>
    <w:multiLevelType w:val="multilevel"/>
    <w:tmpl w:val="1B563932"/>
    <w:numStyleLink w:val="RKNumreradlista"/>
  </w:abstractNum>
  <w:abstractNum w:abstractNumId="20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D3D0E02"/>
    <w:multiLevelType w:val="multilevel"/>
    <w:tmpl w:val="1B563932"/>
    <w:numStyleLink w:val="RKNumreradlista"/>
  </w:abstractNum>
  <w:abstractNum w:abstractNumId="22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270774A"/>
    <w:multiLevelType w:val="multilevel"/>
    <w:tmpl w:val="1B563932"/>
    <w:numStyleLink w:val="RKNumreradlista"/>
  </w:abstractNum>
  <w:abstractNum w:abstractNumId="24">
    <w:nsid w:val="4C84297C"/>
    <w:multiLevelType w:val="multilevel"/>
    <w:tmpl w:val="1B563932"/>
    <w:numStyleLink w:val="RKNumreradlista"/>
  </w:abstractNum>
  <w:abstractNum w:abstractNumId="25">
    <w:nsid w:val="4D904BDB"/>
    <w:multiLevelType w:val="multilevel"/>
    <w:tmpl w:val="1B563932"/>
    <w:numStyleLink w:val="RKNumreradlista"/>
  </w:abstractNum>
  <w:abstractNum w:abstractNumId="26">
    <w:nsid w:val="4DAD38FF"/>
    <w:multiLevelType w:val="multilevel"/>
    <w:tmpl w:val="1B563932"/>
    <w:numStyleLink w:val="RKNumreradlista"/>
  </w:abstractNum>
  <w:abstractNum w:abstractNumId="27">
    <w:nsid w:val="53A05A92"/>
    <w:multiLevelType w:val="multilevel"/>
    <w:tmpl w:val="1B563932"/>
    <w:numStyleLink w:val="RKNumreradlista"/>
  </w:abstractNum>
  <w:abstractNum w:abstractNumId="28">
    <w:nsid w:val="5C6843F9"/>
    <w:multiLevelType w:val="multilevel"/>
    <w:tmpl w:val="1A20A4CA"/>
    <w:numStyleLink w:val="RKPunktlista"/>
  </w:abstractNum>
  <w:abstractNum w:abstractNumId="29">
    <w:nsid w:val="61AC437A"/>
    <w:multiLevelType w:val="multilevel"/>
    <w:tmpl w:val="E2FEA49E"/>
    <w:numStyleLink w:val="RKNumreraderubriker"/>
  </w:abstractNum>
  <w:abstractNum w:abstractNumId="30">
    <w:nsid w:val="64780D1B"/>
    <w:multiLevelType w:val="multilevel"/>
    <w:tmpl w:val="1B563932"/>
    <w:numStyleLink w:val="RKNumreradlista"/>
  </w:abstractNum>
  <w:abstractNum w:abstractNumId="31">
    <w:nsid w:val="664239C2"/>
    <w:multiLevelType w:val="multilevel"/>
    <w:tmpl w:val="1A20A4CA"/>
    <w:numStyleLink w:val="RKPunktlista"/>
  </w:abstractNum>
  <w:abstractNum w:abstractNumId="32">
    <w:nsid w:val="6AA87A6A"/>
    <w:multiLevelType w:val="multilevel"/>
    <w:tmpl w:val="186C6512"/>
    <w:numStyleLink w:val="Strecklistan"/>
  </w:abstractNum>
  <w:abstractNum w:abstractNumId="33">
    <w:nsid w:val="6D8C68B4"/>
    <w:multiLevelType w:val="multilevel"/>
    <w:tmpl w:val="1B563932"/>
    <w:numStyleLink w:val="RKNumreradlista"/>
  </w:abstractNum>
  <w:abstractNum w:abstractNumId="34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B37CC"/>
    <w:multiLevelType w:val="hybridMultilevel"/>
    <w:tmpl w:val="B62405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66A28"/>
    <w:multiLevelType w:val="multilevel"/>
    <w:tmpl w:val="1A20A4CA"/>
    <w:numStyleLink w:val="RKPunktlista"/>
  </w:abstractNum>
  <w:abstractNum w:abstractNumId="37">
    <w:nsid w:val="76322898"/>
    <w:multiLevelType w:val="multilevel"/>
    <w:tmpl w:val="186C6512"/>
    <w:numStyleLink w:val="Strecklistan"/>
  </w:abstractNum>
  <w:num w:numId="1">
    <w:abstractNumId w:val="22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8"/>
  </w:num>
  <w:num w:numId="9">
    <w:abstractNumId w:val="9"/>
  </w:num>
  <w:num w:numId="10">
    <w:abstractNumId w:val="15"/>
  </w:num>
  <w:num w:numId="11">
    <w:abstractNumId w:val="19"/>
  </w:num>
  <w:num w:numId="12">
    <w:abstractNumId w:val="34"/>
  </w:num>
  <w:num w:numId="13">
    <w:abstractNumId w:val="27"/>
  </w:num>
  <w:num w:numId="14">
    <w:abstractNumId w:val="10"/>
  </w:num>
  <w:num w:numId="15">
    <w:abstractNumId w:val="7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"/>
  </w:num>
  <w:num w:numId="21">
    <w:abstractNumId w:val="17"/>
  </w:num>
  <w:num w:numId="22">
    <w:abstractNumId w:val="11"/>
  </w:num>
  <w:num w:numId="23">
    <w:abstractNumId w:val="24"/>
  </w:num>
  <w:num w:numId="24">
    <w:abstractNumId w:val="25"/>
  </w:num>
  <w:num w:numId="25">
    <w:abstractNumId w:val="36"/>
  </w:num>
  <w:num w:numId="26">
    <w:abstractNumId w:val="21"/>
  </w:num>
  <w:num w:numId="27">
    <w:abstractNumId w:val="32"/>
  </w:num>
  <w:num w:numId="28">
    <w:abstractNumId w:val="16"/>
  </w:num>
  <w:num w:numId="29">
    <w:abstractNumId w:val="14"/>
  </w:num>
  <w:num w:numId="30">
    <w:abstractNumId w:val="33"/>
  </w:num>
  <w:num w:numId="31">
    <w:abstractNumId w:val="13"/>
  </w:num>
  <w:num w:numId="32">
    <w:abstractNumId w:val="26"/>
  </w:num>
  <w:num w:numId="33">
    <w:abstractNumId w:val="30"/>
  </w:num>
  <w:num w:numId="34">
    <w:abstractNumId w:val="37"/>
  </w:num>
  <w:num w:numId="35">
    <w:abstractNumId w:val="23"/>
  </w:num>
  <w:num w:numId="36">
    <w:abstractNumId w:val="8"/>
  </w:num>
  <w:num w:numId="37">
    <w:abstractNumId w:val="35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EE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6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6EE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UD2022/03672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1d5bca41-7e8d-4b9b-95a3-c8bf0bc6eff8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F01E-EC95-401F-A2DD-2C1251C5977D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3244645B-09FD-4624-8838-8EE8942D2855}"/>
</file>

<file path=customXml/itemProps5.xml><?xml version="1.0" encoding="utf-8"?>
<ds:datastoreItem xmlns:ds="http://schemas.openxmlformats.org/officeDocument/2006/customXml" ds:itemID="{285BBA29-C471-4BD1-8043-943300A6F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1207 av Mats Nordberg (SD) Dnestrrepubliken och riskerna för Moldavien.docx</dc:title>
  <cp:revision>2</cp:revision>
  <cp:lastPrinted>2020-09-09T09:42:00Z</cp:lastPrinted>
  <dcterms:created xsi:type="dcterms:W3CDTF">2022-03-09T11:58:00Z</dcterms:created>
  <dcterms:modified xsi:type="dcterms:W3CDTF">2022-03-09T11:58:00Z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_dlc_DocIdItemGuid">
    <vt:lpwstr>924ed177-4fc0-4d6d-a914-395cc36d6ebf</vt:lpwstr>
  </property>
</Properties>
</file>