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DD0DCC8FCD44A718009D63B78320A70"/>
        </w:placeholder>
        <w:text/>
      </w:sdtPr>
      <w:sdtEndPr/>
      <w:sdtContent>
        <w:p w:rsidRPr="009B062B" w:rsidR="00AF30DD" w:rsidP="00DA28CE" w:rsidRDefault="00AF30DD" w14:paraId="210B1C6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d6102ce-1cd8-4e82-9e30-8b063fb4def5"/>
        <w:id w:val="939647392"/>
        <w:lock w:val="sdtLocked"/>
      </w:sdtPr>
      <w:sdtEndPr/>
      <w:sdtContent>
        <w:p w:rsidR="00FB2E65" w:rsidRDefault="003A59AD" w14:paraId="210B1C62" w14:textId="77777777">
          <w:pPr>
            <w:pStyle w:val="Frslagstext"/>
          </w:pPr>
          <w:r>
            <w:t>Riksdagen ställer sig bakom det som anförs i motionen om att stärka markägarperspektivet i minerallagstiftningen och tillkännager detta för regeringen.</w:t>
          </w:r>
        </w:p>
      </w:sdtContent>
    </w:sdt>
    <w:sdt>
      <w:sdtPr>
        <w:alias w:val="Yrkande 2"/>
        <w:tag w:val="be774c1a-bfd3-4531-8b05-511d56cd40aa"/>
        <w:id w:val="491002196"/>
        <w:lock w:val="sdtLocked"/>
      </w:sdtPr>
      <w:sdtEndPr/>
      <w:sdtContent>
        <w:p w:rsidR="00FB2E65" w:rsidRDefault="003A59AD" w14:paraId="210B1C63" w14:textId="77777777">
          <w:pPr>
            <w:pStyle w:val="Frslagstext"/>
          </w:pPr>
          <w:r>
            <w:t>Riksdagen ställer sig bakom det som anförs i motionen om att kommunalt veto införs mot prospektering och utvinning av mineraler i alunskiffer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176604FB9B441F499926F845A8CBA64"/>
        </w:placeholder>
        <w:text/>
      </w:sdtPr>
      <w:sdtEndPr/>
      <w:sdtContent>
        <w:p w:rsidRPr="009B062B" w:rsidR="006D79C9" w:rsidP="00333E95" w:rsidRDefault="006D79C9" w14:paraId="210B1C64" w14:textId="77777777">
          <w:pPr>
            <w:pStyle w:val="Rubrik1"/>
          </w:pPr>
          <w:r>
            <w:t>Motivering</w:t>
          </w:r>
        </w:p>
      </w:sdtContent>
    </w:sdt>
    <w:p w:rsidR="000D12EB" w:rsidP="008E0FE2" w:rsidRDefault="000D12EB" w14:paraId="210B1C65" w14:textId="4B780BF9">
      <w:pPr>
        <w:pStyle w:val="Normalutanindragellerluft"/>
      </w:pPr>
      <w:r>
        <w:t xml:space="preserve">I </w:t>
      </w:r>
      <w:r w:rsidRPr="000D12EB">
        <w:t xml:space="preserve">omställningen till en alltmer elektrifierad omvärld är </w:t>
      </w:r>
      <w:r>
        <w:t xml:space="preserve">mineralutvinning en absolut </w:t>
      </w:r>
      <w:r w:rsidRPr="000D12EB">
        <w:t>förutsättning, till exempel för att utvinna komponenter till batterier för elbilsdrift och</w:t>
      </w:r>
      <w:r>
        <w:t xml:space="preserve"> </w:t>
      </w:r>
      <w:r w:rsidRPr="000D12EB">
        <w:t xml:space="preserve">energilagring. </w:t>
      </w:r>
      <w:r>
        <w:t>Men s</w:t>
      </w:r>
      <w:r w:rsidRPr="000D12EB">
        <w:t xml:space="preserve">amtidigt som mineralnäringen är viktig för flera av Sveriges landsbygder så </w:t>
      </w:r>
      <w:r>
        <w:t>kan man</w:t>
      </w:r>
      <w:r w:rsidRPr="000D12EB">
        <w:t xml:space="preserve"> också konstatera att det i många delar av landet finn</w:t>
      </w:r>
      <w:r>
        <w:t>s en stor oro över den svaga</w:t>
      </w:r>
      <w:r w:rsidRPr="000D12EB">
        <w:t xml:space="preserve"> ställning och maktlöshet som många markägare upple</w:t>
      </w:r>
      <w:r>
        <w:t>ver att de har i samband med</w:t>
      </w:r>
      <w:r w:rsidRPr="000D12EB">
        <w:t xml:space="preserve"> undersökningstillstånd och prospektering. </w:t>
      </w:r>
      <w:r>
        <w:t xml:space="preserve">Detta har blivit tydligt inte minst på Österlen, där många markägare känt sig oroliga och maktlösa när </w:t>
      </w:r>
      <w:r w:rsidR="00A879D2">
        <w:t>gruvbolag fått undersökningstillstånd på stora arealer.</w:t>
      </w:r>
      <w:bookmarkStart w:name="_GoBack" w:id="1"/>
      <w:bookmarkEnd w:id="1"/>
    </w:p>
    <w:p w:rsidRPr="00F27EF8" w:rsidR="00422B9E" w:rsidP="00F27EF8" w:rsidRDefault="000D12EB" w14:paraId="210B1C67" w14:textId="50B5682A">
      <w:r w:rsidRPr="00F27EF8">
        <w:t xml:space="preserve">Äganderätten </w:t>
      </w:r>
      <w:r w:rsidR="00134297">
        <w:t xml:space="preserve">är </w:t>
      </w:r>
      <w:r w:rsidRPr="00F27EF8">
        <w:t>ett grundfundament i en fungerande demokrati och därför är det viktigt med en översyn av äganderätten, dels en generell översyn kopplat till den grundlags</w:t>
      </w:r>
      <w:r w:rsidR="00F27EF8">
        <w:softHyphen/>
      </w:r>
      <w:r w:rsidRPr="00F27EF8">
        <w:t xml:space="preserve">stadgade äganderätten vilket </w:t>
      </w:r>
      <w:r w:rsidR="0022710B">
        <w:t>r</w:t>
      </w:r>
      <w:r w:rsidRPr="00F27EF8">
        <w:t xml:space="preserve">iksdagen i juni tillkännagav för regeringen, </w:t>
      </w:r>
      <w:r w:rsidR="0022710B">
        <w:t>dels</w:t>
      </w:r>
      <w:r w:rsidRPr="00F27EF8">
        <w:t xml:space="preserve"> också specifikt kopplat till gruvnäringen till exempel vid undersökningstillstånd och prospektering där markägare idag beskriver en känsla av maktlöshet.</w:t>
      </w:r>
    </w:p>
    <w:p w:rsidR="000D12EB" w:rsidP="000D12EB" w:rsidRDefault="000D12EB" w14:paraId="210B1C69" w14:textId="106AF9F7">
      <w:r w:rsidRPr="000D12EB">
        <w:t xml:space="preserve">De företag som investerar i gruv- och mineralutvinning betalar </w:t>
      </w:r>
      <w:r>
        <w:t xml:space="preserve">skatt precis som alla andra </w:t>
      </w:r>
      <w:r w:rsidRPr="000D12EB">
        <w:t>företag i Sverige. Därutöver betalar företag</w:t>
      </w:r>
      <w:r>
        <w:t xml:space="preserve">en en mineralersättning till </w:t>
      </w:r>
      <w:r w:rsidRPr="000D12EB">
        <w:t xml:space="preserve">markägare och till staten. Som ett led i att stärka äganderätten </w:t>
      </w:r>
      <w:r>
        <w:t>bör</w:t>
      </w:r>
      <w:r w:rsidRPr="000D12EB">
        <w:t xml:space="preserve"> mineralavgiften</w:t>
      </w:r>
      <w:r>
        <w:t xml:space="preserve"> ses över</w:t>
      </w:r>
      <w:r w:rsidRPr="000D12EB">
        <w:t xml:space="preserve"> i syfte att den i framtiden helt ska tillfalla markägaren. Det är vik</w:t>
      </w:r>
      <w:r>
        <w:t xml:space="preserve">tigt att säkerställa att de </w:t>
      </w:r>
      <w:r w:rsidRPr="000D12EB">
        <w:t>förändringar som gjorts i minerallagstiftningen för att ge</w:t>
      </w:r>
      <w:r>
        <w:t xml:space="preserve"> markägarna utökad rätt till</w:t>
      </w:r>
      <w:r w:rsidRPr="000D12EB">
        <w:t xml:space="preserve"> information och samråd efterlevs. Minerallagstiftningen be</w:t>
      </w:r>
      <w:r>
        <w:t>höver skärpas i syfte att ge</w:t>
      </w:r>
      <w:r w:rsidRPr="000D12EB">
        <w:t xml:space="preserve"> markägaren ett utökat skydd vid mineralprospektering.</w:t>
      </w:r>
      <w:r>
        <w:t xml:space="preserve"> Det kan handla om t ex att </w:t>
      </w:r>
      <w:r>
        <w:lastRenderedPageBreak/>
        <w:t>markägaren får en viss intrångsersättning redan när undersökningstillstånd ges, eller att markägaren får ersättning inte bara för skada vid prospektering utan även för det intrång som en provborrning innebär.</w:t>
      </w:r>
    </w:p>
    <w:p w:rsidRPr="000D12EB" w:rsidR="000D12EB" w:rsidP="000D12EB" w:rsidRDefault="000D12EB" w14:paraId="210B1C6B" w14:textId="77777777">
      <w:r>
        <w:t>För att ytterligare stärka den lokala beslutsmakten över frågor med så stor påverkan som en gruvetablering så bör möjligheten till ett kommunalt veto mot prospektering och utvinning av mineraler i alunskiffer införas.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2E7973EFE164206BE832BC83DC30281"/>
        </w:placeholder>
      </w:sdtPr>
      <w:sdtEndPr>
        <w:rPr>
          <w:i w:val="0"/>
          <w:noProof w:val="0"/>
        </w:rPr>
      </w:sdtEndPr>
      <w:sdtContent>
        <w:p w:rsidR="00E34553" w:rsidP="00E34553" w:rsidRDefault="00E34553" w14:paraId="210B1C6D" w14:textId="77777777"/>
        <w:p w:rsidRPr="008E0FE2" w:rsidR="004801AC" w:rsidP="00E34553" w:rsidRDefault="00C553EA" w14:paraId="210B1C6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Kristina Yngwe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Sofia Nilsson (C)</w:t>
            </w:r>
          </w:p>
        </w:tc>
      </w:tr>
    </w:tbl>
    <w:p w:rsidR="00321D0A" w:rsidRDefault="00321D0A" w14:paraId="210B1C72" w14:textId="77777777"/>
    <w:sectPr w:rsidR="00321D0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0B1C74" w14:textId="77777777" w:rsidR="00AF7A73" w:rsidRDefault="00AF7A73" w:rsidP="000C1CAD">
      <w:pPr>
        <w:spacing w:line="240" w:lineRule="auto"/>
      </w:pPr>
      <w:r>
        <w:separator/>
      </w:r>
    </w:p>
  </w:endnote>
  <w:endnote w:type="continuationSeparator" w:id="0">
    <w:p w14:paraId="210B1C75" w14:textId="77777777" w:rsidR="00AF7A73" w:rsidRDefault="00AF7A7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B1C7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B1C7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34553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B1C83" w14:textId="77777777" w:rsidR="00262EA3" w:rsidRPr="00E34553" w:rsidRDefault="00262EA3" w:rsidP="00E3455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0B1C72" w14:textId="77777777" w:rsidR="00AF7A73" w:rsidRDefault="00AF7A73" w:rsidP="000C1CAD">
      <w:pPr>
        <w:spacing w:line="240" w:lineRule="auto"/>
      </w:pPr>
      <w:r>
        <w:separator/>
      </w:r>
    </w:p>
  </w:footnote>
  <w:footnote w:type="continuationSeparator" w:id="0">
    <w:p w14:paraId="210B1C73" w14:textId="77777777" w:rsidR="00AF7A73" w:rsidRDefault="00AF7A7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10B1C7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10B1C85" wp14:anchorId="210B1C8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553EA" w14:paraId="210B1C8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1698C39E2AE40188D2B4AC79ECE7A72"/>
                              </w:placeholder>
                              <w:text/>
                            </w:sdtPr>
                            <w:sdtEndPr/>
                            <w:sdtContent>
                              <w:r w:rsidR="000D12EB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E8C2AC549A5409EA814455DD01B075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10B1C8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81C9F" w14:paraId="210B1C8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1698C39E2AE40188D2B4AC79ECE7A72"/>
                        </w:placeholder>
                        <w:text/>
                      </w:sdtPr>
                      <w:sdtEndPr/>
                      <w:sdtContent>
                        <w:r w:rsidR="000D12EB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E8C2AC549A5409EA814455DD01B0750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10B1C7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10B1C78" w14:textId="77777777">
    <w:pPr>
      <w:jc w:val="right"/>
    </w:pPr>
  </w:p>
  <w:p w:rsidR="00262EA3" w:rsidP="00776B74" w:rsidRDefault="00262EA3" w14:paraId="210B1C7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553EA" w14:paraId="210B1C7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10B1C87" wp14:anchorId="210B1C8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553EA" w14:paraId="210B1C7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D12EB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C553EA" w14:paraId="210B1C7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553EA" w14:paraId="210B1C7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:2531</w:t>
        </w:r>
      </w:sdtContent>
    </w:sdt>
  </w:p>
  <w:p w:rsidR="00262EA3" w:rsidP="00E03A3D" w:rsidRDefault="00C553EA" w14:paraId="210B1C8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Kristina Yngwe och Sofia Nilsson (båda 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879D2" w14:paraId="210B1C81" w14:textId="77777777">
        <w:pPr>
          <w:pStyle w:val="FSHRub2"/>
        </w:pPr>
        <w:r>
          <w:t>Stärkt äganderätt i minerallagstiftningen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10B1C8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0D12E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2E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297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0BED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4D10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2710B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1C9F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1D0A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77DE9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59AD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1CC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1D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79D2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A73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3E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553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25B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27EF8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422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2E65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E2A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10B1C60"/>
  <w15:chartTrackingRefBased/>
  <w15:docId w15:val="{4F2BD1E2-4409-4996-A8CA-3C20EE98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DD0DCC8FCD44A718009D63B78320A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126ABE-E713-4323-AF62-B4E11943505A}"/>
      </w:docPartPr>
      <w:docPartBody>
        <w:p w:rsidR="00DD0D0D" w:rsidRDefault="00A13B24">
          <w:pPr>
            <w:pStyle w:val="3DD0DCC8FCD44A718009D63B78320A7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176604FB9B441F499926F845A8CBA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5C358D-5B12-4399-8B4B-05A210F51272}"/>
      </w:docPartPr>
      <w:docPartBody>
        <w:p w:rsidR="00DD0D0D" w:rsidRDefault="00A13B24">
          <w:pPr>
            <w:pStyle w:val="3176604FB9B441F499926F845A8CBA6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1698C39E2AE40188D2B4AC79ECE7A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5B89FA-F722-4929-AC3E-220C55AA1391}"/>
      </w:docPartPr>
      <w:docPartBody>
        <w:p w:rsidR="00DD0D0D" w:rsidRDefault="00A13B24">
          <w:pPr>
            <w:pStyle w:val="C1698C39E2AE40188D2B4AC79ECE7A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E8C2AC549A5409EA814455DD01B07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73AC34-2B6E-49A1-9A0D-34593E481C60}"/>
      </w:docPartPr>
      <w:docPartBody>
        <w:p w:rsidR="00DD0D0D" w:rsidRDefault="00A13B24">
          <w:pPr>
            <w:pStyle w:val="FE8C2AC549A5409EA814455DD01B0750"/>
          </w:pPr>
          <w:r>
            <w:t xml:space="preserve"> </w:t>
          </w:r>
        </w:p>
      </w:docPartBody>
    </w:docPart>
    <w:docPart>
      <w:docPartPr>
        <w:name w:val="A2E7973EFE164206BE832BC83DC302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0F6BFB-326B-4C83-8EBE-C3585B0AB125}"/>
      </w:docPartPr>
      <w:docPartBody>
        <w:p w:rsidR="002E45A9" w:rsidRDefault="002E45A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B24"/>
    <w:rsid w:val="00196D24"/>
    <w:rsid w:val="002E45A9"/>
    <w:rsid w:val="006E76B3"/>
    <w:rsid w:val="00A13B24"/>
    <w:rsid w:val="00DD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96D24"/>
    <w:rPr>
      <w:color w:val="F4B083" w:themeColor="accent2" w:themeTint="99"/>
    </w:rPr>
  </w:style>
  <w:style w:type="paragraph" w:customStyle="1" w:styleId="3DD0DCC8FCD44A718009D63B78320A70">
    <w:name w:val="3DD0DCC8FCD44A718009D63B78320A70"/>
  </w:style>
  <w:style w:type="paragraph" w:customStyle="1" w:styleId="B255065949414873A82AE000B0BE1612">
    <w:name w:val="B255065949414873A82AE000B0BE161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3E90A08FE494AF8872F82F6080C9362">
    <w:name w:val="63E90A08FE494AF8872F82F6080C9362"/>
  </w:style>
  <w:style w:type="paragraph" w:customStyle="1" w:styleId="3176604FB9B441F499926F845A8CBA64">
    <w:name w:val="3176604FB9B441F499926F845A8CBA64"/>
  </w:style>
  <w:style w:type="paragraph" w:customStyle="1" w:styleId="861DB2DFE5D044D5B7CAD89DCB3B0ECF">
    <w:name w:val="861DB2DFE5D044D5B7CAD89DCB3B0ECF"/>
  </w:style>
  <w:style w:type="paragraph" w:customStyle="1" w:styleId="9C2C9B8FB79346D3B41C1B42ACB5AC58">
    <w:name w:val="9C2C9B8FB79346D3B41C1B42ACB5AC58"/>
  </w:style>
  <w:style w:type="paragraph" w:customStyle="1" w:styleId="C1698C39E2AE40188D2B4AC79ECE7A72">
    <w:name w:val="C1698C39E2AE40188D2B4AC79ECE7A72"/>
  </w:style>
  <w:style w:type="paragraph" w:customStyle="1" w:styleId="FE8C2AC549A5409EA814455DD01B0750">
    <w:name w:val="FE8C2AC549A5409EA814455DD01B07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49A8D8-AF92-413F-A070-3095AA5C1974}"/>
</file>

<file path=customXml/itemProps2.xml><?xml version="1.0" encoding="utf-8"?>
<ds:datastoreItem xmlns:ds="http://schemas.openxmlformats.org/officeDocument/2006/customXml" ds:itemID="{C6E960E4-00F5-4AD5-9E4D-9224D0EB777F}"/>
</file>

<file path=customXml/itemProps3.xml><?xml version="1.0" encoding="utf-8"?>
<ds:datastoreItem xmlns:ds="http://schemas.openxmlformats.org/officeDocument/2006/customXml" ds:itemID="{B6096BF9-D4DB-4248-A153-85B58EF000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359</Words>
  <Characters>2148</Characters>
  <Application>Microsoft Office Word</Application>
  <DocSecurity>0</DocSecurity>
  <Lines>37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Stärkt äganderätt i minerallagstiftningen</vt:lpstr>
      <vt:lpstr>
      </vt:lpstr>
    </vt:vector>
  </TitlesOfParts>
  <Company>Sveriges riksdag</Company>
  <LinksUpToDate>false</LinksUpToDate>
  <CharactersWithSpaces>2496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