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8F5" w:rsidRPr="001F78F5" w:rsidRDefault="001F78F5">
      <w:pPr>
        <w:pStyle w:val="Frslagsrubrik"/>
      </w:pPr>
      <w:r w:rsidRPr="001F78F5">
        <w:t>Förslag till riksdagsbeslut</w:t>
      </w:r>
    </w:p>
    <w:p w:rsidR="001F78F5" w:rsidRPr="001F78F5" w:rsidRDefault="001F78F5">
      <w:pPr>
        <w:pStyle w:val="Hemstlatt"/>
        <w:numPr>
          <w:ilvl w:val="0"/>
          <w:numId w:val="1"/>
        </w:numPr>
      </w:pPr>
      <w:r w:rsidRPr="001F78F5">
        <w:t>Riksdagen anvisar med följande ändringar i förhållande till regeringens förslag anslagen 2011 under utgiftsomr</w:t>
      </w:r>
      <w:r w:rsidRPr="001F78F5">
        <w:t>å</w:t>
      </w:r>
      <w:r w:rsidRPr="001F78F5">
        <w:t>de 9 Hälsovård, sjukvård och social omsorg enligt uppstäl</w:t>
      </w:r>
      <w:r w:rsidRPr="001F78F5">
        <w:t>l</w:t>
      </w:r>
      <w:r w:rsidRPr="001F78F5">
        <w:t>ning:</w:t>
      </w:r>
    </w:p>
    <w:tbl>
      <w:tblPr>
        <w:tblW w:w="5954" w:type="dxa"/>
        <w:tblInd w:w="55" w:type="dxa"/>
        <w:tblLayout w:type="fixed"/>
        <w:tblCellMar>
          <w:left w:w="70" w:type="dxa"/>
          <w:right w:w="70" w:type="dxa"/>
        </w:tblCellMar>
        <w:tblLook w:val="0000" w:firstRow="0" w:lastRow="0" w:firstColumn="0" w:lastColumn="0" w:noHBand="0" w:noVBand="0"/>
      </w:tblPr>
      <w:tblGrid>
        <w:gridCol w:w="560"/>
        <w:gridCol w:w="2095"/>
        <w:gridCol w:w="1920"/>
        <w:gridCol w:w="1379"/>
      </w:tblGrid>
      <w:tr w:rsidR="00000000" w:rsidRPr="001F78F5">
        <w:tc>
          <w:tcPr>
            <w:tcW w:w="560" w:type="dxa"/>
            <w:tcBorders>
              <w:top w:val="single" w:sz="4" w:space="0" w:color="auto"/>
              <w:left w:val="nil"/>
              <w:bottom w:val="single" w:sz="4" w:space="0" w:color="auto"/>
              <w:right w:val="nil"/>
            </w:tcBorders>
            <w:noWrap/>
          </w:tcPr>
          <w:p w:rsidR="001F78F5" w:rsidRPr="001F78F5" w:rsidRDefault="001F78F5">
            <w:pPr>
              <w:spacing w:before="60" w:line="200" w:lineRule="exact"/>
              <w:jc w:val="center"/>
              <w:rPr>
                <w:b/>
                <w:bCs/>
                <w:sz w:val="16"/>
                <w:szCs w:val="16"/>
              </w:rPr>
            </w:pPr>
            <w:r w:rsidRPr="001F78F5">
              <w:rPr>
                <w:b/>
                <w:bCs/>
                <w:sz w:val="16"/>
                <w:szCs w:val="16"/>
              </w:rPr>
              <w:t> </w:t>
            </w:r>
          </w:p>
        </w:tc>
        <w:tc>
          <w:tcPr>
            <w:tcW w:w="2095" w:type="dxa"/>
            <w:tcBorders>
              <w:top w:val="single" w:sz="4" w:space="0" w:color="auto"/>
              <w:left w:val="nil"/>
              <w:bottom w:val="single" w:sz="4" w:space="0" w:color="auto"/>
              <w:right w:val="nil"/>
            </w:tcBorders>
          </w:tcPr>
          <w:p w:rsidR="001F78F5" w:rsidRPr="001F78F5" w:rsidRDefault="001F78F5">
            <w:pPr>
              <w:spacing w:before="60" w:line="200" w:lineRule="exact"/>
              <w:rPr>
                <w:b/>
                <w:bCs/>
                <w:sz w:val="16"/>
                <w:szCs w:val="16"/>
              </w:rPr>
            </w:pPr>
            <w:r w:rsidRPr="001F78F5">
              <w:rPr>
                <w:b/>
                <w:bCs/>
                <w:sz w:val="16"/>
                <w:szCs w:val="16"/>
              </w:rPr>
              <w:t> Anslag</w:t>
            </w:r>
          </w:p>
        </w:tc>
        <w:tc>
          <w:tcPr>
            <w:tcW w:w="1920" w:type="dxa"/>
            <w:tcBorders>
              <w:top w:val="single" w:sz="4" w:space="0" w:color="auto"/>
              <w:left w:val="nil"/>
              <w:bottom w:val="single" w:sz="4" w:space="0" w:color="auto"/>
              <w:right w:val="nil"/>
            </w:tcBorders>
          </w:tcPr>
          <w:p w:rsidR="001F78F5" w:rsidRPr="001F78F5" w:rsidRDefault="001F78F5">
            <w:pPr>
              <w:spacing w:before="60" w:line="200" w:lineRule="exact"/>
              <w:jc w:val="right"/>
              <w:rPr>
                <w:b/>
                <w:bCs/>
                <w:sz w:val="16"/>
                <w:szCs w:val="16"/>
              </w:rPr>
            </w:pPr>
            <w:r w:rsidRPr="001F78F5">
              <w:rPr>
                <w:b/>
                <w:bCs/>
                <w:sz w:val="16"/>
                <w:szCs w:val="16"/>
              </w:rPr>
              <w:t>Regeringens förslag (tkr)</w:t>
            </w:r>
          </w:p>
        </w:tc>
        <w:tc>
          <w:tcPr>
            <w:tcW w:w="1379" w:type="dxa"/>
            <w:tcBorders>
              <w:top w:val="single" w:sz="4" w:space="0" w:color="auto"/>
              <w:left w:val="nil"/>
              <w:bottom w:val="single" w:sz="4" w:space="0" w:color="auto"/>
              <w:right w:val="nil"/>
            </w:tcBorders>
            <w:noWrap/>
          </w:tcPr>
          <w:p w:rsidR="001F78F5" w:rsidRPr="001F78F5" w:rsidRDefault="001F78F5">
            <w:pPr>
              <w:spacing w:before="60" w:line="200" w:lineRule="exact"/>
              <w:jc w:val="right"/>
              <w:rPr>
                <w:b/>
                <w:bCs/>
                <w:sz w:val="16"/>
                <w:szCs w:val="16"/>
              </w:rPr>
            </w:pPr>
            <w:r w:rsidRPr="001F78F5">
              <w:rPr>
                <w:b/>
                <w:bCs/>
                <w:sz w:val="16"/>
                <w:szCs w:val="16"/>
              </w:rPr>
              <w:t>Förändring (tkr)</w:t>
            </w:r>
          </w:p>
        </w:tc>
      </w:tr>
      <w:tr w:rsidR="00000000" w:rsidRPr="001F78F5">
        <w:tc>
          <w:tcPr>
            <w:tcW w:w="560" w:type="dxa"/>
            <w:tcBorders>
              <w:top w:val="nil"/>
              <w:left w:val="nil"/>
              <w:bottom w:val="nil"/>
              <w:right w:val="nil"/>
            </w:tcBorders>
            <w:noWrap/>
          </w:tcPr>
          <w:p w:rsidR="001F78F5" w:rsidRPr="001F78F5" w:rsidRDefault="001F78F5">
            <w:pPr>
              <w:spacing w:before="60" w:line="200" w:lineRule="exact"/>
              <w:rPr>
                <w:sz w:val="16"/>
                <w:szCs w:val="16"/>
              </w:rPr>
            </w:pPr>
            <w:r w:rsidRPr="001F78F5">
              <w:rPr>
                <w:sz w:val="16"/>
                <w:szCs w:val="16"/>
              </w:rPr>
              <w:t>5:1</w:t>
            </w:r>
          </w:p>
        </w:tc>
        <w:tc>
          <w:tcPr>
            <w:tcW w:w="2095" w:type="dxa"/>
            <w:tcBorders>
              <w:top w:val="nil"/>
              <w:left w:val="nil"/>
              <w:bottom w:val="nil"/>
              <w:right w:val="nil"/>
            </w:tcBorders>
          </w:tcPr>
          <w:p w:rsidR="001F78F5" w:rsidRPr="001F78F5" w:rsidRDefault="001F78F5">
            <w:pPr>
              <w:spacing w:before="60" w:line="200" w:lineRule="exact"/>
              <w:rPr>
                <w:sz w:val="16"/>
                <w:szCs w:val="16"/>
              </w:rPr>
            </w:pPr>
            <w:r w:rsidRPr="001F78F5">
              <w:rPr>
                <w:sz w:val="16"/>
                <w:szCs w:val="16"/>
              </w:rPr>
              <w:t>Stimulansbidrag och åtgärder inom äldrepolitiken</w:t>
            </w:r>
          </w:p>
        </w:tc>
        <w:tc>
          <w:tcPr>
            <w:tcW w:w="1920" w:type="dxa"/>
            <w:tcBorders>
              <w:top w:val="nil"/>
              <w:left w:val="nil"/>
              <w:bottom w:val="nil"/>
              <w:right w:val="nil"/>
            </w:tcBorders>
            <w:noWrap/>
            <w:vAlign w:val="bottom"/>
          </w:tcPr>
          <w:p w:rsidR="001F78F5" w:rsidRPr="001F78F5" w:rsidRDefault="001F78F5">
            <w:pPr>
              <w:spacing w:before="60" w:line="200" w:lineRule="exact"/>
              <w:jc w:val="right"/>
              <w:rPr>
                <w:sz w:val="16"/>
                <w:szCs w:val="16"/>
              </w:rPr>
            </w:pPr>
            <w:r w:rsidRPr="001F78F5">
              <w:rPr>
                <w:sz w:val="16"/>
                <w:szCs w:val="16"/>
              </w:rPr>
              <w:t>1 906 730</w:t>
            </w:r>
          </w:p>
        </w:tc>
        <w:tc>
          <w:tcPr>
            <w:tcW w:w="1379" w:type="dxa"/>
            <w:tcBorders>
              <w:top w:val="nil"/>
              <w:left w:val="nil"/>
              <w:bottom w:val="nil"/>
              <w:right w:val="nil"/>
            </w:tcBorders>
            <w:noWrap/>
            <w:vAlign w:val="bottom"/>
          </w:tcPr>
          <w:p w:rsidR="001F78F5" w:rsidRPr="001F78F5" w:rsidRDefault="001F78F5">
            <w:pPr>
              <w:spacing w:before="60" w:line="200" w:lineRule="exact"/>
              <w:jc w:val="right"/>
              <w:rPr>
                <w:sz w:val="16"/>
                <w:szCs w:val="16"/>
              </w:rPr>
            </w:pPr>
            <w:r w:rsidRPr="001F78F5">
              <w:rPr>
                <w:sz w:val="16"/>
                <w:szCs w:val="16"/>
              </w:rPr>
              <w:t>–35 000</w:t>
            </w:r>
          </w:p>
        </w:tc>
      </w:tr>
      <w:tr w:rsidR="00000000" w:rsidRPr="001F78F5">
        <w:tc>
          <w:tcPr>
            <w:tcW w:w="560" w:type="dxa"/>
            <w:tcBorders>
              <w:top w:val="nil"/>
              <w:left w:val="nil"/>
              <w:bottom w:val="single" w:sz="4" w:space="0" w:color="auto"/>
              <w:right w:val="nil"/>
            </w:tcBorders>
            <w:noWrap/>
            <w:vAlign w:val="bottom"/>
          </w:tcPr>
          <w:p w:rsidR="001F78F5" w:rsidRPr="001F78F5" w:rsidRDefault="001F78F5">
            <w:pPr>
              <w:spacing w:before="60" w:line="200" w:lineRule="exact"/>
              <w:rPr>
                <w:sz w:val="16"/>
                <w:szCs w:val="16"/>
              </w:rPr>
            </w:pPr>
          </w:p>
        </w:tc>
        <w:tc>
          <w:tcPr>
            <w:tcW w:w="2095" w:type="dxa"/>
            <w:tcBorders>
              <w:top w:val="nil"/>
              <w:left w:val="nil"/>
              <w:bottom w:val="single" w:sz="4" w:space="0" w:color="auto"/>
              <w:right w:val="nil"/>
            </w:tcBorders>
            <w:vAlign w:val="bottom"/>
          </w:tcPr>
          <w:p w:rsidR="001F78F5" w:rsidRPr="001F78F5" w:rsidRDefault="001F78F5">
            <w:pPr>
              <w:spacing w:before="60" w:line="200" w:lineRule="exact"/>
              <w:rPr>
                <w:b/>
                <w:bCs/>
                <w:sz w:val="16"/>
                <w:szCs w:val="16"/>
              </w:rPr>
            </w:pPr>
            <w:r w:rsidRPr="001F78F5">
              <w:rPr>
                <w:b/>
                <w:bCs/>
                <w:sz w:val="16"/>
                <w:szCs w:val="16"/>
              </w:rPr>
              <w:t>Summa</w:t>
            </w:r>
          </w:p>
        </w:tc>
        <w:tc>
          <w:tcPr>
            <w:tcW w:w="1920" w:type="dxa"/>
            <w:tcBorders>
              <w:top w:val="nil"/>
              <w:left w:val="nil"/>
              <w:bottom w:val="single" w:sz="4" w:space="0" w:color="auto"/>
              <w:right w:val="nil"/>
            </w:tcBorders>
            <w:noWrap/>
            <w:vAlign w:val="center"/>
          </w:tcPr>
          <w:p w:rsidR="001F78F5" w:rsidRPr="001F78F5" w:rsidRDefault="001F78F5">
            <w:pPr>
              <w:spacing w:before="60" w:line="200" w:lineRule="exact"/>
              <w:jc w:val="right"/>
              <w:rPr>
                <w:b/>
                <w:bCs/>
                <w:sz w:val="16"/>
                <w:szCs w:val="16"/>
              </w:rPr>
            </w:pPr>
          </w:p>
        </w:tc>
        <w:tc>
          <w:tcPr>
            <w:tcW w:w="1379" w:type="dxa"/>
            <w:tcBorders>
              <w:top w:val="nil"/>
              <w:left w:val="nil"/>
              <w:bottom w:val="single" w:sz="4" w:space="0" w:color="auto"/>
              <w:right w:val="nil"/>
            </w:tcBorders>
            <w:noWrap/>
            <w:vAlign w:val="bottom"/>
          </w:tcPr>
          <w:p w:rsidR="001F78F5" w:rsidRPr="001F78F5" w:rsidRDefault="001F78F5">
            <w:pPr>
              <w:spacing w:before="60" w:line="200" w:lineRule="exact"/>
              <w:jc w:val="right"/>
              <w:rPr>
                <w:b/>
                <w:bCs/>
                <w:sz w:val="16"/>
                <w:szCs w:val="16"/>
              </w:rPr>
            </w:pPr>
            <w:r w:rsidRPr="001F78F5">
              <w:rPr>
                <w:b/>
                <w:bCs/>
                <w:sz w:val="16"/>
                <w:szCs w:val="16"/>
              </w:rPr>
              <w:t>–35 000</w:t>
            </w:r>
          </w:p>
        </w:tc>
      </w:tr>
    </w:tbl>
    <w:p w:rsidR="001F78F5" w:rsidRPr="001F78F5" w:rsidRDefault="001F78F5">
      <w:pPr>
        <w:pStyle w:val="Hemstlatt"/>
        <w:numPr>
          <w:ilvl w:val="0"/>
          <w:numId w:val="1"/>
        </w:numPr>
      </w:pPr>
      <w:r w:rsidRPr="001F78F5">
        <w:t>Riksdagen tillkännager för regeringen som sin mening vad som anförs i motionen om en vård i världsklass och om en ökad liv</w:t>
      </w:r>
      <w:r w:rsidRPr="001F78F5">
        <w:t>s</w:t>
      </w:r>
      <w:r w:rsidRPr="001F78F5">
        <w:t>kvalitet för äldre.</w:t>
      </w:r>
    </w:p>
    <w:p w:rsidR="001F78F5" w:rsidRPr="001F78F5" w:rsidRDefault="001F78F5">
      <w:pPr>
        <w:pStyle w:val="Rubrik1"/>
      </w:pPr>
      <w:r w:rsidRPr="001F78F5">
        <w:t>Vård i världsklass</w:t>
      </w:r>
    </w:p>
    <w:p w:rsidR="001F78F5" w:rsidRPr="001F78F5" w:rsidRDefault="001F78F5">
      <w:r w:rsidRPr="001F78F5">
        <w:t xml:space="preserve">Alla har rätt till en god sjukvård. Den som har haft möjlighet att teckna en privat sjukvårdsförsäkring ska inte kunna gå före i kön. Vi vill lagstifta om att alla ska få vård efter behov – oavsett inkomst, var man bor, vilket kön man har, etnisk tillhörighet eller sexuell läggning. </w:t>
      </w:r>
    </w:p>
    <w:p w:rsidR="001F78F5" w:rsidRPr="001F78F5" w:rsidRDefault="001F78F5">
      <w:pPr>
        <w:pStyle w:val="Normaltindrag"/>
      </w:pPr>
      <w:r w:rsidRPr="001F78F5">
        <w:t>Den fria etableringsrätten ska rivas upp. Det så kallade vårdvalet ska ersä</w:t>
      </w:r>
      <w:r w:rsidRPr="001F78F5">
        <w:t>t</w:t>
      </w:r>
      <w:r w:rsidRPr="001F78F5">
        <w:t>tas av ett hälsoval så att vårdens resurser går dit där de mest behövs och det hälsofrämjande arbetet förbättras. Alla patienter ska kunna välja vårdcentral – men vårdbolagen ska inte kunna välja patienter. Inga universitets- eller reg</w:t>
      </w:r>
      <w:r w:rsidRPr="001F78F5">
        <w:t>i</w:t>
      </w:r>
      <w:r w:rsidRPr="001F78F5">
        <w:t xml:space="preserve">onsjukhus ska säljas ut. </w:t>
      </w:r>
    </w:p>
    <w:p w:rsidR="001F78F5" w:rsidRPr="001F78F5" w:rsidRDefault="001F78F5">
      <w:pPr>
        <w:pStyle w:val="Normaltindrag"/>
      </w:pPr>
      <w:r w:rsidRPr="001F78F5">
        <w:t xml:space="preserve">Vi vill främja folkhälsan. Kraftfulla insatser ska göras för att minska över- och felanvändning av läkemedel. Tillgängligheten i sjukvården ska förbättras genom till exempel fler hemläkarbilar för barn och äldre, fler närakuter och fler kvällsöppna </w:t>
      </w:r>
      <w:r w:rsidRPr="001F78F5">
        <w:t xml:space="preserve">vårdcentraler. Satsningar på bättre kvalitet och tillgänglighet i sjukvården ska gå före fortsatta skattesänkningar. Om det finns utrymme för </w:t>
      </w:r>
      <w:r w:rsidRPr="001F78F5">
        <w:lastRenderedPageBreak/>
        <w:t>ytterligare reformer under mandatperioden vill vi förbättra tandvården för unga genom att höja dagens åldersgräns för avgiftsfri tandvård från 19 till 24 år. Vi vill också genomföra en satsning på förbättrad tandvård för äldre.</w:t>
      </w:r>
    </w:p>
    <w:p w:rsidR="001F78F5" w:rsidRPr="001F78F5" w:rsidRDefault="001F78F5">
      <w:pPr>
        <w:pStyle w:val="Rubrik1"/>
      </w:pPr>
      <w:r w:rsidRPr="001F78F5">
        <w:t>Ökad livskvalitet för äldre</w:t>
      </w:r>
    </w:p>
    <w:p w:rsidR="001F78F5" w:rsidRPr="001F78F5" w:rsidRDefault="001F78F5">
      <w:r w:rsidRPr="001F78F5">
        <w:t xml:space="preserve">Vi vill att tryggheten, friheten och livskvaliteten för äldre ska stärkas. Verklig valfrihet ska gälla i vardagen för dem som använder äldreomsorgen. Det handlar om att själv varje dag ha ett stort inflytande över vad man får hjälp med, hur hjälpen utförs och när insatsen görs. För att fler ska kunna anställas i äldreomsorgen ska kommunerna ges tillräckliga resurser. Vi vill att äldre med rätt till hemtjänst eller boende på äldreboende ska få möjlighet till ett rikare liv. </w:t>
      </w:r>
    </w:p>
    <w:p w:rsidR="001F78F5" w:rsidRPr="001F78F5" w:rsidRDefault="001F78F5">
      <w:pPr>
        <w:pStyle w:val="Normaltindrag"/>
      </w:pPr>
      <w:r w:rsidRPr="001F78F5">
        <w:t>Vi vill också införa en stimulans till kommunerna för fria timmar redan 2011. Dessa timmar ska de äldre kunna använda som de själva vill. Det kan handla om en extra promenad i friska luften eller ett teater- eller restauran</w:t>
      </w:r>
      <w:r w:rsidRPr="001F78F5">
        <w:t>g</w:t>
      </w:r>
      <w:r w:rsidRPr="001F78F5">
        <w:t xml:space="preserve">besök. Äldre ska kunna bestämma om de vill fortsätta att bo tillsammans – genom en parbogaranti. </w:t>
      </w:r>
    </w:p>
    <w:p w:rsidR="001F78F5" w:rsidRPr="001F78F5" w:rsidRDefault="001F78F5">
      <w:pPr>
        <w:pStyle w:val="Normaltindrag"/>
      </w:pPr>
      <w:r w:rsidRPr="001F78F5">
        <w:t>Vi vill också införa ett maxtak på 100 kronor för timavgiften i hemtjän</w:t>
      </w:r>
      <w:r w:rsidRPr="001F78F5">
        <w:t>s</w:t>
      </w:r>
      <w:r w:rsidRPr="001F78F5">
        <w:t>ten. Detta som ett komplement till dagens maxtaxa i äldreomsorgen. Vi vill också att stimulera kommunerna att erbjuda äldre omsorg på andra språk än svenska. För att skapa bättre ekonomisk trygghet för dem med små margin</w:t>
      </w:r>
      <w:r w:rsidRPr="001F78F5">
        <w:t>a</w:t>
      </w:r>
      <w:r w:rsidRPr="001F78F5">
        <w:t>ler vill vi förbättra bostadstillägget för pensionärer och förtidspensionärer.</w:t>
      </w:r>
    </w:p>
    <w:p w:rsidR="001F78F5" w:rsidRPr="001F78F5" w:rsidRDefault="001F78F5">
      <w:pPr>
        <w:pStyle w:val="Rubrik1"/>
      </w:pPr>
      <w:r w:rsidRPr="001F78F5">
        <w:t>Anslagsförändringar</w:t>
      </w:r>
    </w:p>
    <w:p w:rsidR="001F78F5" w:rsidRPr="001F78F5" w:rsidRDefault="001F78F5">
      <w:r w:rsidRPr="001F78F5">
        <w:t>Vi rödgröna partier föreslår mer resurser än regeringen till kommunsektorn (se utg.omr. 25). En betydande del av dessa tillfaller landstingen och sjukvå</w:t>
      </w:r>
      <w:r w:rsidRPr="001F78F5">
        <w:t>r</w:t>
      </w:r>
      <w:r w:rsidRPr="001F78F5">
        <w:t>den och möjliggör investeringar i bättre kvalitet och tillgänglighet. Vi vill tillföra äldreomsorgen mer resurser för bättre mat, enklare prövning till he</w:t>
      </w:r>
      <w:r w:rsidRPr="001F78F5">
        <w:t>m</w:t>
      </w:r>
      <w:r w:rsidRPr="001F78F5">
        <w:t>tjänst och guldkant inom äldreomsorgen. Sammantaget föreslår vi att att kommunerna tillförs 870 miljoner 2011 för dessa åtgärder. Sammantaget uppgår reformambitionerna för mandatperioden till 800 miljoner kronor per år. Vi avvisar regeringens förslag om starta-eget-bidrag inom äldreomsorgen samt förslaget om förstärkningar av valfrihetssystem (LOV). Samm</w:t>
      </w:r>
      <w:r w:rsidRPr="001F78F5">
        <w:t>antaget innebär detta att anslag 5:1 kan minska med 35 miljoner kronor jämfört med regeringens förslag. Vi har som reformambition att förbättra tandvården för unga genom att höja dagens åldersgräns för avgiftsfri tandvård från 19 till 24 år. Ambitionen omfattar 300 miljoner kronor per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8F5">
        <w:trPr>
          <w:cantSplit/>
        </w:trPr>
        <w:tc>
          <w:tcPr>
            <w:tcW w:w="3046" w:type="dxa"/>
          </w:tcPr>
          <w:p w:rsidR="001F78F5" w:rsidRPr="001F78F5" w:rsidRDefault="001F78F5">
            <w:pPr>
              <w:pStyle w:val="UnderskriftDatum"/>
              <w:spacing w:before="240"/>
            </w:pPr>
            <w:r w:rsidRPr="001F78F5">
              <w:t>Stockholm den 26 oktober 2010</w:t>
            </w:r>
          </w:p>
        </w:tc>
        <w:tc>
          <w:tcPr>
            <w:tcW w:w="3047" w:type="dxa"/>
          </w:tcPr>
          <w:p w:rsidR="001F78F5" w:rsidRPr="001F78F5" w:rsidRDefault="001F78F5">
            <w:pPr>
              <w:pStyle w:val="Underskrifter"/>
              <w:spacing w:before="240"/>
            </w:pPr>
          </w:p>
        </w:tc>
      </w:tr>
      <w:tr w:rsidR="00000000" w:rsidRPr="001F78F5">
        <w:trPr>
          <w:cantSplit/>
        </w:trPr>
        <w:tc>
          <w:tcPr>
            <w:tcW w:w="3046" w:type="dxa"/>
          </w:tcPr>
          <w:p w:rsidR="001F78F5" w:rsidRPr="001F78F5" w:rsidRDefault="001F78F5">
            <w:pPr>
              <w:pStyle w:val="Underskrifter"/>
            </w:pPr>
            <w:r w:rsidRPr="001F78F5">
              <w:t>Lena Hallengren (S)</w:t>
            </w:r>
          </w:p>
        </w:tc>
        <w:tc>
          <w:tcPr>
            <w:tcW w:w="3046" w:type="dxa"/>
          </w:tcPr>
          <w:p w:rsidR="001F78F5" w:rsidRPr="001F78F5" w:rsidRDefault="001F78F5">
            <w:pPr>
              <w:pStyle w:val="Underskrifter"/>
            </w:pPr>
          </w:p>
        </w:tc>
      </w:tr>
      <w:tr w:rsidR="00000000" w:rsidRPr="001F78F5">
        <w:trPr>
          <w:cantSplit/>
        </w:trPr>
        <w:tc>
          <w:tcPr>
            <w:tcW w:w="3046" w:type="dxa"/>
          </w:tcPr>
          <w:p w:rsidR="001F78F5" w:rsidRPr="001F78F5" w:rsidRDefault="001F78F5">
            <w:pPr>
              <w:pStyle w:val="Underskrifter"/>
            </w:pPr>
            <w:r w:rsidRPr="001F78F5">
              <w:t>Agneta Luttropp (MP)</w:t>
            </w:r>
          </w:p>
        </w:tc>
        <w:tc>
          <w:tcPr>
            <w:tcW w:w="3046" w:type="dxa"/>
          </w:tcPr>
          <w:p w:rsidR="001F78F5" w:rsidRPr="001F78F5" w:rsidRDefault="001F78F5">
            <w:pPr>
              <w:pStyle w:val="Underskrifter"/>
            </w:pPr>
            <w:r w:rsidRPr="001F78F5">
              <w:t>Eva Olofsson (V)</w:t>
            </w:r>
          </w:p>
        </w:tc>
      </w:tr>
    </w:tbl>
    <w:p w:rsidR="001F78F5" w:rsidRPr="001F78F5" w:rsidRDefault="001F78F5">
      <w:pPr>
        <w:pStyle w:val="Normaltindrag"/>
      </w:pPr>
    </w:p>
    <w:sectPr w:rsidR="00000000" w:rsidRPr="001F78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8F5" w:rsidRPr="001F78F5" w:rsidRDefault="001F78F5">
      <w:r w:rsidRPr="001F78F5">
        <w:separator/>
      </w:r>
    </w:p>
  </w:endnote>
  <w:endnote w:type="continuationSeparator" w:id="0">
    <w:p w:rsidR="001F78F5" w:rsidRPr="001F78F5" w:rsidRDefault="001F78F5">
      <w:r w:rsidRPr="001F78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5" w:rsidRPr="001F78F5" w:rsidRDefault="001F78F5">
    <w:pPr>
      <w:pStyle w:val="Sidfot"/>
    </w:pPr>
    <w:r w:rsidRPr="001F78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7155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5" w:rsidRDefault="001F78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8F5" w:rsidRDefault="001F78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5" w:rsidRPr="001F78F5" w:rsidRDefault="001F78F5">
    <w:pPr>
      <w:pStyle w:val="Sidfot"/>
    </w:pPr>
    <w:r w:rsidRPr="001F78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158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5" w:rsidRDefault="001F78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8F5" w:rsidRDefault="001F78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5" w:rsidRPr="001F78F5" w:rsidRDefault="001F78F5">
    <w:pPr>
      <w:pStyle w:val="Sidfot"/>
    </w:pPr>
    <w:r w:rsidRPr="001F78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513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5" w:rsidRDefault="001F78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8F5" w:rsidRDefault="001F78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8F5" w:rsidRPr="001F78F5" w:rsidRDefault="001F78F5">
      <w:r w:rsidRPr="001F78F5">
        <w:separator/>
      </w:r>
    </w:p>
  </w:footnote>
  <w:footnote w:type="continuationSeparator" w:id="0">
    <w:p w:rsidR="001F78F5" w:rsidRPr="001F78F5" w:rsidRDefault="001F78F5">
      <w:r w:rsidRPr="001F78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5" w:rsidRPr="001F78F5" w:rsidRDefault="001F78F5">
    <w:pPr>
      <w:pStyle w:val="Sidhuvud"/>
    </w:pPr>
    <w:r w:rsidRPr="001F78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4205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5" w:rsidRDefault="001F78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8F5" w:rsidRDefault="001F78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5" w:rsidRPr="001F78F5" w:rsidRDefault="001F78F5">
    <w:pPr>
      <w:pStyle w:val="Sidhuvud"/>
    </w:pPr>
    <w:r w:rsidRPr="001F78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9388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5" w:rsidRDefault="001F78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8F5" w:rsidRDefault="001F78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5" w:rsidRPr="001F78F5" w:rsidRDefault="001F78F5">
    <w:pPr>
      <w:pStyle w:val="FSHNormal"/>
      <w:tabs>
        <w:tab w:val="right" w:pos="5840"/>
      </w:tabs>
    </w:pPr>
    <w:r w:rsidRPr="001F78F5">
      <w:br/>
    </w:r>
    <w:r w:rsidRPr="001F78F5">
      <w:fldChar w:fldCharType="begin" w:fldLock="1"/>
    </w:r>
    <w:r w:rsidRPr="001F78F5">
      <w:instrText xml:space="preserve"> DOCPROPERTY</w:instrText>
    </w:r>
    <w:r w:rsidRPr="001F78F5">
      <w:rPr>
        <w:sz w:val="18"/>
      </w:rPr>
      <w:instrText xml:space="preserve"> "YearUser" *\charformat </w:instrText>
    </w:r>
    <w:r w:rsidRPr="001F78F5">
      <w:fldChar w:fldCharType="separate"/>
    </w:r>
    <w:r w:rsidRPr="001F78F5">
      <w:t>2010/11</w:t>
    </w:r>
    <w:r w:rsidRPr="001F78F5">
      <w:fldChar w:fldCharType="end"/>
    </w:r>
    <w:r w:rsidRPr="001F78F5">
      <w:t xml:space="preserve"> </w:t>
    </w:r>
    <w:r w:rsidRPr="001F78F5">
      <w:tab/>
      <w:t xml:space="preserve">mnr: </w:t>
    </w:r>
    <w:r w:rsidRPr="001F78F5">
      <w:fldChar w:fldCharType="begin" w:fldLock="1"/>
    </w:r>
    <w:r w:rsidRPr="001F78F5">
      <w:instrText xml:space="preserve"> DOCPROPERTY</w:instrText>
    </w:r>
    <w:r w:rsidRPr="001F78F5">
      <w:rPr>
        <w:sz w:val="18"/>
      </w:rPr>
      <w:instrText xml:space="preserve"> "Motionsnummer" *\charformat </w:instrText>
    </w:r>
    <w:r w:rsidRPr="001F78F5">
      <w:fldChar w:fldCharType="separate"/>
    </w:r>
    <w:r w:rsidRPr="001F78F5">
      <w:t>So513</w:t>
    </w:r>
    <w:r w:rsidRPr="001F78F5">
      <w:fldChar w:fldCharType="end"/>
    </w:r>
    <w:r w:rsidRPr="001F78F5">
      <w:br/>
    </w:r>
    <w:r w:rsidRPr="001F78F5">
      <w:fldChar w:fldCharType="begin" w:fldLock="1"/>
    </w:r>
    <w:r w:rsidRPr="001F78F5">
      <w:instrText xml:space="preserve"> DOCPROPERTY</w:instrText>
    </w:r>
    <w:r w:rsidRPr="001F78F5">
      <w:rPr>
        <w:sz w:val="18"/>
      </w:rPr>
      <w:instrText xml:space="preserve"> "Samling" *\charformat </w:instrText>
    </w:r>
    <w:r w:rsidRPr="001F78F5">
      <w:fldChar w:fldCharType="end"/>
    </w:r>
    <w:r w:rsidRPr="001F78F5">
      <w:tab/>
      <w:t xml:space="preserve">pnr: </w:t>
    </w:r>
    <w:r w:rsidRPr="001F78F5">
      <w:fldChar w:fldCharType="begin" w:fldLock="1"/>
    </w:r>
    <w:r w:rsidRPr="001F78F5">
      <w:instrText xml:space="preserve"> DOCPROPERTY</w:instrText>
    </w:r>
    <w:r w:rsidRPr="001F78F5">
      <w:rPr>
        <w:sz w:val="18"/>
      </w:rPr>
      <w:instrText xml:space="preserve"> "Partinummer" *\charformat </w:instrText>
    </w:r>
    <w:r w:rsidRPr="001F78F5">
      <w:fldChar w:fldCharType="separate"/>
    </w:r>
    <w:r w:rsidRPr="001F78F5">
      <w:t>-MP1016</w:t>
    </w:r>
    <w:r w:rsidRPr="001F78F5">
      <w:fldChar w:fldCharType="end"/>
    </w:r>
  </w:p>
  <w:p w:rsidR="001F78F5" w:rsidRPr="001F78F5" w:rsidRDefault="001F78F5">
    <w:pPr>
      <w:pStyle w:val="FSHRub1"/>
    </w:pPr>
    <w:r w:rsidRPr="001F78F5">
      <w:t>Motion till riksdagen</w:t>
    </w:r>
    <w:r w:rsidRPr="001F78F5">
      <w:br/>
    </w:r>
    <w:r w:rsidRPr="001F78F5">
      <w:fldChar w:fldCharType="begin" w:fldLock="1"/>
    </w:r>
    <w:r w:rsidRPr="001F78F5">
      <w:instrText xml:space="preserve"> DOCPROPERTY "YearUser" *\charformat </w:instrText>
    </w:r>
    <w:r w:rsidRPr="001F78F5">
      <w:fldChar w:fldCharType="separate"/>
    </w:r>
    <w:r w:rsidRPr="001F78F5">
      <w:t>2010/11</w:t>
    </w:r>
    <w:r w:rsidRPr="001F78F5">
      <w:fldChar w:fldCharType="end"/>
    </w:r>
    <w:r w:rsidRPr="001F78F5">
      <w:t>:</w:t>
    </w:r>
    <w:r w:rsidRPr="001F78F5">
      <w:fldChar w:fldCharType="begin" w:fldLock="1"/>
    </w:r>
    <w:r w:rsidRPr="001F78F5">
      <w:instrText xml:space="preserve"> DOCPROPERTY "Motionsnummer" *\charformat </w:instrText>
    </w:r>
    <w:r w:rsidRPr="001F78F5">
      <w:fldChar w:fldCharType="separate"/>
    </w:r>
    <w:r w:rsidRPr="001F78F5">
      <w:t>So513</w:t>
    </w:r>
    <w:r w:rsidRPr="001F78F5">
      <w:fldChar w:fldCharType="end"/>
    </w:r>
  </w:p>
  <w:p w:rsidR="001F78F5" w:rsidRPr="001F78F5" w:rsidRDefault="001F78F5">
    <w:pPr>
      <w:pStyle w:val="FSHNormalS5"/>
    </w:pPr>
    <w:r w:rsidRPr="001F78F5">
      <w:fldChar w:fldCharType="begin" w:fldLock="1"/>
    </w:r>
    <w:r w:rsidRPr="001F78F5">
      <w:instrText xml:space="preserve"> DOCPROPERTY "MotionarText" *\charformat </w:instrText>
    </w:r>
    <w:r w:rsidRPr="001F78F5">
      <w:fldChar w:fldCharType="separate"/>
    </w:r>
    <w:r w:rsidRPr="001F78F5">
      <w:t>av Lena Hallengren m.fl. (S, MP, V)</w:t>
    </w:r>
    <w:r w:rsidRPr="001F78F5">
      <w:fldChar w:fldCharType="end"/>
    </w:r>
    <w:r w:rsidRPr="001F78F5">
      <w:br/>
    </w:r>
    <w:r w:rsidRPr="001F78F5">
      <w:fldChar w:fldCharType="begin" w:fldLock="1"/>
    </w:r>
    <w:r w:rsidRPr="001F78F5">
      <w:instrText xml:space="preserve"> DOCPROPERTY "SvarFrasKort" *\charformat </w:instrText>
    </w:r>
    <w:r w:rsidRPr="001F78F5">
      <w:fldChar w:fldCharType="end"/>
    </w:r>
  </w:p>
  <w:p w:rsidR="001F78F5" w:rsidRPr="001F78F5" w:rsidRDefault="001F78F5">
    <w:pPr>
      <w:pStyle w:val="FSHTitel"/>
    </w:pPr>
    <w:r w:rsidRPr="001F78F5">
      <w:fldChar w:fldCharType="begin" w:fldLock="1"/>
    </w:r>
    <w:r w:rsidRPr="001F78F5">
      <w:instrText xml:space="preserve"> DOCPROPERTY</w:instrText>
    </w:r>
    <w:r w:rsidRPr="001F78F5">
      <w:rPr>
        <w:sz w:val="18"/>
      </w:rPr>
      <w:instrText xml:space="preserve"> "RubrikSvar" *\charformat </w:instrText>
    </w:r>
    <w:r w:rsidRPr="001F78F5">
      <w:fldChar w:fldCharType="separate"/>
    </w:r>
    <w:r w:rsidRPr="001F78F5">
      <w:t>Utgiftsområde 9 Hälsovård, sjukvård och social omsorg</w:t>
    </w:r>
    <w:r w:rsidRPr="001F78F5">
      <w:fldChar w:fldCharType="end"/>
    </w:r>
  </w:p>
  <w:p w:rsidR="001F78F5" w:rsidRPr="001F78F5" w:rsidRDefault="001F78F5">
    <w:pPr>
      <w:pStyle w:val="Normal00"/>
    </w:pPr>
  </w:p>
  <w:p w:rsidR="001F78F5" w:rsidRPr="001F78F5" w:rsidRDefault="001F78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AC7660"/>
    <w:multiLevelType w:val="hybridMultilevel"/>
    <w:tmpl w:val="483A67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EF50455"/>
    <w:multiLevelType w:val="hybridMultilevel"/>
    <w:tmpl w:val="5B10F224"/>
    <w:lvl w:ilvl="0" w:tplc="C4EE90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8990642">
    <w:abstractNumId w:val="3"/>
  </w:num>
  <w:num w:numId="2" w16cid:durableId="941572972">
    <w:abstractNumId w:val="2"/>
  </w:num>
  <w:num w:numId="3" w16cid:durableId="1478457598">
    <w:abstractNumId w:val="1"/>
  </w:num>
  <w:num w:numId="4" w16cid:durableId="224415469">
    <w:abstractNumId w:val="0"/>
  </w:num>
  <w:num w:numId="5" w16cid:durableId="680354401">
    <w:abstractNumId w:val="7"/>
  </w:num>
  <w:num w:numId="6" w16cid:durableId="2017343354">
    <w:abstractNumId w:val="6"/>
  </w:num>
  <w:num w:numId="7" w16cid:durableId="1915435898">
    <w:abstractNumId w:val="5"/>
  </w:num>
  <w:num w:numId="8" w16cid:durableId="2136752708">
    <w:abstractNumId w:val="4"/>
  </w:num>
  <w:num w:numId="9" w16cid:durableId="1929346742">
    <w:abstractNumId w:val="8"/>
  </w:num>
  <w:num w:numId="10" w16cid:durableId="1377654685">
    <w:abstractNumId w:val="9"/>
  </w:num>
  <w:num w:numId="11" w16cid:durableId="1893342137">
    <w:abstractNumId w:val="10"/>
  </w:num>
  <w:num w:numId="12" w16cid:durableId="1017389525">
    <w:abstractNumId w:val="13"/>
  </w:num>
  <w:num w:numId="13" w16cid:durableId="431778690">
    <w:abstractNumId w:val="17"/>
  </w:num>
  <w:num w:numId="14" w16cid:durableId="783771241">
    <w:abstractNumId w:val="18"/>
  </w:num>
  <w:num w:numId="15" w16cid:durableId="508372964">
    <w:abstractNumId w:val="11"/>
  </w:num>
  <w:num w:numId="16" w16cid:durableId="302009362">
    <w:abstractNumId w:val="20"/>
  </w:num>
  <w:num w:numId="17" w16cid:durableId="118299511">
    <w:abstractNumId w:val="19"/>
  </w:num>
  <w:num w:numId="18" w16cid:durableId="1325549720">
    <w:abstractNumId w:val="16"/>
  </w:num>
  <w:num w:numId="19" w16cid:durableId="699554983">
    <w:abstractNumId w:val="12"/>
  </w:num>
  <w:num w:numId="20" w16cid:durableId="1323315973">
    <w:abstractNumId w:val="14"/>
  </w:num>
  <w:num w:numId="21" w16cid:durableId="19313072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9983D57B-4674-4792-AAC4-C3009C0A6AD4},{CEA5844C-7A93-43AF-8DEB-8652C002D0B8},{A3B7BC79-15BA-4C82-9CD3-12632F50DBA0}"/>
  </w:docVars>
  <w:rsids>
    <w:rsidRoot w:val="001D34EB"/>
    <w:rsid w:val="001D34EB"/>
    <w:rsid w:val="001F78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533EA9D-5F91-4628-9064-00963211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583891">
      <w:bodyDiv w:val="1"/>
      <w:marLeft w:val="0"/>
      <w:marRight w:val="0"/>
      <w:marTop w:val="0"/>
      <w:marBottom w:val="0"/>
      <w:divBdr>
        <w:top w:val="none" w:sz="0" w:space="0" w:color="auto"/>
        <w:left w:val="none" w:sz="0" w:space="0" w:color="auto"/>
        <w:bottom w:val="none" w:sz="0" w:space="0" w:color="auto"/>
        <w:right w:val="none" w:sz="0" w:space="0" w:color="auto"/>
      </w:divBdr>
    </w:div>
    <w:div w:id="1224366039">
      <w:bodyDiv w:val="1"/>
      <w:marLeft w:val="0"/>
      <w:marRight w:val="0"/>
      <w:marTop w:val="0"/>
      <w:marBottom w:val="0"/>
      <w:divBdr>
        <w:top w:val="none" w:sz="0" w:space="0" w:color="auto"/>
        <w:left w:val="none" w:sz="0" w:space="0" w:color="auto"/>
        <w:bottom w:val="none" w:sz="0" w:space="0" w:color="auto"/>
        <w:right w:val="none" w:sz="0" w:space="0" w:color="auto"/>
      </w:divBdr>
    </w:div>
    <w:div w:id="1554586484">
      <w:bodyDiv w:val="1"/>
      <w:marLeft w:val="0"/>
      <w:marRight w:val="0"/>
      <w:marTop w:val="0"/>
      <w:marBottom w:val="0"/>
      <w:divBdr>
        <w:top w:val="none" w:sz="0" w:space="0" w:color="auto"/>
        <w:left w:val="none" w:sz="0" w:space="0" w:color="auto"/>
        <w:bottom w:val="none" w:sz="0" w:space="0" w:color="auto"/>
        <w:right w:val="none" w:sz="0" w:space="0" w:color="auto"/>
      </w:divBdr>
    </w:div>
    <w:div w:id="1904830689">
      <w:bodyDiv w:val="1"/>
      <w:marLeft w:val="0"/>
      <w:marRight w:val="0"/>
      <w:marTop w:val="0"/>
      <w:marBottom w:val="0"/>
      <w:divBdr>
        <w:top w:val="none" w:sz="0" w:space="0" w:color="auto"/>
        <w:left w:val="none" w:sz="0" w:space="0" w:color="auto"/>
        <w:bottom w:val="none" w:sz="0" w:space="0" w:color="auto"/>
        <w:right w:val="none" w:sz="0" w:space="0" w:color="auto"/>
      </w:divBdr>
    </w:div>
    <w:div w:id="200496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3419</Characters>
  <Application>Microsoft Office Word</Application>
  <DocSecurity>4</DocSecurity>
  <Lines>77</Lines>
  <Paragraphs>30</Paragraphs>
  <ScaleCrop>false</ScaleCrop>
  <HeadingPairs>
    <vt:vector size="2" baseType="variant">
      <vt:variant>
        <vt:lpstr>Rubrik</vt:lpstr>
      </vt:variant>
      <vt:variant>
        <vt:i4>1</vt:i4>
      </vt:variant>
    </vt:vector>
  </HeadingPairs>
  <TitlesOfParts>
    <vt:vector size="1" baseType="lpstr">
      <vt:lpstr>-MP1016</vt:lpstr>
    </vt:vector>
  </TitlesOfParts>
  <Company>Riksdagen</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-MP1016</dc:title>
  <dc:subject>-MP1016</dc:subject>
  <dc:creator>Riksdagen</dc:creator>
  <cp:keywords>Riksdagen</cp:keywords>
  <dc:description>Versal/gemen i partibeteckning. Gemen i tryck för 0910, versal för 1011 och nyare</dc:description>
  <cp:lastModifiedBy>Lars Brink</cp:lastModifiedBy>
  <cp:revision>2</cp:revision>
  <cp:lastPrinted>2010-11-12T07:34:00Z</cp:lastPrinted>
  <dcterms:created xsi:type="dcterms:W3CDTF">2025-12-18T02:44:00Z</dcterms:created>
  <dcterms:modified xsi:type="dcterms:W3CDTF">2025-12-18T02:44:00Z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-MP1016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Lena Hallengren m.fl. (S, MP, V)</vt:lpwstr>
  </property>
  <property fmtid="{D5CDD505-2E9C-101B-9397-08002B2CF9AE}" pid="26" name="MotionarLista">
    <vt:lpwstr>Hallengren, Lena (S)\Luttropp, Agneta (MP)\Olofsson,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Agneta Luttropp (MP),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20102011000000770080000010160070</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20102011000000770080000010160070</vt:lpwstr>
  </property>
  <property fmtid="{D5CDD505-2E9C-101B-9397-08002B2CF9AE}" pid="50" name="nummer">
    <vt:lpwstr>513</vt:lpwstr>
  </property>
  <property fmtid="{D5CDD505-2E9C-101B-9397-08002B2CF9AE}" pid="51" name="utskottsbeteckning">
    <vt:lpwstr>So</vt:lpwstr>
  </property>
  <property fmtid="{D5CDD505-2E9C-101B-9397-08002B2CF9AE}" pid="52" name="GlobalUID">
    <vt:lpwstr>{0F71E40E-7142-4019-AEB1-C206E63C4CC3}</vt:lpwstr>
  </property>
  <property fmtid="{D5CDD505-2E9C-101B-9397-08002B2CF9AE}" pid="53" name="Överföringar">
    <vt:i4>0</vt:i4>
  </property>
  <property fmtid="{D5CDD505-2E9C-101B-9397-08002B2CF9AE}" pid="54" name="Checksum">
    <vt:lpwstr>*1017502147705*</vt:lpwstr>
  </property>
  <property fmtid="{D5CDD505-2E9C-101B-9397-08002B2CF9AE}" pid="55" name="skuggnummer">
    <vt:lpwstr>2553</vt:lpwstr>
  </property>
  <property fmtid="{D5CDD505-2E9C-101B-9397-08002B2CF9AE}" pid="56" name="urixVersion">
    <vt:lpwstr>4.3.2.0</vt:lpwstr>
  </property>
  <property fmtid="{D5CDD505-2E9C-101B-9397-08002B2CF9AE}" pid="57" name="urixOrigin">
    <vt:lpwstr>101208 09:11:51.957</vt:lpwstr>
  </property>
  <property fmtid="{D5CDD505-2E9C-101B-9397-08002B2CF9AE}" pid="58" name="urixGuid">
    <vt:lpwstr>{E3FC6CEB-D07F-4BDB-B1E1-2D74CB192BFE}</vt:lpwstr>
  </property>
</Properties>
</file>