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0E256-BDE6-48E5-ADC4-C2D2864BE772}"/>
</file>

<file path=customXml/itemProps2.xml><?xml version="1.0" encoding="utf-8"?>
<ds:datastoreItem xmlns:ds="http://schemas.openxmlformats.org/officeDocument/2006/customXml" ds:itemID="{E4A16B14-7012-4E04-902D-8EC118F47918}"/>
</file>

<file path=customXml/itemProps3.xml><?xml version="1.0" encoding="utf-8"?>
<ds:datastoreItem xmlns:ds="http://schemas.openxmlformats.org/officeDocument/2006/customXml" ds:itemID="{E93C5D81-91A1-48F3-8615-37D7CA57A152}"/>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