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D8876B3-A4E1-43FF-B27A-24E7FD166217}"/>
</file>

<file path=customXml/itemProps3.xml><?xml version="1.0" encoding="utf-8"?>
<ds:datastoreItem xmlns:ds="http://schemas.openxmlformats.org/officeDocument/2006/customXml" ds:itemID="{7FD0719B-CE9B-4071-B5D5-118BFD8973EA}"/>
</file>

<file path=customXml/itemProps4.xml><?xml version="1.0" encoding="utf-8"?>
<ds:datastoreItem xmlns:ds="http://schemas.openxmlformats.org/officeDocument/2006/customXml" ds:itemID="{12DD2912-162D-42A2-93E5-7193DF727189}"/>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