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8FD" w:rsidRPr="00FA48FD" w:rsidRDefault="00FA48FD">
      <w:pPr>
        <w:pStyle w:val="Frslagsrubrik"/>
      </w:pPr>
      <w:r w:rsidRPr="00FA48FD">
        <w:t>Förslag till riksdagsbeslut</w:t>
      </w:r>
    </w:p>
    <w:p w:rsidR="00FA48FD" w:rsidRPr="00FA48FD" w:rsidRDefault="00FA48FD">
      <w:pPr>
        <w:pStyle w:val="Hemstlatt"/>
      </w:pPr>
      <w:r w:rsidRPr="00FA48FD">
        <w:t>Riksdagen tillkännager för regeringen som sin mening vad som anförs i motionen om en utredning av förtydligad leverantörsneutr</w:t>
      </w:r>
      <w:r w:rsidRPr="00FA48FD">
        <w:t>a</w:t>
      </w:r>
      <w:r w:rsidRPr="00FA48FD">
        <w:t>litet.</w:t>
      </w:r>
    </w:p>
    <w:p w:rsidR="00FA48FD" w:rsidRPr="00FA48FD" w:rsidRDefault="00FA48FD">
      <w:pPr>
        <w:pStyle w:val="Rubrik1"/>
      </w:pPr>
      <w:r w:rsidRPr="00FA48FD">
        <w:t>Motivering</w:t>
      </w:r>
    </w:p>
    <w:p w:rsidR="00FA48FD" w:rsidRPr="00FA48FD" w:rsidRDefault="00FA48FD">
      <w:r w:rsidRPr="00FA48FD">
        <w:t>En viktig princip i bekämpandet av brott inom rättsstater är att begränsa a</w:t>
      </w:r>
      <w:r w:rsidRPr="00FA48FD">
        <w:t>n</w:t>
      </w:r>
      <w:r w:rsidRPr="00FA48FD">
        <w:t>svar till dem som rimligen bör kunna förutse och vidta åtgärder mot att ofö</w:t>
      </w:r>
      <w:r w:rsidRPr="00FA48FD">
        <w:t>r</w:t>
      </w:r>
      <w:r w:rsidRPr="00FA48FD">
        <w:t>skyllt medverka till brott – och utan att följderna för andra vitala samhäll</w:t>
      </w:r>
      <w:r w:rsidRPr="00FA48FD">
        <w:t>s</w:t>
      </w:r>
      <w:r w:rsidRPr="00FA48FD">
        <w:t>funktioner på det sättet skadas. Exempelvis är det med hänsyn till viktiga värden som rätt till informationsfrihet och fri kommunikation orimligt att inskränka brevhemligheten genom att ålägga postdistributörer ansvar för innehållet i de försändelser som distribueras. Endast vid misstanke för ett tillräckligt allvarligt brott kan, efter domstolsbeslut, den</w:t>
      </w:r>
      <w:r w:rsidRPr="00FA48FD">
        <w:t xml:space="preserve"> enskildes brevhe</w:t>
      </w:r>
      <w:r w:rsidRPr="00FA48FD">
        <w:t>m</w:t>
      </w:r>
      <w:r w:rsidRPr="00FA48FD">
        <w:t>lighet inskränkas. Motsvarande starka restriktioner gäller vid liknande i</w:t>
      </w:r>
      <w:r w:rsidRPr="00FA48FD">
        <w:t>n</w:t>
      </w:r>
      <w:r w:rsidRPr="00FA48FD">
        <w:t>grepp, som telefonavlyssning.</w:t>
      </w:r>
    </w:p>
    <w:p w:rsidR="00FA48FD" w:rsidRPr="00FA48FD" w:rsidRDefault="00FA48FD">
      <w:pPr>
        <w:pStyle w:val="Normaltindrag"/>
      </w:pPr>
      <w:r w:rsidRPr="00FA48FD">
        <w:t>I ingetdera fallet kan de inblandade leverantörsföretagen hållas ansvariga för att ha distribuerat innehållet eller åläggas att granska det. Att utföra de ingrepp i informationsfriheten som brottsbekämpande myndigheter kan ges tillåtelse till är reserverat för dessa myndigheter. Denna ansvarsfrihet (eme</w:t>
      </w:r>
      <w:r w:rsidRPr="00FA48FD">
        <w:t>l</w:t>
      </w:r>
      <w:r w:rsidRPr="00FA48FD">
        <w:t>lanåt kallad ”budbärarimmunitet” eller ”leverantörsneutralitet”) är central för att upprätthålla balansen mellan medborgarnas fri- och rättigheter å ena sidan och de brottsbekämpande myndigheternas effektivitet å andra sidan. Genom dels regeringsformen och dels den europeiska konventionen om skydd för de mänskliga rättigheterna och de grundläggande friheterna har dessa friheter starkt skydd i svensk rätt.</w:t>
      </w:r>
    </w:p>
    <w:p w:rsidR="00FA48FD" w:rsidRPr="00FA48FD" w:rsidRDefault="00FA48FD">
      <w:pPr>
        <w:pStyle w:val="Normaltindrag"/>
      </w:pPr>
      <w:r w:rsidRPr="00FA48FD">
        <w:t>Under senare år har dock lagstiftning tillkommit som inte alltid har en lika glasklar uppdelning eller</w:t>
      </w:r>
      <w:r w:rsidRPr="00FA48FD">
        <w:t xml:space="preserve"> som hotar att nagga leverantörernas ansvarsfrihet i </w:t>
      </w:r>
      <w:r w:rsidRPr="00FA48FD">
        <w:lastRenderedPageBreak/>
        <w:t>kanten. Ett aktuellt exempel finns i lagen om upphovsrätt (1960:729). Genom EU-direktiv 2001/29/EG artikel 8.3 infördes möjligheten att ålägga Interne</w:t>
      </w:r>
      <w:r w:rsidRPr="00FA48FD">
        <w:t>t</w:t>
      </w:r>
      <w:r w:rsidRPr="00FA48FD">
        <w:t>leverantörer, vid hot om vite, förbud mot att leverera t.ex. tillgång till ett nätverk om detta kan medföra att upphovsrättsligt skyddade verk olagligen sprids.</w:t>
      </w:r>
    </w:p>
    <w:p w:rsidR="00FA48FD" w:rsidRPr="00FA48FD" w:rsidRDefault="00FA48FD">
      <w:pPr>
        <w:pStyle w:val="Normaltindrag"/>
      </w:pPr>
      <w:r w:rsidRPr="00FA48FD">
        <w:t>Propositionen (2004/05:110) innehåller en ovanligt utförlig diskussion (s. 336–343) som syftar till att förtydliga och avgränsa utsträckningen av m</w:t>
      </w:r>
      <w:r w:rsidRPr="00FA48FD">
        <w:t>edverkansbegreppet vid olaglig spridning av upphovsrättsligt material. Den springande punkten är vad för slags kriterier på handlande – även indirekt främjande – som ska krävas för att räknas som medverkan. I propositionen framhålls att ”själva bedrivandet av leverantörsverksamhet normalt inte torde vara tillräckligt för att en mellanhand skall kunna hållas ansvarig” (s. 339). Som exempel på kriterier för medverkan nämns bland annat att bistå med serverutrymme och liknande.</w:t>
      </w:r>
    </w:p>
    <w:p w:rsidR="00FA48FD" w:rsidRPr="00FA48FD" w:rsidRDefault="00FA48FD">
      <w:pPr>
        <w:pStyle w:val="Normaltindrag"/>
      </w:pPr>
      <w:r w:rsidRPr="00FA48FD">
        <w:t>Denna möjlighet till förbud och a</w:t>
      </w:r>
      <w:r w:rsidRPr="00FA48FD">
        <w:t>vstängning påminner om den i Frankrike antagna lagen (”Hadopi-lagen”) som ger möjlighet till avstängning av enski</w:t>
      </w:r>
      <w:r w:rsidRPr="00FA48FD">
        <w:t>l</w:t>
      </w:r>
      <w:r w:rsidRPr="00FA48FD">
        <w:t>da, för medverkan till spridning av olagliga kopior av upphovsrättskyddat material. Denna lag har väckt starka internationella protester, och det pågår för närvarande förhandlingar mellan Europaparlamentet och rådet inom r</w:t>
      </w:r>
      <w:r w:rsidRPr="00FA48FD">
        <w:t>a</w:t>
      </w:r>
      <w:r w:rsidRPr="00FA48FD">
        <w:t>men för det så kallade telekompaketet att införa förbud mot den sortens i</w:t>
      </w:r>
      <w:r w:rsidRPr="00FA48FD">
        <w:t>n</w:t>
      </w:r>
      <w:r w:rsidRPr="00FA48FD">
        <w:t>skränkningar av informationsfriheten.</w:t>
      </w:r>
    </w:p>
    <w:p w:rsidR="00FA48FD" w:rsidRPr="00FA48FD" w:rsidRDefault="00FA48FD">
      <w:pPr>
        <w:pStyle w:val="Normaltindrag"/>
      </w:pPr>
      <w:r w:rsidRPr="00FA48FD">
        <w:t>Genom ett i Stockholms tingsrätt nyligen avkunnat beslut om för</w:t>
      </w:r>
      <w:r w:rsidRPr="00FA48FD">
        <w:t>bud har denna gränsdragning kommit till allmän kännedom. Många företagare i IT-sektorn är osäkra på vilka regler som gäller och deras kunder är upprörda över att Internetleverantörer i framtiden kan komma att vilja granska trafikinnehåll för att skydda sig från rättsliga åtgärder.</w:t>
      </w:r>
    </w:p>
    <w:p w:rsidR="00FA48FD" w:rsidRPr="00FA48FD" w:rsidRDefault="00FA48FD">
      <w:pPr>
        <w:pStyle w:val="Normaltindrag"/>
      </w:pPr>
      <w:r w:rsidRPr="00FA48FD">
        <w:t>För att bättre skydda den enskildes informationsfrihet och stärka Interne</w:t>
      </w:r>
      <w:r w:rsidRPr="00FA48FD">
        <w:t>t</w:t>
      </w:r>
      <w:r w:rsidRPr="00FA48FD">
        <w:t>leverantörernas neutralitet bör regeringen genomföra en samlad översyn av berörda bestämmelser i bl.a. lagen om elektronisk kommunikation (2003:389), upphovsrättslagen (1960:729) och personuppgiftslagen (2003:204).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8FD">
        <w:trPr>
          <w:cantSplit/>
        </w:trPr>
        <w:tc>
          <w:tcPr>
            <w:tcW w:w="3046" w:type="dxa"/>
          </w:tcPr>
          <w:p w:rsidR="00FA48FD" w:rsidRPr="00FA48FD" w:rsidRDefault="00FA48FD">
            <w:pPr>
              <w:pStyle w:val="UnderskriftDatum"/>
              <w:spacing w:before="240"/>
            </w:pPr>
            <w:r w:rsidRPr="00FA48FD">
              <w:t>Stockholm den 1 oktober 2009</w:t>
            </w:r>
          </w:p>
        </w:tc>
        <w:tc>
          <w:tcPr>
            <w:tcW w:w="3047" w:type="dxa"/>
          </w:tcPr>
          <w:p w:rsidR="00FA48FD" w:rsidRPr="00FA48FD" w:rsidRDefault="00FA48FD">
            <w:pPr>
              <w:pStyle w:val="Underskrifter"/>
              <w:spacing w:before="240"/>
            </w:pPr>
          </w:p>
        </w:tc>
      </w:tr>
      <w:tr w:rsidR="00000000" w:rsidRPr="00FA48FD">
        <w:trPr>
          <w:cantSplit/>
        </w:trPr>
        <w:tc>
          <w:tcPr>
            <w:tcW w:w="3046" w:type="dxa"/>
          </w:tcPr>
          <w:p w:rsidR="00FA48FD" w:rsidRPr="00FA48FD" w:rsidRDefault="00FA48FD">
            <w:pPr>
              <w:pStyle w:val="Underskrifter"/>
            </w:pPr>
            <w:r w:rsidRPr="00FA48FD">
              <w:t>Camilla Lindberg (fp)</w:t>
            </w:r>
          </w:p>
        </w:tc>
        <w:tc>
          <w:tcPr>
            <w:tcW w:w="3046" w:type="dxa"/>
          </w:tcPr>
          <w:p w:rsidR="00FA48FD" w:rsidRPr="00FA48FD" w:rsidRDefault="00FA48FD">
            <w:pPr>
              <w:pStyle w:val="Underskrifter"/>
            </w:pPr>
          </w:p>
        </w:tc>
      </w:tr>
    </w:tbl>
    <w:p w:rsidR="00FA48FD" w:rsidRPr="00FA48FD" w:rsidRDefault="00FA48FD">
      <w:pPr>
        <w:pStyle w:val="Normaltindrag"/>
      </w:pPr>
    </w:p>
    <w:sectPr w:rsidR="00000000" w:rsidRPr="00FA4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8FD" w:rsidRPr="00FA48FD" w:rsidRDefault="00FA48FD">
      <w:r w:rsidRPr="00FA48FD">
        <w:separator/>
      </w:r>
    </w:p>
  </w:endnote>
  <w:endnote w:type="continuationSeparator" w:id="0">
    <w:p w:rsidR="00FA48FD" w:rsidRPr="00FA48FD" w:rsidRDefault="00FA48FD">
      <w:r w:rsidRPr="00FA4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fot"/>
    </w:pPr>
    <w:r w:rsidRPr="00FA4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6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8FD" w:rsidRDefault="00FA48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fot"/>
    </w:pPr>
    <w:r w:rsidRPr="00FA4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0109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8FD" w:rsidRDefault="00FA4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fot"/>
    </w:pPr>
    <w:r w:rsidRPr="00FA4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658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8FD" w:rsidRDefault="00FA4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8FD" w:rsidRPr="00FA48FD" w:rsidRDefault="00FA48FD">
      <w:r w:rsidRPr="00FA48FD">
        <w:separator/>
      </w:r>
    </w:p>
  </w:footnote>
  <w:footnote w:type="continuationSeparator" w:id="0">
    <w:p w:rsidR="00FA48FD" w:rsidRPr="00FA48FD" w:rsidRDefault="00FA48FD">
      <w:r w:rsidRPr="00FA4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huvud"/>
    </w:pPr>
    <w:r w:rsidRPr="00FA4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1458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8FD" w:rsidRDefault="00FA4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Sidhuvud"/>
    </w:pPr>
    <w:r w:rsidRPr="00FA4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886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FD" w:rsidRDefault="00FA4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8FD" w:rsidRDefault="00FA4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FD" w:rsidRPr="00FA48FD" w:rsidRDefault="00FA48FD">
    <w:pPr>
      <w:pStyle w:val="FSHNormal"/>
      <w:tabs>
        <w:tab w:val="right" w:pos="5840"/>
      </w:tabs>
    </w:pPr>
    <w:r w:rsidRPr="00FA48FD">
      <w:br/>
    </w:r>
    <w:r w:rsidRPr="00FA48FD">
      <w:fldChar w:fldCharType="begin" w:fldLock="1"/>
    </w:r>
    <w:r w:rsidRPr="00FA48FD">
      <w:instrText xml:space="preserve"> DOCPROPERTY</w:instrText>
    </w:r>
    <w:r w:rsidRPr="00FA48FD">
      <w:rPr>
        <w:sz w:val="18"/>
      </w:rPr>
      <w:instrText xml:space="preserve"> "YearUser" *\charformat </w:instrText>
    </w:r>
    <w:r w:rsidRPr="00FA48FD">
      <w:fldChar w:fldCharType="separate"/>
    </w:r>
    <w:r w:rsidRPr="00FA48FD">
      <w:t>2009/10</w:t>
    </w:r>
    <w:r w:rsidRPr="00FA48FD">
      <w:fldChar w:fldCharType="end"/>
    </w:r>
    <w:r w:rsidRPr="00FA48FD">
      <w:t xml:space="preserve"> </w:t>
    </w:r>
    <w:r w:rsidRPr="00FA48FD">
      <w:tab/>
      <w:t xml:space="preserve">mnr: </w:t>
    </w:r>
    <w:r w:rsidRPr="00FA48FD">
      <w:fldChar w:fldCharType="begin" w:fldLock="1"/>
    </w:r>
    <w:r w:rsidRPr="00FA48FD">
      <w:instrText xml:space="preserve"> DOCPROPERTY</w:instrText>
    </w:r>
    <w:r w:rsidRPr="00FA48FD">
      <w:rPr>
        <w:sz w:val="18"/>
      </w:rPr>
      <w:instrText xml:space="preserve"> "Motionsnummer" *\charformat </w:instrText>
    </w:r>
    <w:r w:rsidRPr="00FA48FD">
      <w:fldChar w:fldCharType="separate"/>
    </w:r>
    <w:r w:rsidRPr="00FA48FD">
      <w:t>N489</w:t>
    </w:r>
    <w:r w:rsidRPr="00FA48FD">
      <w:fldChar w:fldCharType="end"/>
    </w:r>
    <w:r w:rsidRPr="00FA48FD">
      <w:br/>
    </w:r>
    <w:r w:rsidRPr="00FA48FD">
      <w:fldChar w:fldCharType="begin" w:fldLock="1"/>
    </w:r>
    <w:r w:rsidRPr="00FA48FD">
      <w:instrText xml:space="preserve"> DOCPROPERTY</w:instrText>
    </w:r>
    <w:r w:rsidRPr="00FA48FD">
      <w:rPr>
        <w:sz w:val="18"/>
      </w:rPr>
      <w:instrText xml:space="preserve"> "Samling" *\charformat </w:instrText>
    </w:r>
    <w:r w:rsidRPr="00FA48FD">
      <w:fldChar w:fldCharType="end"/>
    </w:r>
    <w:r w:rsidRPr="00FA48FD">
      <w:tab/>
      <w:t xml:space="preserve">pnr: </w:t>
    </w:r>
    <w:r w:rsidRPr="00FA48FD">
      <w:fldChar w:fldCharType="begin" w:fldLock="1"/>
    </w:r>
    <w:r w:rsidRPr="00FA48FD">
      <w:instrText xml:space="preserve"> DOCPROPERTY</w:instrText>
    </w:r>
    <w:r w:rsidRPr="00FA48FD">
      <w:rPr>
        <w:sz w:val="18"/>
      </w:rPr>
      <w:instrText xml:space="preserve"> "Partinummer" *\charformat </w:instrText>
    </w:r>
    <w:r w:rsidRPr="00FA48FD">
      <w:fldChar w:fldCharType="separate"/>
    </w:r>
    <w:r w:rsidRPr="00FA48FD">
      <w:t>fp1085</w:t>
    </w:r>
    <w:r w:rsidRPr="00FA48FD">
      <w:fldChar w:fldCharType="end"/>
    </w:r>
  </w:p>
  <w:p w:rsidR="00FA48FD" w:rsidRPr="00FA48FD" w:rsidRDefault="00FA48FD">
    <w:pPr>
      <w:pStyle w:val="FSHRub1"/>
    </w:pPr>
    <w:r w:rsidRPr="00FA48FD">
      <w:t>Motion till riksdagen</w:t>
    </w:r>
    <w:r w:rsidRPr="00FA48FD">
      <w:br/>
    </w:r>
    <w:r w:rsidRPr="00FA48FD">
      <w:fldChar w:fldCharType="begin" w:fldLock="1"/>
    </w:r>
    <w:r w:rsidRPr="00FA48FD">
      <w:instrText xml:space="preserve"> DOCPROPERTY "YearUser" *\charformat </w:instrText>
    </w:r>
    <w:r w:rsidRPr="00FA48FD">
      <w:fldChar w:fldCharType="separate"/>
    </w:r>
    <w:r w:rsidRPr="00FA48FD">
      <w:t>2009/10</w:t>
    </w:r>
    <w:r w:rsidRPr="00FA48FD">
      <w:fldChar w:fldCharType="end"/>
    </w:r>
    <w:r w:rsidRPr="00FA48FD">
      <w:t>:</w:t>
    </w:r>
    <w:r w:rsidRPr="00FA48FD">
      <w:fldChar w:fldCharType="begin" w:fldLock="1"/>
    </w:r>
    <w:r w:rsidRPr="00FA48FD">
      <w:instrText xml:space="preserve"> DOCPROPERTY "Motionsnummer" *\charformat </w:instrText>
    </w:r>
    <w:r w:rsidRPr="00FA48FD">
      <w:fldChar w:fldCharType="separate"/>
    </w:r>
    <w:r w:rsidRPr="00FA48FD">
      <w:t>N489</w:t>
    </w:r>
    <w:r w:rsidRPr="00FA48FD">
      <w:fldChar w:fldCharType="end"/>
    </w:r>
  </w:p>
  <w:p w:rsidR="00FA48FD" w:rsidRPr="00FA48FD" w:rsidRDefault="00FA48FD">
    <w:pPr>
      <w:pStyle w:val="FSHNormalS5"/>
    </w:pPr>
    <w:r w:rsidRPr="00FA48FD">
      <w:fldChar w:fldCharType="begin" w:fldLock="1"/>
    </w:r>
    <w:r w:rsidRPr="00FA48FD">
      <w:instrText xml:space="preserve"> DOCPROPERTY "MotionarText" *\charformat </w:instrText>
    </w:r>
    <w:r w:rsidRPr="00FA48FD">
      <w:fldChar w:fldCharType="separate"/>
    </w:r>
    <w:r w:rsidRPr="00FA48FD">
      <w:t>av Camilla Lindberg (fp)</w:t>
    </w:r>
    <w:r w:rsidRPr="00FA48FD">
      <w:fldChar w:fldCharType="end"/>
    </w:r>
    <w:r w:rsidRPr="00FA48FD">
      <w:br/>
    </w:r>
    <w:r w:rsidRPr="00FA48FD">
      <w:fldChar w:fldCharType="begin" w:fldLock="1"/>
    </w:r>
    <w:r w:rsidRPr="00FA48FD">
      <w:instrText xml:space="preserve"> DOCPROPERTY "SvarFrasKort" *\charformat </w:instrText>
    </w:r>
    <w:r w:rsidRPr="00FA48FD">
      <w:fldChar w:fldCharType="end"/>
    </w:r>
  </w:p>
  <w:p w:rsidR="00FA48FD" w:rsidRPr="00FA48FD" w:rsidRDefault="00FA48FD">
    <w:pPr>
      <w:pStyle w:val="FSHTitel"/>
    </w:pPr>
    <w:r w:rsidRPr="00FA48FD">
      <w:fldChar w:fldCharType="begin" w:fldLock="1"/>
    </w:r>
    <w:r w:rsidRPr="00FA48FD">
      <w:instrText xml:space="preserve"> DOCPROPERTY</w:instrText>
    </w:r>
    <w:r w:rsidRPr="00FA48FD">
      <w:rPr>
        <w:sz w:val="18"/>
      </w:rPr>
      <w:instrText xml:space="preserve"> "RubrikSvar" *\charformat </w:instrText>
    </w:r>
    <w:r w:rsidRPr="00FA48FD">
      <w:fldChar w:fldCharType="separate"/>
    </w:r>
    <w:r w:rsidRPr="00FA48FD">
      <w:t>Informationsfrihet och leverantörsneutralitet i IT-samhället</w:t>
    </w:r>
    <w:r w:rsidRPr="00FA48FD">
      <w:fldChar w:fldCharType="end"/>
    </w:r>
  </w:p>
  <w:p w:rsidR="00FA48FD" w:rsidRPr="00FA48FD" w:rsidRDefault="00FA48FD">
    <w:pPr>
      <w:pStyle w:val="Normal00"/>
    </w:pPr>
  </w:p>
  <w:p w:rsidR="00FA48FD" w:rsidRPr="00FA48FD" w:rsidRDefault="00FA4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844710">
    <w:abstractNumId w:val="8"/>
  </w:num>
  <w:num w:numId="2" w16cid:durableId="1183664735">
    <w:abstractNumId w:val="9"/>
  </w:num>
  <w:num w:numId="3" w16cid:durableId="1601599792">
    <w:abstractNumId w:val="8"/>
  </w:num>
  <w:num w:numId="4" w16cid:durableId="1992900304">
    <w:abstractNumId w:val="9"/>
  </w:num>
  <w:num w:numId="5" w16cid:durableId="1616908258">
    <w:abstractNumId w:val="13"/>
  </w:num>
  <w:num w:numId="6" w16cid:durableId="345903797">
    <w:abstractNumId w:val="10"/>
  </w:num>
  <w:num w:numId="7" w16cid:durableId="1795102171">
    <w:abstractNumId w:val="11"/>
  </w:num>
  <w:num w:numId="8" w16cid:durableId="601376682">
    <w:abstractNumId w:val="12"/>
  </w:num>
  <w:num w:numId="9" w16cid:durableId="2061853819">
    <w:abstractNumId w:val="8"/>
  </w:num>
  <w:num w:numId="10" w16cid:durableId="127169516">
    <w:abstractNumId w:val="3"/>
  </w:num>
  <w:num w:numId="11" w16cid:durableId="1910916870">
    <w:abstractNumId w:val="2"/>
  </w:num>
  <w:num w:numId="12" w16cid:durableId="1790974780">
    <w:abstractNumId w:val="1"/>
  </w:num>
  <w:num w:numId="13" w16cid:durableId="2142767328">
    <w:abstractNumId w:val="0"/>
  </w:num>
  <w:num w:numId="14" w16cid:durableId="1009909878">
    <w:abstractNumId w:val="9"/>
  </w:num>
  <w:num w:numId="15" w16cid:durableId="1258563608">
    <w:abstractNumId w:val="7"/>
  </w:num>
  <w:num w:numId="16" w16cid:durableId="1641152543">
    <w:abstractNumId w:val="6"/>
  </w:num>
  <w:num w:numId="17" w16cid:durableId="1669554156">
    <w:abstractNumId w:val="5"/>
  </w:num>
  <w:num w:numId="18" w16cid:durableId="44527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79CE40E-51F1-4263-8950-5F909F9E9AC2}"/>
  </w:docVars>
  <w:rsids>
    <w:rsidRoot w:val="00B55EED"/>
    <w:rsid w:val="00B55EED"/>
    <w:rsid w:val="00FA4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6B10621-8AE1-4D2E-9139-299B67B1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rmatmallVerdanaLatin85ptFet">
    <w:name w:val="Formatmall Verdana (Latin) 85 pt Fet"/>
    <w:basedOn w:val="Standardstycketeckensnitt"/>
    <w:rPr>
      <w:rFonts w:ascii="Verdana" w:hAnsi="Verdana"/>
      <w:b/>
      <w:bCs/>
      <w:sz w:val="17"/>
    </w:rPr>
  </w:style>
  <w:style w:type="paragraph" w:styleId="Oformateradtext">
    <w:name w:val="Plain Text"/>
    <w:basedOn w:val="Normal"/>
    <w:pPr>
      <w:spacing w:line="240" w:lineRule="auto"/>
    </w:pPr>
    <w:rPr>
      <w:rFonts w:ascii="Courier New" w:hAnsi="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713379">
      <w:bodyDiv w:val="1"/>
      <w:marLeft w:val="0"/>
      <w:marRight w:val="0"/>
      <w:marTop w:val="0"/>
      <w:marBottom w:val="0"/>
      <w:divBdr>
        <w:top w:val="none" w:sz="0" w:space="0" w:color="auto"/>
        <w:left w:val="none" w:sz="0" w:space="0" w:color="auto"/>
        <w:bottom w:val="none" w:sz="0" w:space="0" w:color="auto"/>
        <w:right w:val="none" w:sz="0" w:space="0" w:color="auto"/>
      </w:divBdr>
      <w:divsChild>
        <w:div w:id="732505120">
          <w:marLeft w:val="-15"/>
          <w:marRight w:val="-15"/>
          <w:marTop w:val="0"/>
          <w:marBottom w:val="0"/>
          <w:divBdr>
            <w:top w:val="none" w:sz="0" w:space="0" w:color="auto"/>
            <w:left w:val="single" w:sz="6" w:space="0" w:color="DADADA"/>
            <w:bottom w:val="none" w:sz="0" w:space="0" w:color="auto"/>
            <w:right w:val="single" w:sz="6" w:space="0" w:color="DADADA"/>
          </w:divBdr>
          <w:divsChild>
            <w:div w:id="436683381">
              <w:marLeft w:val="0"/>
              <w:marRight w:val="0"/>
              <w:marTop w:val="0"/>
              <w:marBottom w:val="0"/>
              <w:divBdr>
                <w:top w:val="none" w:sz="0" w:space="0" w:color="auto"/>
                <w:left w:val="single" w:sz="48" w:space="0" w:color="FFFFFF"/>
                <w:bottom w:val="none" w:sz="0" w:space="0" w:color="auto"/>
                <w:right w:val="none" w:sz="0" w:space="0" w:color="auto"/>
              </w:divBdr>
              <w:divsChild>
                <w:div w:id="1461917651">
                  <w:marLeft w:val="-15"/>
                  <w:marRight w:val="-15"/>
                  <w:marTop w:val="0"/>
                  <w:marBottom w:val="0"/>
                  <w:divBdr>
                    <w:top w:val="none" w:sz="0" w:space="0" w:color="auto"/>
                    <w:left w:val="single" w:sz="6" w:space="0" w:color="F9C661"/>
                    <w:bottom w:val="none" w:sz="0" w:space="0" w:color="auto"/>
                    <w:right w:val="single" w:sz="6" w:space="0" w:color="DADADA"/>
                  </w:divBdr>
                  <w:divsChild>
                    <w:div w:id="1678802408">
                      <w:marLeft w:val="-30"/>
                      <w:marRight w:val="-45"/>
                      <w:marTop w:val="0"/>
                      <w:marBottom w:val="0"/>
                      <w:divBdr>
                        <w:top w:val="none" w:sz="0" w:space="0" w:color="auto"/>
                        <w:left w:val="none" w:sz="0" w:space="0" w:color="auto"/>
                        <w:bottom w:val="none" w:sz="0" w:space="0" w:color="auto"/>
                        <w:right w:val="none" w:sz="0" w:space="0" w:color="auto"/>
                      </w:divBdr>
                      <w:divsChild>
                        <w:div w:id="1728189487">
                          <w:marLeft w:val="0"/>
                          <w:marRight w:val="0"/>
                          <w:marTop w:val="0"/>
                          <w:marBottom w:val="0"/>
                          <w:divBdr>
                            <w:top w:val="none" w:sz="0" w:space="0" w:color="auto"/>
                            <w:left w:val="none" w:sz="0" w:space="0" w:color="auto"/>
                            <w:bottom w:val="none" w:sz="0" w:space="0" w:color="auto"/>
                            <w:right w:val="none" w:sz="0" w:space="0" w:color="auto"/>
                          </w:divBdr>
                          <w:divsChild>
                            <w:div w:id="4970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3383</Characters>
  <Application>Microsoft Office Word</Application>
  <DocSecurity>4</DocSecurity>
  <Lines>61</Lines>
  <Paragraphs>13</Paragraphs>
  <ScaleCrop>false</ScaleCrop>
  <HeadingPairs>
    <vt:vector size="2" baseType="variant">
      <vt:variant>
        <vt:lpstr>Rubrik</vt:lpstr>
      </vt:variant>
      <vt:variant>
        <vt:i4>1</vt:i4>
      </vt:variant>
    </vt:vector>
  </HeadingPairs>
  <TitlesOfParts>
    <vt:vector size="1" baseType="lpstr">
      <vt:lpstr>fp1085</vt:lpstr>
    </vt:vector>
  </TitlesOfParts>
  <Company>Riksdagen</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fp1085</dc:title>
  <dc:subject>fp1085</dc:subject>
  <dc:creator>Riksdagen</dc:creator>
  <cp:keywords>Riksdagen</cp:keywords>
  <dc:description>Nya formatmallshantering för förslag+urix bakåtkomp+könamn</dc:description>
  <cp:lastModifiedBy>Lars Brink</cp:lastModifiedBy>
  <cp:revision>2</cp:revision>
  <cp:lastPrinted>2010-01-29T11:46:00Z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Informationsfrihet och leverantörsneutralitet i IT-samhället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Informationsfrihet och leverantörsneutralitet i IT-samhället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20092010000001020112000010850069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20092010000001020112000010850069</vt:lpwstr>
  </property>
  <property fmtid="{D5CDD505-2E9C-101B-9397-08002B2CF9AE}" pid="50" name="nummer">
    <vt:lpwstr>489</vt:lpwstr>
  </property>
  <property fmtid="{D5CDD505-2E9C-101B-9397-08002B2CF9AE}" pid="51" name="utskottsbeteckning">
    <vt:lpwstr>N</vt:lpwstr>
  </property>
  <property fmtid="{D5CDD505-2E9C-101B-9397-08002B2CF9AE}" pid="52" name="GlobalUID">
    <vt:lpwstr>{3194A3B4-6C61-4519-BB59-1D0A03D59F3A}</vt:lpwstr>
  </property>
  <property fmtid="{D5CDD505-2E9C-101B-9397-08002B2CF9AE}" pid="53" name="Överföringar">
    <vt:i4>0</vt:i4>
  </property>
  <property fmtid="{D5CDD505-2E9C-101B-9397-08002B2CF9AE}" pid="54" name="Checksum">
    <vt:lpwstr>*0005407189846*</vt:lpwstr>
  </property>
  <property fmtid="{D5CDD505-2E9C-101B-9397-08002B2CF9AE}" pid="55" name="skuggnummer">
    <vt:lpwstr>3808</vt:lpwstr>
  </property>
  <property fmtid="{D5CDD505-2E9C-101B-9397-08002B2CF9AE}" pid="56" name="urixVersion">
    <vt:lpwstr>4.1.0.6</vt:lpwstr>
  </property>
  <property fmtid="{D5CDD505-2E9C-101B-9397-08002B2CF9AE}" pid="57" name="urixOrigin">
    <vt:lpwstr>100129 12:46:30.411</vt:lpwstr>
  </property>
  <property fmtid="{D5CDD505-2E9C-101B-9397-08002B2CF9AE}" pid="58" name="urixGuid">
    <vt:lpwstr>{127EA603-122C-4BED-8F41-260889A78626}</vt:lpwstr>
  </property>
</Properties>
</file>