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9EEDDB3C5942EFA1041FFA05461B10"/>
        </w:placeholder>
        <w:text/>
      </w:sdtPr>
      <w:sdtEndPr/>
      <w:sdtContent>
        <w:p w:rsidRPr="009B062B" w:rsidR="00AF30DD" w:rsidP="00DA28CE" w:rsidRDefault="00AF30DD" w14:paraId="7685AB19" w14:textId="77777777">
          <w:pPr>
            <w:pStyle w:val="Rubrik1"/>
            <w:spacing w:after="300"/>
          </w:pPr>
          <w:r w:rsidRPr="009B062B">
            <w:t>Förslag till riksdagsbeslut</w:t>
          </w:r>
        </w:p>
      </w:sdtContent>
    </w:sdt>
    <w:sdt>
      <w:sdtPr>
        <w:alias w:val="Yrkande 1"/>
        <w:tag w:val="8f5c8c53-ce48-4dd7-8dcd-1522aadd4796"/>
        <w:id w:val="824480025"/>
        <w:lock w:val="sdtLocked"/>
      </w:sdtPr>
      <w:sdtEndPr/>
      <w:sdtContent>
        <w:p w:rsidR="000140B8" w:rsidRDefault="0048412E" w14:paraId="1D59C976" w14:textId="77777777">
          <w:pPr>
            <w:pStyle w:val="Frslagstext"/>
            <w:numPr>
              <w:ilvl w:val="0"/>
              <w:numId w:val="0"/>
            </w:numPr>
          </w:pPr>
          <w:r>
            <w:t>Riksdagen anvisar anslagen för 2019 inom utgiftsområde 27 Avgiften till Europeiska unionen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73DA18B7941248DAA5ACCBBA5396B787"/>
        </w:placeholder>
        <w:text/>
      </w:sdtPr>
      <w:sdtEndPr/>
      <w:sdtContent>
        <w:p w:rsidRPr="009B062B" w:rsidR="006D79C9" w:rsidP="00333E95" w:rsidRDefault="006D79C9" w14:paraId="5D94E688" w14:textId="77777777">
          <w:pPr>
            <w:pStyle w:val="Rubrik1"/>
          </w:pPr>
          <w:r>
            <w:t>Motivering</w:t>
          </w:r>
        </w:p>
      </w:sdtContent>
    </w:sdt>
    <w:p w:rsidRPr="006F14F5" w:rsidR="006F14F5" w:rsidP="006F14F5" w:rsidRDefault="006F14F5" w14:paraId="345CCA25" w14:textId="77777777">
      <w:pPr>
        <w:spacing w:before="80"/>
        <w:ind w:firstLine="0"/>
      </w:pPr>
      <w:r w:rsidRPr="006F14F5">
        <w:t xml:space="preserve">I en tid av växande populism och nationalism står Liberalerna upp för samarbete över gränserna. Som liberaler vill vi att Sverige ska delta fullt ut i Europasamarbetet och sträva efter att vara en del av EU:s kärna. Samarbetet i Europa gör individen friare, Sverige rikare och vår omvärld tryggare. EU-samarbetet ger möjligheter att lösa gränsöverskridande problem, trygga demokratin, underlätta ekonomisk utveckling, förbättra miljön och bekämpa gränsöverskridande brottslighet. </w:t>
      </w:r>
    </w:p>
    <w:p w:rsidRPr="006F14F5" w:rsidR="006F14F5" w:rsidP="006F14F5" w:rsidRDefault="006F14F5" w14:paraId="66C3C601" w14:textId="77777777">
      <w:pPr>
        <w:shd w:val="clear" w:color="auto" w:fill="FFFFFF"/>
        <w:tabs>
          <w:tab w:val="clear" w:pos="284"/>
        </w:tabs>
        <w:rPr>
          <w:szCs w:val="26"/>
        </w:rPr>
      </w:pPr>
      <w:r w:rsidRPr="006F14F5">
        <w:rPr>
          <w:szCs w:val="26"/>
        </w:rPr>
        <w:t xml:space="preserve">Liberalerna anser att Sverige ska ha höga ambitioner för det europeiska samarbetet. Inom områden som klimat, migration, försvar, forskning, brottsbekämpning och konkurrenskraft behöver unionens samarbete fördjupas. Givet att EU:s budget reformeras och moderniseras kan det vara </w:t>
      </w:r>
      <w:r w:rsidRPr="006F14F5">
        <w:rPr>
          <w:szCs w:val="26"/>
        </w:rPr>
        <w:lastRenderedPageBreak/>
        <w:t>motiverat att skjuta till nya medel. EU:s resurser ska investeras i prioriterade områden som på sikt genererar tillväxt och välstånd för EU:s medborgare vilket minskar behovet av nationella satsningar på dessa områden.</w:t>
      </w:r>
    </w:p>
    <w:p w:rsidR="006F14F5" w:rsidP="006F14F5" w:rsidRDefault="006F14F5" w14:paraId="7F900906" w14:textId="05D92E35">
      <w:pPr>
        <w:rPr>
          <w:szCs w:val="26"/>
        </w:rPr>
      </w:pPr>
      <w:r w:rsidRPr="006F14F5">
        <w:rPr>
          <w:szCs w:val="26"/>
        </w:rPr>
        <w:t xml:space="preserve">Principerna om subsidiaritet, europeiskt mervärde, proportionalitet och sund ekonomisk förvaltning bör fortsatt vara vägledande. Liberalernas förväntning är att kostnaderna inom utgiftsområdet förblir relativt fasta under 2019 och 2020. Vi ser ingen anledning att ifrågasätta de föreslagna prognoserna för dessa år, men är medvetna om att det kan komma att ändras. Under 2021 kommer avgiften däremot fastställas enligt de nya ramar i långtidsbudgeten för 2021–2027 som nu förhandlas. I dessa förhandlingar har den svenska ståndpunkten varit problematisk och </w:t>
      </w:r>
      <w:r w:rsidR="001B5FCE">
        <w:rPr>
          <w:szCs w:val="26"/>
        </w:rPr>
        <w:t>allt</w:t>
      </w:r>
      <w:r w:rsidRPr="006F14F5">
        <w:rPr>
          <w:szCs w:val="26"/>
        </w:rPr>
        <w:t>för restriktiv då det aviserats att Sverige inte ska acceptera en långtidsbudget där den svenska avgiften ökas i relation till dagens situation. Då förhandlingarna är pågående saknas det dock förutsättningar för oss att uppskatta någon annan avgift under 2021 än den som föreslås i budget</w:t>
      </w:r>
      <w:r w:rsidR="001B5FCE">
        <w:rPr>
          <w:szCs w:val="26"/>
        </w:rPr>
        <w:softHyphen/>
      </w:r>
      <w:bookmarkStart w:name="_GoBack" w:id="1"/>
      <w:bookmarkEnd w:id="1"/>
      <w:r w:rsidRPr="006F14F5">
        <w:rPr>
          <w:szCs w:val="26"/>
        </w:rPr>
        <w:t xml:space="preserve">propositionen även om avgiften kommande år troligen kommer att ändras. </w:t>
      </w:r>
    </w:p>
    <w:p w:rsidR="001B5FCE" w:rsidP="001B5FCE" w:rsidRDefault="001B5FCE" w14:paraId="1DDB0AB3" w14:textId="0083D623">
      <w:pPr>
        <w:pStyle w:val="Tabellrubrik"/>
        <w:spacing w:before="240"/>
      </w:pPr>
      <w:r>
        <w:t xml:space="preserve">Tabell 1 </w:t>
      </w:r>
      <w:r w:rsidRPr="001B5FCE">
        <w:t>Anslagsförslag 2019 för utgiftsområde 27 Avgiften till Europeiska unionen</w:t>
      </w:r>
    </w:p>
    <w:p w:rsidRPr="001B5FCE" w:rsidR="001B5FCE" w:rsidP="001B5FCE" w:rsidRDefault="001B5FCE" w14:paraId="33B2A8AE" w14:textId="037DAEE0">
      <w:pPr>
        <w:pStyle w:val="Tabellunderrubrik"/>
      </w:pPr>
      <w:r w:rsidRPr="001B5FCE">
        <w:t>Tusental kronor</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57"/>
        <w:gridCol w:w="2690"/>
        <w:gridCol w:w="1756"/>
        <w:gridCol w:w="2591"/>
      </w:tblGrid>
      <w:tr w:rsidRPr="001B5FCE" w:rsidR="00864CD8" w:rsidTr="001B5FCE" w14:paraId="2DF914BA" w14:textId="77777777">
        <w:trPr>
          <w:trHeight w:val="285"/>
        </w:trPr>
        <w:tc>
          <w:tcPr>
            <w:tcW w:w="1457" w:type="dxa"/>
            <w:tcBorders>
              <w:top w:val="single" w:color="auto" w:sz="4" w:space="0"/>
              <w:bottom w:val="single" w:color="auto" w:sz="4" w:space="0"/>
            </w:tcBorders>
            <w:noWrap/>
            <w:hideMark/>
          </w:tcPr>
          <w:p w:rsidRPr="001B5FCE" w:rsidR="00864CD8" w:rsidP="001B5FCE" w:rsidRDefault="00864CD8" w14:paraId="0836E945" w14:textId="77777777">
            <w:pPr>
              <w:spacing w:before="80" w:line="240" w:lineRule="exact"/>
              <w:ind w:firstLine="0"/>
              <w:rPr>
                <w:b/>
                <w:bCs/>
                <w:sz w:val="20"/>
                <w:szCs w:val="20"/>
              </w:rPr>
            </w:pPr>
            <w:r w:rsidRPr="001B5FCE">
              <w:rPr>
                <w:b/>
                <w:bCs/>
                <w:sz w:val="20"/>
                <w:szCs w:val="20"/>
              </w:rPr>
              <w:t>Ramanslag</w:t>
            </w:r>
          </w:p>
        </w:tc>
        <w:tc>
          <w:tcPr>
            <w:tcW w:w="2690" w:type="dxa"/>
            <w:tcBorders>
              <w:top w:val="single" w:color="auto" w:sz="4" w:space="0"/>
              <w:bottom w:val="single" w:color="auto" w:sz="4" w:space="0"/>
            </w:tcBorders>
            <w:noWrap/>
            <w:hideMark/>
          </w:tcPr>
          <w:p w:rsidRPr="001B5FCE" w:rsidR="00864CD8" w:rsidP="001B5FCE" w:rsidRDefault="00864CD8" w14:paraId="3D9FA4FA" w14:textId="77777777">
            <w:pPr>
              <w:spacing w:before="80" w:line="240" w:lineRule="exact"/>
              <w:ind w:firstLine="0"/>
              <w:rPr>
                <w:b/>
                <w:bCs/>
                <w:sz w:val="20"/>
                <w:szCs w:val="20"/>
              </w:rPr>
            </w:pPr>
          </w:p>
        </w:tc>
        <w:tc>
          <w:tcPr>
            <w:tcW w:w="1756" w:type="dxa"/>
            <w:tcBorders>
              <w:top w:val="single" w:color="auto" w:sz="4" w:space="0"/>
              <w:bottom w:val="single" w:color="auto" w:sz="4" w:space="0"/>
            </w:tcBorders>
            <w:noWrap/>
            <w:vAlign w:val="bottom"/>
            <w:hideMark/>
          </w:tcPr>
          <w:p w:rsidRPr="001B5FCE" w:rsidR="00864CD8" w:rsidP="001B5FCE" w:rsidRDefault="00864CD8" w14:paraId="3088EB67" w14:textId="77777777">
            <w:pPr>
              <w:spacing w:before="80" w:line="240" w:lineRule="exact"/>
              <w:ind w:firstLine="0"/>
              <w:jc w:val="right"/>
              <w:rPr>
                <w:b/>
                <w:bCs/>
                <w:sz w:val="20"/>
                <w:szCs w:val="20"/>
              </w:rPr>
            </w:pPr>
            <w:r w:rsidRPr="001B5FCE">
              <w:rPr>
                <w:b/>
                <w:bCs/>
                <w:sz w:val="20"/>
                <w:szCs w:val="20"/>
              </w:rPr>
              <w:t>Regeringens förslag</w:t>
            </w:r>
          </w:p>
        </w:tc>
        <w:tc>
          <w:tcPr>
            <w:tcW w:w="2591" w:type="dxa"/>
            <w:tcBorders>
              <w:top w:val="single" w:color="auto" w:sz="4" w:space="0"/>
              <w:bottom w:val="single" w:color="auto" w:sz="4" w:space="0"/>
            </w:tcBorders>
            <w:noWrap/>
            <w:vAlign w:val="bottom"/>
            <w:hideMark/>
          </w:tcPr>
          <w:p w:rsidRPr="001B5FCE" w:rsidR="00864CD8" w:rsidP="001B5FCE" w:rsidRDefault="00864CD8" w14:paraId="0FBBAD6E" w14:textId="77777777">
            <w:pPr>
              <w:spacing w:before="80" w:line="240" w:lineRule="exact"/>
              <w:ind w:firstLine="0"/>
              <w:jc w:val="right"/>
              <w:rPr>
                <w:b/>
                <w:bCs/>
                <w:sz w:val="20"/>
                <w:szCs w:val="20"/>
              </w:rPr>
            </w:pPr>
            <w:r w:rsidRPr="001B5FCE">
              <w:rPr>
                <w:b/>
                <w:bCs/>
                <w:sz w:val="20"/>
                <w:szCs w:val="20"/>
              </w:rPr>
              <w:t>Avvikelse från regeringen (L)</w:t>
            </w:r>
          </w:p>
        </w:tc>
      </w:tr>
      <w:tr w:rsidRPr="001B5FCE" w:rsidR="00864CD8" w:rsidTr="001B5FCE" w14:paraId="5CBDE159" w14:textId="77777777">
        <w:trPr>
          <w:trHeight w:val="300"/>
        </w:trPr>
        <w:tc>
          <w:tcPr>
            <w:tcW w:w="1457" w:type="dxa"/>
            <w:tcBorders>
              <w:top w:val="single" w:color="auto" w:sz="4" w:space="0"/>
            </w:tcBorders>
            <w:noWrap/>
            <w:hideMark/>
          </w:tcPr>
          <w:p w:rsidRPr="001B5FCE" w:rsidR="00864CD8" w:rsidP="001B5FCE" w:rsidRDefault="00864CD8" w14:paraId="479CED26" w14:textId="77777777">
            <w:pPr>
              <w:spacing w:before="80" w:line="240" w:lineRule="exact"/>
              <w:ind w:firstLine="0"/>
              <w:rPr>
                <w:sz w:val="20"/>
                <w:szCs w:val="20"/>
              </w:rPr>
            </w:pPr>
            <w:r w:rsidRPr="001B5FCE">
              <w:rPr>
                <w:sz w:val="20"/>
                <w:szCs w:val="20"/>
              </w:rPr>
              <w:t>1:1</w:t>
            </w:r>
          </w:p>
        </w:tc>
        <w:tc>
          <w:tcPr>
            <w:tcW w:w="2690" w:type="dxa"/>
            <w:tcBorders>
              <w:top w:val="single" w:color="auto" w:sz="4" w:space="0"/>
            </w:tcBorders>
            <w:noWrap/>
            <w:hideMark/>
          </w:tcPr>
          <w:p w:rsidRPr="001B5FCE" w:rsidR="00864CD8" w:rsidP="001B5FCE" w:rsidRDefault="00864CD8" w14:paraId="6A42B2E1" w14:textId="77777777">
            <w:pPr>
              <w:spacing w:before="80" w:line="240" w:lineRule="exact"/>
              <w:ind w:firstLine="0"/>
              <w:rPr>
                <w:sz w:val="20"/>
                <w:szCs w:val="20"/>
              </w:rPr>
            </w:pPr>
            <w:r w:rsidRPr="001B5FCE">
              <w:rPr>
                <w:sz w:val="20"/>
                <w:szCs w:val="20"/>
              </w:rPr>
              <w:t>Avgiften till Europeiska unionen</w:t>
            </w:r>
          </w:p>
        </w:tc>
        <w:tc>
          <w:tcPr>
            <w:tcW w:w="1756" w:type="dxa"/>
            <w:tcBorders>
              <w:top w:val="single" w:color="auto" w:sz="4" w:space="0"/>
            </w:tcBorders>
            <w:noWrap/>
            <w:vAlign w:val="bottom"/>
            <w:hideMark/>
          </w:tcPr>
          <w:p w:rsidRPr="001B5FCE" w:rsidR="00864CD8" w:rsidP="001B5FCE" w:rsidRDefault="00864CD8" w14:paraId="1BD5470B" w14:textId="6F62730F">
            <w:pPr>
              <w:spacing w:before="80" w:line="240" w:lineRule="exact"/>
              <w:ind w:firstLine="0"/>
              <w:jc w:val="right"/>
              <w:rPr>
                <w:sz w:val="20"/>
                <w:szCs w:val="20"/>
              </w:rPr>
            </w:pPr>
            <w:r w:rsidRPr="001B5FCE">
              <w:rPr>
                <w:sz w:val="20"/>
                <w:szCs w:val="20"/>
              </w:rPr>
              <w:t>40</w:t>
            </w:r>
            <w:r w:rsidR="001B5FCE">
              <w:rPr>
                <w:sz w:val="20"/>
                <w:szCs w:val="20"/>
              </w:rPr>
              <w:t xml:space="preserve"> </w:t>
            </w:r>
            <w:r w:rsidRPr="001B5FCE">
              <w:rPr>
                <w:sz w:val="20"/>
                <w:szCs w:val="20"/>
              </w:rPr>
              <w:t>913</w:t>
            </w:r>
            <w:r w:rsidR="001B5FCE">
              <w:rPr>
                <w:sz w:val="20"/>
                <w:szCs w:val="20"/>
              </w:rPr>
              <w:t xml:space="preserve"> </w:t>
            </w:r>
            <w:r w:rsidRPr="001B5FCE">
              <w:rPr>
                <w:sz w:val="20"/>
                <w:szCs w:val="20"/>
              </w:rPr>
              <w:t>834</w:t>
            </w:r>
          </w:p>
        </w:tc>
        <w:tc>
          <w:tcPr>
            <w:tcW w:w="2591" w:type="dxa"/>
            <w:tcBorders>
              <w:top w:val="single" w:color="auto" w:sz="4" w:space="0"/>
            </w:tcBorders>
            <w:noWrap/>
            <w:vAlign w:val="bottom"/>
            <w:hideMark/>
          </w:tcPr>
          <w:p w:rsidRPr="001B5FCE" w:rsidR="00864CD8" w:rsidP="001B5FCE" w:rsidRDefault="00864CD8" w14:paraId="60133AA6" w14:textId="77777777">
            <w:pPr>
              <w:spacing w:before="80" w:line="240" w:lineRule="exact"/>
              <w:ind w:firstLine="0"/>
              <w:jc w:val="right"/>
              <w:rPr>
                <w:sz w:val="20"/>
                <w:szCs w:val="20"/>
              </w:rPr>
            </w:pPr>
          </w:p>
        </w:tc>
      </w:tr>
      <w:tr w:rsidRPr="001B5FCE" w:rsidR="00864CD8" w:rsidTr="001B5FCE" w14:paraId="4A2F15C8" w14:textId="77777777">
        <w:trPr>
          <w:trHeight w:val="300"/>
        </w:trPr>
        <w:tc>
          <w:tcPr>
            <w:tcW w:w="1457" w:type="dxa"/>
            <w:tcBorders>
              <w:bottom w:val="single" w:color="auto" w:sz="4" w:space="0"/>
            </w:tcBorders>
            <w:noWrap/>
            <w:hideMark/>
          </w:tcPr>
          <w:p w:rsidRPr="001B5FCE" w:rsidR="00864CD8" w:rsidP="001B5FCE" w:rsidRDefault="00864CD8" w14:paraId="7B7AF483" w14:textId="77777777">
            <w:pPr>
              <w:spacing w:before="80" w:line="240" w:lineRule="exact"/>
              <w:ind w:firstLine="0"/>
              <w:rPr>
                <w:b/>
                <w:sz w:val="20"/>
                <w:szCs w:val="20"/>
              </w:rPr>
            </w:pPr>
          </w:p>
        </w:tc>
        <w:tc>
          <w:tcPr>
            <w:tcW w:w="2690" w:type="dxa"/>
            <w:tcBorders>
              <w:bottom w:val="single" w:color="auto" w:sz="4" w:space="0"/>
            </w:tcBorders>
            <w:noWrap/>
            <w:hideMark/>
          </w:tcPr>
          <w:p w:rsidRPr="001B5FCE" w:rsidR="00864CD8" w:rsidP="001B5FCE" w:rsidRDefault="00864CD8" w14:paraId="370335FC" w14:textId="77777777">
            <w:pPr>
              <w:spacing w:before="80" w:line="240" w:lineRule="exact"/>
              <w:ind w:firstLine="0"/>
              <w:rPr>
                <w:b/>
                <w:sz w:val="20"/>
                <w:szCs w:val="20"/>
              </w:rPr>
            </w:pPr>
            <w:r w:rsidRPr="001B5FCE">
              <w:rPr>
                <w:b/>
                <w:sz w:val="20"/>
                <w:szCs w:val="20"/>
              </w:rPr>
              <w:t>Summa</w:t>
            </w:r>
          </w:p>
        </w:tc>
        <w:tc>
          <w:tcPr>
            <w:tcW w:w="1756" w:type="dxa"/>
            <w:tcBorders>
              <w:bottom w:val="single" w:color="auto" w:sz="4" w:space="0"/>
            </w:tcBorders>
            <w:noWrap/>
            <w:vAlign w:val="bottom"/>
            <w:hideMark/>
          </w:tcPr>
          <w:p w:rsidRPr="001B5FCE" w:rsidR="00864CD8" w:rsidP="001B5FCE" w:rsidRDefault="00864CD8" w14:paraId="113AC9B5" w14:textId="3765C6F9">
            <w:pPr>
              <w:spacing w:before="80" w:line="240" w:lineRule="exact"/>
              <w:ind w:firstLine="0"/>
              <w:jc w:val="right"/>
              <w:rPr>
                <w:b/>
                <w:sz w:val="20"/>
                <w:szCs w:val="20"/>
              </w:rPr>
            </w:pPr>
            <w:r w:rsidRPr="001B5FCE">
              <w:rPr>
                <w:b/>
                <w:sz w:val="20"/>
                <w:szCs w:val="20"/>
              </w:rPr>
              <w:t>40</w:t>
            </w:r>
            <w:r w:rsidR="001B5FCE">
              <w:rPr>
                <w:b/>
                <w:sz w:val="20"/>
                <w:szCs w:val="20"/>
              </w:rPr>
              <w:t xml:space="preserve"> </w:t>
            </w:r>
            <w:r w:rsidRPr="001B5FCE">
              <w:rPr>
                <w:b/>
                <w:sz w:val="20"/>
                <w:szCs w:val="20"/>
              </w:rPr>
              <w:t>913</w:t>
            </w:r>
            <w:r w:rsidR="001B5FCE">
              <w:rPr>
                <w:b/>
                <w:sz w:val="20"/>
                <w:szCs w:val="20"/>
              </w:rPr>
              <w:t xml:space="preserve"> </w:t>
            </w:r>
            <w:r w:rsidRPr="001B5FCE">
              <w:rPr>
                <w:b/>
                <w:sz w:val="20"/>
                <w:szCs w:val="20"/>
              </w:rPr>
              <w:t>834</w:t>
            </w:r>
          </w:p>
        </w:tc>
        <w:tc>
          <w:tcPr>
            <w:tcW w:w="2591" w:type="dxa"/>
            <w:tcBorders>
              <w:bottom w:val="single" w:color="auto" w:sz="4" w:space="0"/>
            </w:tcBorders>
            <w:noWrap/>
            <w:vAlign w:val="bottom"/>
            <w:hideMark/>
          </w:tcPr>
          <w:p w:rsidRPr="001B5FCE" w:rsidR="00864CD8" w:rsidP="001B5FCE" w:rsidRDefault="00864CD8" w14:paraId="1758F155" w14:textId="77777777">
            <w:pPr>
              <w:spacing w:before="80" w:line="240" w:lineRule="exact"/>
              <w:ind w:firstLine="0"/>
              <w:jc w:val="right"/>
              <w:rPr>
                <w:b/>
                <w:sz w:val="20"/>
                <w:szCs w:val="20"/>
              </w:rPr>
            </w:pPr>
            <w:r w:rsidRPr="001B5FCE">
              <w:rPr>
                <w:b/>
                <w:sz w:val="20"/>
                <w:szCs w:val="20"/>
              </w:rPr>
              <w:t>0</w:t>
            </w:r>
          </w:p>
        </w:tc>
      </w:tr>
    </w:tbl>
    <w:p w:rsidRPr="006F14F5" w:rsidR="00864CD8" w:rsidP="00864CD8" w:rsidRDefault="00864CD8" w14:paraId="0B637393" w14:textId="77777777">
      <w:pPr>
        <w:ind w:firstLine="0"/>
        <w:rPr>
          <w:szCs w:val="26"/>
        </w:rPr>
      </w:pPr>
    </w:p>
    <w:sdt>
      <w:sdtPr>
        <w:alias w:val="CC_Underskrifter"/>
        <w:tag w:val="CC_Underskrifter"/>
        <w:id w:val="583496634"/>
        <w:lock w:val="sdtContentLocked"/>
        <w:placeholder>
          <w:docPart w:val="B60077899A15478AAA3021BFCB57247F"/>
        </w:placeholder>
      </w:sdtPr>
      <w:sdtEndPr/>
      <w:sdtContent>
        <w:p w:rsidR="00864CD8" w:rsidP="00C51B74" w:rsidRDefault="00864CD8" w14:paraId="6A530548" w14:textId="77777777"/>
        <w:p w:rsidRPr="008E0FE2" w:rsidR="004801AC" w:rsidP="00C51B74" w:rsidRDefault="001B5FCE" w14:paraId="0DFE95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FC3E8D" w:rsidRDefault="00FC3E8D" w14:paraId="143582BE" w14:textId="77777777"/>
    <w:sectPr w:rsidR="00FC3E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0DF95" w14:textId="77777777" w:rsidR="00D065B9" w:rsidRDefault="00D065B9" w:rsidP="000C1CAD">
      <w:pPr>
        <w:spacing w:line="240" w:lineRule="auto"/>
      </w:pPr>
      <w:r>
        <w:separator/>
      </w:r>
    </w:p>
  </w:endnote>
  <w:endnote w:type="continuationSeparator" w:id="0">
    <w:p w14:paraId="000E22BC" w14:textId="77777777" w:rsidR="00D065B9" w:rsidRDefault="00D065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D37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29538" w14:textId="7746CA2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5F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79C63" w14:textId="77777777" w:rsidR="00D065B9" w:rsidRDefault="00D065B9" w:rsidP="000C1CAD">
      <w:pPr>
        <w:spacing w:line="240" w:lineRule="auto"/>
      </w:pPr>
      <w:r>
        <w:separator/>
      </w:r>
    </w:p>
  </w:footnote>
  <w:footnote w:type="continuationSeparator" w:id="0">
    <w:p w14:paraId="33B74939" w14:textId="77777777" w:rsidR="00D065B9" w:rsidRDefault="00D065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625D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5FCE" w14:paraId="336E0508" w14:textId="77777777">
                          <w:pPr>
                            <w:jc w:val="right"/>
                          </w:pPr>
                          <w:sdt>
                            <w:sdtPr>
                              <w:alias w:val="CC_Noformat_Partikod"/>
                              <w:tag w:val="CC_Noformat_Partikod"/>
                              <w:id w:val="-53464382"/>
                              <w:placeholder>
                                <w:docPart w:val="7982514DC59141B7964BA6ED57FAEB5C"/>
                              </w:placeholder>
                              <w:text/>
                            </w:sdtPr>
                            <w:sdtEndPr/>
                            <w:sdtContent>
                              <w:r w:rsidR="00D065B9">
                                <w:t>L</w:t>
                              </w:r>
                            </w:sdtContent>
                          </w:sdt>
                          <w:sdt>
                            <w:sdtPr>
                              <w:alias w:val="CC_Noformat_Partinummer"/>
                              <w:tag w:val="CC_Noformat_Partinummer"/>
                              <w:id w:val="-1709555926"/>
                              <w:placeholder>
                                <w:docPart w:val="69FE09BFC3FE4485B28A0793C1B4780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5FCE" w14:paraId="336E0508" w14:textId="77777777">
                    <w:pPr>
                      <w:jc w:val="right"/>
                    </w:pPr>
                    <w:sdt>
                      <w:sdtPr>
                        <w:alias w:val="CC_Noformat_Partikod"/>
                        <w:tag w:val="CC_Noformat_Partikod"/>
                        <w:id w:val="-53464382"/>
                        <w:placeholder>
                          <w:docPart w:val="7982514DC59141B7964BA6ED57FAEB5C"/>
                        </w:placeholder>
                        <w:text/>
                      </w:sdtPr>
                      <w:sdtEndPr/>
                      <w:sdtContent>
                        <w:r w:rsidR="00D065B9">
                          <w:t>L</w:t>
                        </w:r>
                      </w:sdtContent>
                    </w:sdt>
                    <w:sdt>
                      <w:sdtPr>
                        <w:alias w:val="CC_Noformat_Partinummer"/>
                        <w:tag w:val="CC_Noformat_Partinummer"/>
                        <w:id w:val="-1709555926"/>
                        <w:placeholder>
                          <w:docPart w:val="69FE09BFC3FE4485B28A0793C1B4780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C3D1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55F501D" w14:textId="77777777">
    <w:pPr>
      <w:jc w:val="right"/>
    </w:pPr>
  </w:p>
  <w:p w:rsidR="00262EA3" w:rsidP="00776B74" w:rsidRDefault="00262EA3" w14:paraId="249148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B5FCE" w14:paraId="3B37CF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5FCE" w14:paraId="672F7C1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065B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B5FCE" w14:paraId="23B7D6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5FCE" w14:paraId="5EB527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:2949</w:t>
        </w:r>
      </w:sdtContent>
    </w:sdt>
  </w:p>
  <w:p w:rsidR="00262EA3" w:rsidP="00E03A3D" w:rsidRDefault="001B5FCE" w14:paraId="66B1F310" w14:textId="77777777">
    <w:pPr>
      <w:pStyle w:val="Motionr"/>
    </w:pPr>
    <w:sdt>
      <w:sdtPr>
        <w:alias w:val="CC_Noformat_Avtext"/>
        <w:tag w:val="CC_Noformat_Avtext"/>
        <w:id w:val="-2020768203"/>
        <w:lock w:val="sdtContentLocked"/>
        <w15:appearance w15:val="hidden"/>
        <w:text/>
      </w:sdtPr>
      <w:sdtEndPr/>
      <w:sdtContent>
        <w:r>
          <w:t>av Mats Persson m.fl. (L)</w:t>
        </w:r>
      </w:sdtContent>
    </w:sdt>
  </w:p>
  <w:sdt>
    <w:sdtPr>
      <w:alias w:val="CC_Noformat_Rubtext"/>
      <w:tag w:val="CC_Noformat_Rubtext"/>
      <w:id w:val="-218060500"/>
      <w:lock w:val="sdtLocked"/>
      <w:text/>
    </w:sdtPr>
    <w:sdtEndPr/>
    <w:sdtContent>
      <w:p w:rsidR="00262EA3" w:rsidP="00283E0F" w:rsidRDefault="00D065B9" w14:paraId="53C6A632" w14:textId="77777777">
        <w:pPr>
          <w:pStyle w:val="FSHRub2"/>
        </w:pPr>
        <w:r>
          <w:t xml:space="preserve">Utgiftsområde 27 Avgiften till Europeiska unionen </w:t>
        </w:r>
      </w:p>
    </w:sdtContent>
  </w:sdt>
  <w:sdt>
    <w:sdtPr>
      <w:alias w:val="CC_Boilerplate_3"/>
      <w:tag w:val="CC_Boilerplate_3"/>
      <w:id w:val="1606463544"/>
      <w:lock w:val="sdtContentLocked"/>
      <w15:appearance w15:val="hidden"/>
      <w:text w:multiLine="1"/>
    </w:sdtPr>
    <w:sdtEndPr/>
    <w:sdtContent>
      <w:p w:rsidR="00262EA3" w:rsidP="00283E0F" w:rsidRDefault="00262EA3" w14:paraId="06E2AF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065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0B8"/>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D62"/>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FCE"/>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039"/>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F90"/>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12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4F5"/>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CD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BA2"/>
    <w:rsid w:val="00C44FC0"/>
    <w:rsid w:val="00C4564E"/>
    <w:rsid w:val="00C45E40"/>
    <w:rsid w:val="00C463D5"/>
    <w:rsid w:val="00C51B74"/>
    <w:rsid w:val="00C51FE8"/>
    <w:rsid w:val="00C529B7"/>
    <w:rsid w:val="00C52BF9"/>
    <w:rsid w:val="00C52DD5"/>
    <w:rsid w:val="00C536E8"/>
    <w:rsid w:val="00C53883"/>
    <w:rsid w:val="00C53B95"/>
    <w:rsid w:val="00C53BDA"/>
    <w:rsid w:val="00C55FD0"/>
    <w:rsid w:val="00C56032"/>
    <w:rsid w:val="00C561D2"/>
    <w:rsid w:val="00C5678E"/>
    <w:rsid w:val="00C56ACC"/>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5B9"/>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E8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2681E7"/>
  <w15:chartTrackingRefBased/>
  <w15:docId w15:val="{A351A976-2313-48EC-B358-1ECDEAEA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0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9EEDDB3C5942EFA1041FFA05461B10"/>
        <w:category>
          <w:name w:val="Allmänt"/>
          <w:gallery w:val="placeholder"/>
        </w:category>
        <w:types>
          <w:type w:val="bbPlcHdr"/>
        </w:types>
        <w:behaviors>
          <w:behavior w:val="content"/>
        </w:behaviors>
        <w:guid w:val="{4F38FDF2-9A0B-423A-A041-6D127AA36FD2}"/>
      </w:docPartPr>
      <w:docPartBody>
        <w:p w:rsidR="00653B52" w:rsidRDefault="00653B52">
          <w:pPr>
            <w:pStyle w:val="EE9EEDDB3C5942EFA1041FFA05461B10"/>
          </w:pPr>
          <w:r w:rsidRPr="005A0A93">
            <w:rPr>
              <w:rStyle w:val="Platshllartext"/>
            </w:rPr>
            <w:t>Förslag till riksdagsbeslut</w:t>
          </w:r>
        </w:p>
      </w:docPartBody>
    </w:docPart>
    <w:docPart>
      <w:docPartPr>
        <w:name w:val="73DA18B7941248DAA5ACCBBA5396B787"/>
        <w:category>
          <w:name w:val="Allmänt"/>
          <w:gallery w:val="placeholder"/>
        </w:category>
        <w:types>
          <w:type w:val="bbPlcHdr"/>
        </w:types>
        <w:behaviors>
          <w:behavior w:val="content"/>
        </w:behaviors>
        <w:guid w:val="{50241FE1-FE86-44C8-ABA8-D21206911E24}"/>
      </w:docPartPr>
      <w:docPartBody>
        <w:p w:rsidR="00653B52" w:rsidRDefault="00653B52">
          <w:pPr>
            <w:pStyle w:val="73DA18B7941248DAA5ACCBBA5396B787"/>
          </w:pPr>
          <w:r w:rsidRPr="005A0A93">
            <w:rPr>
              <w:rStyle w:val="Platshllartext"/>
            </w:rPr>
            <w:t>Motivering</w:t>
          </w:r>
        </w:p>
      </w:docPartBody>
    </w:docPart>
    <w:docPart>
      <w:docPartPr>
        <w:name w:val="7982514DC59141B7964BA6ED57FAEB5C"/>
        <w:category>
          <w:name w:val="Allmänt"/>
          <w:gallery w:val="placeholder"/>
        </w:category>
        <w:types>
          <w:type w:val="bbPlcHdr"/>
        </w:types>
        <w:behaviors>
          <w:behavior w:val="content"/>
        </w:behaviors>
        <w:guid w:val="{02BA9501-4F58-4B65-BB12-C64788039A1F}"/>
      </w:docPartPr>
      <w:docPartBody>
        <w:p w:rsidR="00653B52" w:rsidRDefault="00653B52">
          <w:pPr>
            <w:pStyle w:val="7982514DC59141B7964BA6ED57FAEB5C"/>
          </w:pPr>
          <w:r>
            <w:rPr>
              <w:rStyle w:val="Platshllartext"/>
            </w:rPr>
            <w:t xml:space="preserve"> </w:t>
          </w:r>
        </w:p>
      </w:docPartBody>
    </w:docPart>
    <w:docPart>
      <w:docPartPr>
        <w:name w:val="69FE09BFC3FE4485B28A0793C1B4780D"/>
        <w:category>
          <w:name w:val="Allmänt"/>
          <w:gallery w:val="placeholder"/>
        </w:category>
        <w:types>
          <w:type w:val="bbPlcHdr"/>
        </w:types>
        <w:behaviors>
          <w:behavior w:val="content"/>
        </w:behaviors>
        <w:guid w:val="{DAB67275-53AD-4443-85E8-C72DF9AEE57A}"/>
      </w:docPartPr>
      <w:docPartBody>
        <w:p w:rsidR="00653B52" w:rsidRDefault="00653B52">
          <w:pPr>
            <w:pStyle w:val="69FE09BFC3FE4485B28A0793C1B4780D"/>
          </w:pPr>
          <w:r>
            <w:t xml:space="preserve"> </w:t>
          </w:r>
        </w:p>
      </w:docPartBody>
    </w:docPart>
    <w:docPart>
      <w:docPartPr>
        <w:name w:val="B60077899A15478AAA3021BFCB57247F"/>
        <w:category>
          <w:name w:val="Allmänt"/>
          <w:gallery w:val="placeholder"/>
        </w:category>
        <w:types>
          <w:type w:val="bbPlcHdr"/>
        </w:types>
        <w:behaviors>
          <w:behavior w:val="content"/>
        </w:behaviors>
        <w:guid w:val="{A6E9941E-CF29-4E04-BD21-DBA3F94B406B}"/>
      </w:docPartPr>
      <w:docPartBody>
        <w:p w:rsidR="00675515" w:rsidRDefault="006755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52"/>
    <w:rsid w:val="00653B52"/>
    <w:rsid w:val="00675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9EEDDB3C5942EFA1041FFA05461B10">
    <w:name w:val="EE9EEDDB3C5942EFA1041FFA05461B10"/>
  </w:style>
  <w:style w:type="paragraph" w:customStyle="1" w:styleId="F0CB3ADB25974CDF8FDCD222CA172CB7">
    <w:name w:val="F0CB3ADB25974CDF8FDCD222CA172C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85B6C7F15F4406B22620D95F25077A">
    <w:name w:val="E685B6C7F15F4406B22620D95F25077A"/>
  </w:style>
  <w:style w:type="paragraph" w:customStyle="1" w:styleId="73DA18B7941248DAA5ACCBBA5396B787">
    <w:name w:val="73DA18B7941248DAA5ACCBBA5396B787"/>
  </w:style>
  <w:style w:type="paragraph" w:customStyle="1" w:styleId="A0E1371E758C4811967F9D3CF85CA8BA">
    <w:name w:val="A0E1371E758C4811967F9D3CF85CA8BA"/>
  </w:style>
  <w:style w:type="paragraph" w:customStyle="1" w:styleId="2EB9A8B437CD4B55A5E2E86E39DA961D">
    <w:name w:val="2EB9A8B437CD4B55A5E2E86E39DA961D"/>
  </w:style>
  <w:style w:type="paragraph" w:customStyle="1" w:styleId="7982514DC59141B7964BA6ED57FAEB5C">
    <w:name w:val="7982514DC59141B7964BA6ED57FAEB5C"/>
  </w:style>
  <w:style w:type="paragraph" w:customStyle="1" w:styleId="69FE09BFC3FE4485B28A0793C1B4780D">
    <w:name w:val="69FE09BFC3FE4485B28A0793C1B47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BBBDE-7E9D-45BD-87B7-078D96E0814F}"/>
</file>

<file path=customXml/itemProps2.xml><?xml version="1.0" encoding="utf-8"?>
<ds:datastoreItem xmlns:ds="http://schemas.openxmlformats.org/officeDocument/2006/customXml" ds:itemID="{1CC06197-8E83-4971-AE22-2913ABBE436E}"/>
</file>

<file path=customXml/itemProps3.xml><?xml version="1.0" encoding="utf-8"?>
<ds:datastoreItem xmlns:ds="http://schemas.openxmlformats.org/officeDocument/2006/customXml" ds:itemID="{045266EC-6E50-4D06-B415-12A627CA0A7A}"/>
</file>

<file path=docProps/app.xml><?xml version="1.0" encoding="utf-8"?>
<Properties xmlns="http://schemas.openxmlformats.org/officeDocument/2006/extended-properties" xmlns:vt="http://schemas.openxmlformats.org/officeDocument/2006/docPropsVTypes">
  <Template>Normal</Template>
  <TotalTime>5</TotalTime>
  <Pages>2</Pages>
  <Words>342</Words>
  <Characters>2106</Characters>
  <Application>Microsoft Office Word</Application>
  <DocSecurity>0</DocSecurity>
  <Lines>70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27 Avgiften till Europeiska unionen</vt:lpstr>
      <vt:lpstr>
      </vt:lpstr>
    </vt:vector>
  </TitlesOfParts>
  <Company>Sveriges riksdag</Company>
  <LinksUpToDate>false</LinksUpToDate>
  <CharactersWithSpaces>2419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