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F81D72" w:rsidTr="002F2071">
        <w:tblPrEx>
          <w:tblCellMar>
            <w:top w:w="0" w:type="dxa"/>
            <w:bottom w:w="0" w:type="dxa"/>
          </w:tblCellMar>
        </w:tblPrEx>
        <w:tc>
          <w:tcPr>
            <w:tcW w:w="2268" w:type="dxa"/>
          </w:tcPr>
          <w:p w:rsidR="006E4E11" w:rsidRPr="00F81D72"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F81D72" w:rsidRDefault="006E4E11" w:rsidP="007242A3">
            <w:pPr>
              <w:framePr w:w="5035" w:h="1644" w:wrap="notBeside" w:vAnchor="page" w:hAnchor="page" w:x="6573" w:y="721"/>
              <w:rPr>
                <w:rFonts w:ascii="TradeGothic" w:hAnsi="TradeGothic"/>
                <w:i/>
                <w:sz w:val="18"/>
              </w:rPr>
            </w:pPr>
          </w:p>
        </w:tc>
      </w:tr>
      <w:tr w:rsidR="002F2071" w:rsidRPr="00F81D72" w:rsidTr="002F2071">
        <w:tblPrEx>
          <w:tblCellMar>
            <w:top w:w="0" w:type="dxa"/>
            <w:bottom w:w="0" w:type="dxa"/>
          </w:tblCellMar>
        </w:tblPrEx>
        <w:tc>
          <w:tcPr>
            <w:tcW w:w="5267" w:type="dxa"/>
            <w:gridSpan w:val="3"/>
          </w:tcPr>
          <w:p w:rsidR="002F2071" w:rsidRPr="00F81D72" w:rsidRDefault="002F2071" w:rsidP="007242A3">
            <w:pPr>
              <w:framePr w:w="5035" w:h="1644" w:wrap="notBeside" w:vAnchor="page" w:hAnchor="page" w:x="6573" w:y="721"/>
              <w:rPr>
                <w:rFonts w:ascii="TradeGothic" w:hAnsi="TradeGothic"/>
                <w:b/>
                <w:sz w:val="22"/>
              </w:rPr>
            </w:pPr>
            <w:r w:rsidRPr="00F81D72">
              <w:rPr>
                <w:rFonts w:ascii="TradeGothic" w:hAnsi="TradeGothic"/>
                <w:b/>
                <w:sz w:val="22"/>
              </w:rPr>
              <w:t>Rådspromemoria</w:t>
            </w:r>
            <w:r w:rsidR="00E15962" w:rsidRPr="00F81D72">
              <w:rPr>
                <w:rFonts w:ascii="TradeGothic" w:hAnsi="TradeGothic"/>
                <w:b/>
                <w:sz w:val="22"/>
              </w:rPr>
              <w:t xml:space="preserve"> </w:t>
            </w:r>
          </w:p>
        </w:tc>
      </w:tr>
      <w:tr w:rsidR="006E4E11" w:rsidRPr="00F81D72" w:rsidTr="002F2071">
        <w:tblPrEx>
          <w:tblCellMar>
            <w:top w:w="0" w:type="dxa"/>
            <w:bottom w:w="0" w:type="dxa"/>
          </w:tblCellMar>
        </w:tblPrEx>
        <w:tc>
          <w:tcPr>
            <w:tcW w:w="3402" w:type="dxa"/>
            <w:gridSpan w:val="2"/>
          </w:tcPr>
          <w:p w:rsidR="006E4E11" w:rsidRPr="00F81D72" w:rsidRDefault="006E4E11" w:rsidP="007242A3">
            <w:pPr>
              <w:framePr w:w="5035" w:h="1644" w:wrap="notBeside" w:vAnchor="page" w:hAnchor="page" w:x="6573" w:y="721"/>
            </w:pPr>
          </w:p>
        </w:tc>
        <w:tc>
          <w:tcPr>
            <w:tcW w:w="1865" w:type="dxa"/>
          </w:tcPr>
          <w:p w:rsidR="006E4E11" w:rsidRPr="00F81D72" w:rsidRDefault="006E4E11" w:rsidP="007242A3">
            <w:pPr>
              <w:framePr w:w="5035" w:h="1644" w:wrap="notBeside" w:vAnchor="page" w:hAnchor="page" w:x="6573" w:y="721"/>
            </w:pPr>
          </w:p>
        </w:tc>
      </w:tr>
      <w:tr w:rsidR="006E4E11" w:rsidRPr="00F81D72" w:rsidTr="002F2071">
        <w:tblPrEx>
          <w:tblCellMar>
            <w:top w:w="0" w:type="dxa"/>
            <w:bottom w:w="0" w:type="dxa"/>
          </w:tblCellMar>
        </w:tblPrEx>
        <w:tc>
          <w:tcPr>
            <w:tcW w:w="2268" w:type="dxa"/>
          </w:tcPr>
          <w:p w:rsidR="006E4E11" w:rsidRPr="00F81D72" w:rsidRDefault="002F2071" w:rsidP="007242A3">
            <w:pPr>
              <w:framePr w:w="5035" w:h="1644" w:wrap="notBeside" w:vAnchor="page" w:hAnchor="page" w:x="6573" w:y="721"/>
            </w:pPr>
            <w:r w:rsidRPr="00F81D72">
              <w:t>2009-</w:t>
            </w:r>
            <w:r w:rsidR="008B6750" w:rsidRPr="00F81D72">
              <w:t>1</w:t>
            </w:r>
            <w:r w:rsidR="009404E7" w:rsidRPr="00F81D72">
              <w:t>2-1</w:t>
            </w:r>
            <w:r w:rsidR="001268E8" w:rsidRPr="00F81D72">
              <w:t>4</w:t>
            </w:r>
          </w:p>
        </w:tc>
        <w:tc>
          <w:tcPr>
            <w:tcW w:w="2999" w:type="dxa"/>
            <w:gridSpan w:val="2"/>
          </w:tcPr>
          <w:p w:rsidR="006E4E11" w:rsidRPr="00F81D72" w:rsidRDefault="009404E7" w:rsidP="007242A3">
            <w:pPr>
              <w:framePr w:w="5035" w:h="1644" w:wrap="notBeside" w:vAnchor="page" w:hAnchor="page" w:x="6573" w:y="721"/>
            </w:pPr>
            <w:r w:rsidRPr="00F81D72">
              <w:t>Bilaga 4</w:t>
            </w:r>
          </w:p>
        </w:tc>
      </w:tr>
      <w:tr w:rsidR="006E4E11" w:rsidRPr="00F81D72" w:rsidTr="002F2071">
        <w:tblPrEx>
          <w:tblCellMar>
            <w:top w:w="0" w:type="dxa"/>
            <w:bottom w:w="0" w:type="dxa"/>
          </w:tblCellMar>
        </w:tblPrEx>
        <w:tc>
          <w:tcPr>
            <w:tcW w:w="2268" w:type="dxa"/>
          </w:tcPr>
          <w:p w:rsidR="006E4E11" w:rsidRPr="00F81D72" w:rsidRDefault="006E4E11" w:rsidP="007242A3">
            <w:pPr>
              <w:framePr w:w="5035" w:h="1644" w:wrap="notBeside" w:vAnchor="page" w:hAnchor="page" w:x="6573" w:y="721"/>
            </w:pPr>
          </w:p>
        </w:tc>
        <w:tc>
          <w:tcPr>
            <w:tcW w:w="2999" w:type="dxa"/>
            <w:gridSpan w:val="2"/>
          </w:tcPr>
          <w:p w:rsidR="006E4E11" w:rsidRPr="00F81D72"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F81D72">
        <w:tblPrEx>
          <w:tblCellMar>
            <w:top w:w="0" w:type="dxa"/>
            <w:bottom w:w="0" w:type="dxa"/>
          </w:tblCellMar>
        </w:tblPrEx>
        <w:trPr>
          <w:trHeight w:val="284"/>
        </w:trPr>
        <w:tc>
          <w:tcPr>
            <w:tcW w:w="4911" w:type="dxa"/>
          </w:tcPr>
          <w:p w:rsidR="006E4E11" w:rsidRPr="00F81D72" w:rsidRDefault="002F2071">
            <w:pPr>
              <w:pStyle w:val="Avsndare"/>
              <w:framePr w:h="2483" w:wrap="notBeside" w:x="1504"/>
              <w:rPr>
                <w:b/>
                <w:i w:val="0"/>
                <w:sz w:val="22"/>
              </w:rPr>
            </w:pPr>
            <w:r w:rsidRPr="00F81D72">
              <w:rPr>
                <w:b/>
                <w:i w:val="0"/>
                <w:sz w:val="22"/>
              </w:rPr>
              <w:t>Miljödepartementet</w:t>
            </w:r>
          </w:p>
        </w:tc>
      </w:tr>
      <w:tr w:rsidR="006E4E11" w:rsidRPr="00F81D72">
        <w:tblPrEx>
          <w:tblCellMar>
            <w:top w:w="0" w:type="dxa"/>
            <w:bottom w:w="0" w:type="dxa"/>
          </w:tblCellMar>
        </w:tblPrEx>
        <w:trPr>
          <w:trHeight w:val="284"/>
        </w:trPr>
        <w:tc>
          <w:tcPr>
            <w:tcW w:w="4911" w:type="dxa"/>
          </w:tcPr>
          <w:p w:rsidR="006E4E11" w:rsidRPr="00F81D72" w:rsidRDefault="006E4E11">
            <w:pPr>
              <w:pStyle w:val="Avsndare"/>
              <w:framePr w:h="2483" w:wrap="notBeside" w:x="1504"/>
              <w:rPr>
                <w:bCs/>
                <w:iCs/>
              </w:rPr>
            </w:pPr>
          </w:p>
        </w:tc>
      </w:tr>
      <w:tr w:rsidR="006E4E11" w:rsidRPr="00F81D72">
        <w:tblPrEx>
          <w:tblCellMar>
            <w:top w:w="0" w:type="dxa"/>
            <w:bottom w:w="0" w:type="dxa"/>
          </w:tblCellMar>
        </w:tblPrEx>
        <w:trPr>
          <w:trHeight w:val="284"/>
        </w:trPr>
        <w:tc>
          <w:tcPr>
            <w:tcW w:w="4911" w:type="dxa"/>
          </w:tcPr>
          <w:p w:rsidR="006E4E11" w:rsidRPr="00F81D72" w:rsidRDefault="008B6750">
            <w:pPr>
              <w:pStyle w:val="Avsndare"/>
              <w:framePr w:h="2483" w:wrap="notBeside" w:x="1504"/>
              <w:rPr>
                <w:bCs/>
                <w:iCs/>
              </w:rPr>
            </w:pPr>
            <w:r w:rsidRPr="00F81D72">
              <w:rPr>
                <w:bCs/>
                <w:iCs/>
              </w:rPr>
              <w:t>Enheten för kretslopp och kemikalier</w:t>
            </w:r>
          </w:p>
        </w:tc>
      </w:tr>
      <w:tr w:rsidR="006E4E11" w:rsidRPr="00F81D72">
        <w:tblPrEx>
          <w:tblCellMar>
            <w:top w:w="0" w:type="dxa"/>
            <w:bottom w:w="0" w:type="dxa"/>
          </w:tblCellMar>
        </w:tblPrEx>
        <w:trPr>
          <w:trHeight w:val="284"/>
        </w:trPr>
        <w:tc>
          <w:tcPr>
            <w:tcW w:w="4911" w:type="dxa"/>
          </w:tcPr>
          <w:p w:rsidR="006E4E11" w:rsidRPr="00F81D72" w:rsidRDefault="00CE02B4">
            <w:pPr>
              <w:pStyle w:val="Avsndare"/>
              <w:framePr w:h="2483" w:wrap="notBeside" w:x="1504"/>
              <w:rPr>
                <w:bCs/>
                <w:iCs/>
              </w:rPr>
            </w:pPr>
            <w:r w:rsidRPr="00F81D72">
              <w:rPr>
                <w:bCs/>
                <w:iCs/>
              </w:rPr>
              <w:t>Charlotta Sörqvist</w:t>
            </w:r>
          </w:p>
        </w:tc>
      </w:tr>
      <w:tr w:rsidR="006E4E11" w:rsidRPr="00F81D72">
        <w:tblPrEx>
          <w:tblCellMar>
            <w:top w:w="0" w:type="dxa"/>
            <w:bottom w:w="0" w:type="dxa"/>
          </w:tblCellMar>
        </w:tblPrEx>
        <w:trPr>
          <w:trHeight w:val="284"/>
        </w:trPr>
        <w:tc>
          <w:tcPr>
            <w:tcW w:w="4911" w:type="dxa"/>
          </w:tcPr>
          <w:p w:rsidR="006E4E11" w:rsidRPr="00F81D72" w:rsidRDefault="006E4E11">
            <w:pPr>
              <w:pStyle w:val="Avsndare"/>
              <w:framePr w:h="2483" w:wrap="notBeside" w:x="1504"/>
              <w:rPr>
                <w:bCs/>
                <w:iCs/>
              </w:rPr>
            </w:pPr>
          </w:p>
        </w:tc>
      </w:tr>
      <w:tr w:rsidR="006E4E11" w:rsidRPr="00F81D72">
        <w:tblPrEx>
          <w:tblCellMar>
            <w:top w:w="0" w:type="dxa"/>
            <w:bottom w:w="0" w:type="dxa"/>
          </w:tblCellMar>
        </w:tblPrEx>
        <w:trPr>
          <w:trHeight w:val="284"/>
        </w:trPr>
        <w:tc>
          <w:tcPr>
            <w:tcW w:w="4911" w:type="dxa"/>
          </w:tcPr>
          <w:p w:rsidR="006E4E11" w:rsidRPr="00F81D72" w:rsidRDefault="006E4E11">
            <w:pPr>
              <w:pStyle w:val="Avsndare"/>
              <w:framePr w:h="2483" w:wrap="notBeside" w:x="1504"/>
              <w:rPr>
                <w:bCs/>
                <w:iCs/>
              </w:rPr>
            </w:pPr>
          </w:p>
        </w:tc>
      </w:tr>
      <w:tr w:rsidR="006E4E11" w:rsidRPr="00F81D72">
        <w:tblPrEx>
          <w:tblCellMar>
            <w:top w:w="0" w:type="dxa"/>
            <w:bottom w:w="0" w:type="dxa"/>
          </w:tblCellMar>
        </w:tblPrEx>
        <w:trPr>
          <w:trHeight w:val="284"/>
        </w:trPr>
        <w:tc>
          <w:tcPr>
            <w:tcW w:w="4911" w:type="dxa"/>
          </w:tcPr>
          <w:p w:rsidR="006E4E11" w:rsidRPr="00F81D72" w:rsidRDefault="006E4E11">
            <w:pPr>
              <w:pStyle w:val="Avsndare"/>
              <w:framePr w:h="2483" w:wrap="notBeside" w:x="1504"/>
              <w:rPr>
                <w:bCs/>
                <w:iCs/>
              </w:rPr>
            </w:pPr>
          </w:p>
        </w:tc>
      </w:tr>
      <w:tr w:rsidR="006E4E11" w:rsidRPr="00F81D72">
        <w:tblPrEx>
          <w:tblCellMar>
            <w:top w:w="0" w:type="dxa"/>
            <w:bottom w:w="0" w:type="dxa"/>
          </w:tblCellMar>
        </w:tblPrEx>
        <w:trPr>
          <w:trHeight w:val="284"/>
        </w:trPr>
        <w:tc>
          <w:tcPr>
            <w:tcW w:w="4911" w:type="dxa"/>
          </w:tcPr>
          <w:p w:rsidR="006E4E11" w:rsidRPr="00F81D72" w:rsidRDefault="006E4E11">
            <w:pPr>
              <w:pStyle w:val="Avsndare"/>
              <w:framePr w:h="2483" w:wrap="notBeside" w:x="1504"/>
              <w:rPr>
                <w:bCs/>
                <w:iCs/>
              </w:rPr>
            </w:pPr>
          </w:p>
        </w:tc>
      </w:tr>
      <w:tr w:rsidR="006E4E11" w:rsidRPr="00F81D72">
        <w:tblPrEx>
          <w:tblCellMar>
            <w:top w:w="0" w:type="dxa"/>
            <w:bottom w:w="0" w:type="dxa"/>
          </w:tblCellMar>
        </w:tblPrEx>
        <w:trPr>
          <w:trHeight w:val="284"/>
        </w:trPr>
        <w:tc>
          <w:tcPr>
            <w:tcW w:w="4911" w:type="dxa"/>
          </w:tcPr>
          <w:p w:rsidR="006E4E11" w:rsidRPr="00F81D72" w:rsidRDefault="006E4E11">
            <w:pPr>
              <w:pStyle w:val="Avsndare"/>
              <w:framePr w:h="2483" w:wrap="notBeside" w:x="1504"/>
              <w:rPr>
                <w:bCs/>
                <w:iCs/>
              </w:rPr>
            </w:pPr>
          </w:p>
        </w:tc>
      </w:tr>
    </w:tbl>
    <w:p w:rsidR="006E4E11" w:rsidRPr="00F81D72" w:rsidRDefault="006E4E11">
      <w:pPr>
        <w:framePr w:w="4400" w:h="2523" w:wrap="notBeside" w:vAnchor="page" w:hAnchor="page" w:x="6453" w:y="2445"/>
        <w:ind w:left="142"/>
        <w:rPr>
          <w:b/>
        </w:rPr>
      </w:pPr>
    </w:p>
    <w:p w:rsidR="002F2071" w:rsidRPr="00F81D72" w:rsidRDefault="008B6750">
      <w:pPr>
        <w:pStyle w:val="RKrubrik"/>
        <w:pBdr>
          <w:bottom w:val="single" w:sz="6" w:space="1" w:color="auto"/>
        </w:pBdr>
      </w:pPr>
      <w:bookmarkStart w:id="0" w:name="bRubrik"/>
      <w:bookmarkEnd w:id="0"/>
      <w:r w:rsidRPr="00F81D72">
        <w:t>Rådets möte (miljö) den 22 december</w:t>
      </w:r>
    </w:p>
    <w:p w:rsidR="002F2071" w:rsidRPr="00F81D72" w:rsidRDefault="002F2071">
      <w:pPr>
        <w:pStyle w:val="RKnormal"/>
      </w:pPr>
    </w:p>
    <w:p w:rsidR="002F2071" w:rsidRPr="00F81D72" w:rsidRDefault="008B6750">
      <w:pPr>
        <w:pStyle w:val="RKnormal"/>
      </w:pPr>
      <w:r w:rsidRPr="00F81D72">
        <w:t>Dagordningspunkt 7</w:t>
      </w:r>
    </w:p>
    <w:p w:rsidR="002F2071" w:rsidRPr="00F81D72" w:rsidRDefault="002F2071">
      <w:pPr>
        <w:pStyle w:val="RKnormal"/>
      </w:pPr>
    </w:p>
    <w:p w:rsidR="008B6750" w:rsidRPr="00F81D72" w:rsidRDefault="002F2071">
      <w:pPr>
        <w:pStyle w:val="RKnormal"/>
      </w:pPr>
      <w:r w:rsidRPr="00F81D72">
        <w:t>Rubrik:</w:t>
      </w:r>
      <w:r w:rsidR="008B6750" w:rsidRPr="00F81D72">
        <w:t xml:space="preserve"> Proposal for a Regulation of the European Parliament and of the Council on Biocides – Policy debate</w:t>
      </w:r>
    </w:p>
    <w:p w:rsidR="002F2071" w:rsidRPr="00F81D72" w:rsidRDefault="002F2071">
      <w:pPr>
        <w:pStyle w:val="RKnormal"/>
      </w:pPr>
    </w:p>
    <w:p w:rsidR="002F2071" w:rsidRPr="00F81D72" w:rsidRDefault="002F2071">
      <w:pPr>
        <w:pStyle w:val="RKnormal"/>
      </w:pPr>
      <w:r w:rsidRPr="00F81D72">
        <w:t>Dokument:</w:t>
      </w:r>
      <w:r w:rsidR="008B6750" w:rsidRPr="00F81D72">
        <w:t xml:space="preserve"> </w:t>
      </w:r>
    </w:p>
    <w:p w:rsidR="008B6750" w:rsidRPr="00F81D72" w:rsidRDefault="008B6750">
      <w:pPr>
        <w:pStyle w:val="RKnormal"/>
      </w:pPr>
      <w:r w:rsidRPr="00F81D72">
        <w:t>KOM(2009) 267 slutlig</w:t>
      </w:r>
    </w:p>
    <w:p w:rsidR="008B6750" w:rsidRPr="00F81D72" w:rsidRDefault="008B6750">
      <w:pPr>
        <w:pStyle w:val="RKnormal"/>
      </w:pPr>
      <w:r w:rsidRPr="00F81D72">
        <w:t>Förslag till Europaparlamentets förordning och Rådets förordning om utsläppande på marknaden av biocidprodukter.</w:t>
      </w:r>
    </w:p>
    <w:tbl>
      <w:tblPr>
        <w:tblW w:w="7655" w:type="dxa"/>
        <w:tblLayout w:type="fixed"/>
        <w:tblCellMar>
          <w:left w:w="0" w:type="dxa"/>
          <w:right w:w="0" w:type="dxa"/>
        </w:tblCellMar>
        <w:tblLook w:val="0000" w:firstRow="0" w:lastRow="0" w:firstColumn="0" w:lastColumn="0" w:noHBand="0" w:noVBand="0"/>
      </w:tblPr>
      <w:tblGrid>
        <w:gridCol w:w="7655"/>
      </w:tblGrid>
      <w:tr w:rsidR="008B6750" w:rsidRPr="00F81D72" w:rsidTr="00E15962">
        <w:tblPrEx>
          <w:tblCellMar>
            <w:top w:w="0" w:type="dxa"/>
            <w:left w:w="0" w:type="dxa"/>
            <w:bottom w:w="0" w:type="dxa"/>
            <w:right w:w="0" w:type="dxa"/>
          </w:tblCellMar>
        </w:tblPrEx>
        <w:trPr>
          <w:trHeight w:val="120"/>
        </w:trPr>
        <w:tc>
          <w:tcPr>
            <w:tcW w:w="6095" w:type="dxa"/>
          </w:tcPr>
          <w:p w:rsidR="008B6750" w:rsidRPr="00F81D72" w:rsidRDefault="008B6750" w:rsidP="00E15962"/>
        </w:tc>
      </w:tr>
      <w:tr w:rsidR="008B6750" w:rsidRPr="00F81D72" w:rsidTr="00E15962">
        <w:tblPrEx>
          <w:tblCellMar>
            <w:top w:w="0" w:type="dxa"/>
            <w:left w:w="0" w:type="dxa"/>
            <w:bottom w:w="0" w:type="dxa"/>
            <w:right w:w="0" w:type="dxa"/>
          </w:tblCellMar>
        </w:tblPrEx>
        <w:trPr>
          <w:trHeight w:val="120"/>
        </w:trPr>
        <w:tc>
          <w:tcPr>
            <w:tcW w:w="6095" w:type="dxa"/>
          </w:tcPr>
          <w:p w:rsidR="008B6750" w:rsidRPr="00F81D72" w:rsidRDefault="008B6750" w:rsidP="00E15962">
            <w:pPr>
              <w:pStyle w:val="Dokumentbeteckning-titel"/>
            </w:pPr>
          </w:p>
        </w:tc>
      </w:tr>
    </w:tbl>
    <w:p w:rsidR="002F2071" w:rsidRPr="00F81D72" w:rsidRDefault="008B6750">
      <w:pPr>
        <w:pStyle w:val="RKnormal"/>
      </w:pPr>
      <w:r w:rsidRPr="00F81D72">
        <w:t xml:space="preserve">Tidigare dokument: </w:t>
      </w:r>
      <w:r w:rsidR="002F2071" w:rsidRPr="00F81D72">
        <w:t xml:space="preserve">Fakta-PM </w:t>
      </w:r>
      <w:r w:rsidRPr="00F81D72">
        <w:t xml:space="preserve"> M-dep, 2009/10: FPM 13</w:t>
      </w:r>
    </w:p>
    <w:p w:rsidR="002F2071" w:rsidRPr="00F81D72" w:rsidRDefault="002F2071">
      <w:pPr>
        <w:pStyle w:val="RKnormal"/>
      </w:pPr>
      <w:r w:rsidRPr="00F81D72">
        <w:t>Tidigare behandlad vid samråd med EU-nämnden: datum</w:t>
      </w:r>
    </w:p>
    <w:p w:rsidR="002F2071" w:rsidRPr="00F81D72" w:rsidRDefault="002F2071">
      <w:pPr>
        <w:pStyle w:val="RKnormal"/>
      </w:pPr>
    </w:p>
    <w:p w:rsidR="008B6750" w:rsidRPr="00F81D72" w:rsidRDefault="008B6750">
      <w:pPr>
        <w:pStyle w:val="RKnormal"/>
      </w:pPr>
      <w:r w:rsidRPr="00F81D72">
        <w:t>-</w:t>
      </w:r>
    </w:p>
    <w:p w:rsidR="002F2071" w:rsidRPr="00F81D72" w:rsidRDefault="002F2071">
      <w:pPr>
        <w:pStyle w:val="RKrubrik"/>
      </w:pPr>
      <w:r w:rsidRPr="00F81D72">
        <w:t>Bakgrund</w:t>
      </w:r>
    </w:p>
    <w:p w:rsidR="002F2071" w:rsidRPr="00F81D72" w:rsidRDefault="002F2071">
      <w:pPr>
        <w:pStyle w:val="RKnormal"/>
      </w:pPr>
    </w:p>
    <w:p w:rsidR="008B6750" w:rsidRPr="00F81D72" w:rsidRDefault="008B6750" w:rsidP="008B6750">
      <w:r w:rsidRPr="00F81D72">
        <w:t xml:space="preserve">Europaparlamentets och Rådets direktiv 98/8/EG om utsläppande av biocidprodukter på marknaden antogs 1998. Den 12 juni i år föreslog kommissionen en ny förordning om biocider som föreslås ersätta det nuvarande direktivet. Förslaget är omfattande och kan väntas ha förhandlats klart först under slutet av 2010 . Sverige har under sitt ordförandeskap haft tematiska diskussioner om de politiskt viktiga huvudfrågorna i förslaget i syfte att  fokusera diskussionen och förbereda en bra förhandling. En policydebatt planeras på miljörådet  den 22 december. </w:t>
      </w:r>
    </w:p>
    <w:p w:rsidR="008B6750" w:rsidRPr="00F81D72" w:rsidRDefault="008B6750" w:rsidP="008B6750"/>
    <w:p w:rsidR="008B6750" w:rsidRPr="00F81D72" w:rsidRDefault="008B6750" w:rsidP="008B6750">
      <w:r w:rsidRPr="00F81D72">
        <w:t>De grundläggande kraven om vilka produkter som skall tillståndsprövas och prövningens omfattning är i huvudsak oförändrade jämfört med nuvarande direktiv.  Det finns dock ett antal viktiga nyheter i för</w:t>
      </w:r>
      <w:r w:rsidRPr="00F81D72">
        <w:lastRenderedPageBreak/>
        <w:t>slaget såsom att det föreslås en centraliserad tillståndsprövning för vissa biocidprodukter och att tillämpningsområdet utvidgas till att även omfatta biocider i behandlade varor och material. Dessutom anpassas lagstiftningen till de regler som överenskommits i den nyligen färdigförhandlade förordningen om växtskyddsmedel och REACH.</w:t>
      </w:r>
    </w:p>
    <w:p w:rsidR="008B6750" w:rsidRPr="00F81D72" w:rsidRDefault="008B6750" w:rsidP="008B6750"/>
    <w:p w:rsidR="008B6750" w:rsidRPr="00F81D72" w:rsidRDefault="008B6750" w:rsidP="008B6750">
      <w:r w:rsidRPr="00F81D72">
        <w:t>Under det svenska ordförandeskapet har miljöarbetsgruppen tematiskt gått igenom huvuddragen i förslaget. De frågor som miljöminis</w:t>
      </w:r>
      <w:r w:rsidR="00E15962" w:rsidRPr="00F81D72">
        <w:t>trarna förväntas svara på är några centrala områden där politisk vägledning kan behövas framöver.</w:t>
      </w:r>
    </w:p>
    <w:p w:rsidR="00CE02B4" w:rsidRPr="00F81D72" w:rsidRDefault="00CE02B4" w:rsidP="008B6750"/>
    <w:p w:rsidR="00CE02B4" w:rsidRPr="00F81D72" w:rsidRDefault="00CE02B4" w:rsidP="008B6750">
      <w:r w:rsidRPr="00F81D72">
        <w:t>Förslaget kommer att förhandlas aktivt under Spaniens ordförandeskap, men en gemensam ståndpunkt förväntas först under det belgiska ordförandeskapet.</w:t>
      </w:r>
    </w:p>
    <w:p w:rsidR="002F2071" w:rsidRPr="00F81D72" w:rsidRDefault="002F2071">
      <w:pPr>
        <w:pStyle w:val="RKnormal"/>
      </w:pPr>
    </w:p>
    <w:p w:rsidR="002F2071" w:rsidRPr="00F81D72" w:rsidRDefault="002F2071">
      <w:pPr>
        <w:pStyle w:val="RKrubrik"/>
      </w:pPr>
      <w:r w:rsidRPr="00F81D72">
        <w:t>Rättslig grund och beslutsförfarande</w:t>
      </w:r>
    </w:p>
    <w:p w:rsidR="008B6750" w:rsidRPr="00F81D72" w:rsidRDefault="008B6750" w:rsidP="008B6750">
      <w:r w:rsidRPr="00F81D72">
        <w:t>Förslaget grundas på artikel 95 i EG-fördraget, som behandlar åtgärder för att upprätta den inre marknaden och få den att fungera. Beslut fattas med medbeslutandeförfarandet (artikel 251).  Rådet beslutar med kvalificerad majoritet om övriga förutsättningar i EG-fördraget för majoritetsbeslut är uppfyllda.</w:t>
      </w:r>
    </w:p>
    <w:p w:rsidR="002F2071" w:rsidRPr="00F81D72" w:rsidRDefault="002F2071">
      <w:pPr>
        <w:pStyle w:val="RKnormal"/>
      </w:pPr>
    </w:p>
    <w:p w:rsidR="002F2071" w:rsidRPr="00F81D72" w:rsidRDefault="002F2071">
      <w:pPr>
        <w:pStyle w:val="RKrubrik"/>
        <w:rPr>
          <w:i/>
          <w:iCs/>
        </w:rPr>
      </w:pPr>
      <w:r w:rsidRPr="00F81D72">
        <w:rPr>
          <w:i/>
          <w:iCs/>
        </w:rPr>
        <w:t>Svensk ståndpunkt</w:t>
      </w:r>
    </w:p>
    <w:p w:rsidR="00100065" w:rsidRPr="00F81D72" w:rsidRDefault="00100065" w:rsidP="008B6750"/>
    <w:p w:rsidR="00100065" w:rsidRPr="00F81D72" w:rsidRDefault="00100065" w:rsidP="008B6750">
      <w:r w:rsidRPr="00F81D72">
        <w:t xml:space="preserve">Som ordförande är Sveriges mål att policydebatten ska ge politisk vägledning i några centrala förhandlingsfrågor. </w:t>
      </w:r>
    </w:p>
    <w:p w:rsidR="00100065" w:rsidRPr="00F81D72" w:rsidRDefault="00100065" w:rsidP="008B6750"/>
    <w:p w:rsidR="000B6B9A" w:rsidRPr="00F81D72" w:rsidRDefault="00100065" w:rsidP="008B6750">
      <w:r w:rsidRPr="00F81D72">
        <w:t>Sverige som medlemsland förväntas inte yttra sig i debatten. Som framgår av fakta-PM så välkomnar regeringen</w:t>
      </w:r>
      <w:r w:rsidR="008B6750" w:rsidRPr="00F81D72">
        <w:t xml:space="preserve"> i stort kommissionens förslag. Regeringen anser att en revidering av det nuvarande biociddirektivet är motiverat, dels för att hantera tillämpningsproblem som identifierats med dagens regler, dels för att försöka åstadkomma förenklingar i tillämpningen för både företag och myndigheter. </w:t>
      </w:r>
    </w:p>
    <w:p w:rsidR="000B6B9A" w:rsidRPr="00F81D72" w:rsidRDefault="000B6B9A" w:rsidP="008B6750">
      <w:r w:rsidRPr="00F81D72">
        <w:t xml:space="preserve">När det gäller de frågor som kommer att diskuteras i debatten har Sverige följande preliminära ståndpunkter. </w:t>
      </w:r>
    </w:p>
    <w:p w:rsidR="008B6750" w:rsidRPr="00F81D72" w:rsidRDefault="008B6750" w:rsidP="008B6750"/>
    <w:p w:rsidR="008B6750" w:rsidRPr="00F81D72" w:rsidRDefault="008B6750" w:rsidP="008B6750">
      <w:r w:rsidRPr="00F81D72">
        <w:t xml:space="preserve">Förslaget till en </w:t>
      </w:r>
      <w:r w:rsidRPr="00F81D72">
        <w:rPr>
          <w:i/>
        </w:rPr>
        <w:t xml:space="preserve">centraliserad prövning av produkter och verksamma ämnen </w:t>
      </w:r>
      <w:r w:rsidRPr="00F81D72">
        <w:t>kan innebära en förenkling om den tillämpas på produkter som kan behandlas på ett enhetligt sätt i alla medlemsstater, men kan i motsatt fall tänkas leda till ökad byråkrati. Regeringen kan i princip stödja en centraliserad prövning i de fall detta kan leda till en mer rationell hantering som sparar resurser, men tillämpningsområdet för den centraliserade prövningen  måste diskuteras och övervägas noga. Erfarenheterna från biociddirektivet är att prövningen av biocidprodukter innebär mycket stora krav på resurser och kompetens hos nationella myndigheter, krav som kommer att öka under de närmaste åren när de gemensamma reglerna skall börja tillämpas på alla produkter på marknaden. Det är därför viktigt att de nya biocidreglerna förenklar hanteringen även för myndigheterna när så är möjligt. Vidare är det viktigt att möjlighet till avgiftsuttag måste finnas för den utvidgning av nationella myndigheters arbetsuppgifter som som regelförändringarna innebär. Regeringens grundhållning i förhandlingarna är att de avgifter som betalas av företagen till ECHA och medlemsstaterna ska motsvara myndigheternas kostnader för prövningen.</w:t>
      </w:r>
    </w:p>
    <w:p w:rsidR="008B6750" w:rsidRPr="00F81D72" w:rsidRDefault="008B6750" w:rsidP="008B6750"/>
    <w:p w:rsidR="008B6750" w:rsidRPr="00F81D72" w:rsidRDefault="000B6B9A" w:rsidP="008B6750">
      <w:r w:rsidRPr="00F81D72">
        <w:t xml:space="preserve">När det gäller den andra frågan om </w:t>
      </w:r>
      <w:r w:rsidRPr="00F81D72">
        <w:rPr>
          <w:i/>
        </w:rPr>
        <w:t>uteslutningskriterierna</w:t>
      </w:r>
      <w:r w:rsidRPr="00F81D72">
        <w:t xml:space="preserve"> så har Sverige</w:t>
      </w:r>
      <w:r w:rsidR="008B6750" w:rsidRPr="00F81D72">
        <w:t xml:space="preserve"> i de nyligen avslutade förhandlingarna om en EG-förordning om prövning av växtskyddsmedel (PPP-förordningen) varit starkt pådrivande för att få in regler som syftar till att så långt det är möjligt få bort verksamma ämnen med särskilt farliga egenskaper ur växtskyddsmedel, med tillämpning av substitutionsprincipen. Detta grundas på det svenska miljömålet En giftfri miljö (särskilt delmål 3 till detta mål) och 2 kap. 4 § miljöbalken. Regeringen kommer att verka för att motsvarande regler bör finnas i biocidförordningen med hänsyn taget till skillnaderna mellan växtskyddsmedel och biocider.  I princip finns sådana regler i kommissionens förslag, men detaljutformningen behöver diskuteras vidare i de fortsatta förhandlingarna. </w:t>
      </w:r>
    </w:p>
    <w:p w:rsidR="008B6750" w:rsidRPr="00F81D72" w:rsidRDefault="008B6750" w:rsidP="008B6750">
      <w:pPr>
        <w:pStyle w:val="Normaltindrag"/>
      </w:pPr>
    </w:p>
    <w:p w:rsidR="008B6750" w:rsidRPr="00F81D72" w:rsidRDefault="000B6B9A" w:rsidP="008B6750">
      <w:r w:rsidRPr="00F81D72">
        <w:t xml:space="preserve">Vad gäller den tredje frågan om </w:t>
      </w:r>
      <w:r w:rsidRPr="00F81D72">
        <w:rPr>
          <w:i/>
        </w:rPr>
        <w:t>behandlade varor och material</w:t>
      </w:r>
      <w:r w:rsidRPr="00F81D72">
        <w:t xml:space="preserve"> anser </w:t>
      </w:r>
      <w:r w:rsidR="00CE02B4" w:rsidRPr="00F81D72">
        <w:t xml:space="preserve">regeringen </w:t>
      </w:r>
      <w:r w:rsidRPr="00F81D72">
        <w:t>att n</w:t>
      </w:r>
      <w:r w:rsidR="008B6750" w:rsidRPr="00F81D72">
        <w:t xml:space="preserve">uvarande regler är oklara eller otillräckliga för att hantera sådana fall, särskilt när det gäller importerade varor. </w:t>
      </w:r>
      <w:r w:rsidR="00CE02B4" w:rsidRPr="00F81D72">
        <w:t>I princip kan regeringen stödja en utvidgning, men det finns många frågor i förslaget som är oklara och som måste analyseras innan slutlig ställning kan tas.</w:t>
      </w:r>
    </w:p>
    <w:p w:rsidR="008B6750" w:rsidRPr="00F81D72" w:rsidRDefault="008B6750" w:rsidP="008B6750">
      <w:pPr>
        <w:rPr>
          <w:i/>
        </w:rPr>
      </w:pPr>
    </w:p>
    <w:p w:rsidR="002F2071" w:rsidRPr="00F81D72" w:rsidRDefault="002F2071">
      <w:pPr>
        <w:pStyle w:val="RKnormal"/>
      </w:pPr>
    </w:p>
    <w:p w:rsidR="002F2071" w:rsidRPr="00F81D72" w:rsidRDefault="002F2071">
      <w:pPr>
        <w:pStyle w:val="RKrubrik"/>
      </w:pPr>
      <w:r w:rsidRPr="00F81D72">
        <w:t>Europaparlamentets inställning</w:t>
      </w:r>
    </w:p>
    <w:p w:rsidR="002F2071" w:rsidRPr="00F81D72" w:rsidRDefault="008B6750">
      <w:pPr>
        <w:pStyle w:val="RKnormal"/>
      </w:pPr>
      <w:r w:rsidRPr="00F81D72">
        <w:t xml:space="preserve">Europaparlamentet förväntas rösta om förslaget </w:t>
      </w:r>
      <w:r w:rsidR="004D6FB2" w:rsidRPr="00F81D72">
        <w:t xml:space="preserve">till förordning </w:t>
      </w:r>
      <w:r w:rsidRPr="00F81D72">
        <w:t>i maj 2010.</w:t>
      </w:r>
    </w:p>
    <w:p w:rsidR="002F2071" w:rsidRPr="00F81D72" w:rsidRDefault="002F2071">
      <w:pPr>
        <w:pStyle w:val="RKrubrik"/>
        <w:rPr>
          <w:i/>
          <w:iCs/>
        </w:rPr>
      </w:pPr>
      <w:r w:rsidRPr="00F81D72">
        <w:rPr>
          <w:i/>
          <w:iCs/>
        </w:rPr>
        <w:t>Förslaget</w:t>
      </w:r>
    </w:p>
    <w:p w:rsidR="00E15962" w:rsidRPr="00F81D72" w:rsidRDefault="00E15962" w:rsidP="00E15962">
      <w:pPr>
        <w:pStyle w:val="RKnormal"/>
      </w:pPr>
    </w:p>
    <w:p w:rsidR="00E15962" w:rsidRPr="00F81D72" w:rsidRDefault="00E15962" w:rsidP="00E15962">
      <w:pPr>
        <w:pStyle w:val="RKnormal"/>
      </w:pPr>
      <w:r w:rsidRPr="00F81D72">
        <w:t>Följande tre frågor förväntas ministrarna svara på.</w:t>
      </w:r>
    </w:p>
    <w:p w:rsidR="00E15962" w:rsidRPr="00F81D72" w:rsidRDefault="00E15962" w:rsidP="00E15962">
      <w:pPr>
        <w:pStyle w:val="RKnormal"/>
      </w:pPr>
    </w:p>
    <w:p w:rsidR="00E15962" w:rsidRPr="00F81D72" w:rsidRDefault="00E15962" w:rsidP="00E15962">
      <w:pPr>
        <w:pStyle w:val="RKnormal"/>
      </w:pPr>
      <w:r w:rsidRPr="00F81D72">
        <w:t>1. Är kommissionens förslag att införa centralt produktgodkännande i ECHA:s regi för vissa produkttyper acceptabelt för medlemsstaterna?</w:t>
      </w:r>
    </w:p>
    <w:p w:rsidR="00E15962" w:rsidRPr="00F81D72" w:rsidRDefault="00E15962" w:rsidP="00E15962">
      <w:pPr>
        <w:pStyle w:val="RKnormal"/>
      </w:pPr>
      <w:r w:rsidRPr="00F81D72">
        <w:t xml:space="preserve">2. Är kommissionens förslag att införa så kallade uteslutningskriterier för ”de värsta” ämnena acceptabla? Om så – ska även miljökriterier finnas med på listan? </w:t>
      </w:r>
    </w:p>
    <w:p w:rsidR="00E15962" w:rsidRPr="00F81D72" w:rsidRDefault="00E15962" w:rsidP="00E15962">
      <w:pPr>
        <w:pStyle w:val="RKnormal"/>
      </w:pPr>
      <w:r w:rsidRPr="00F81D72">
        <w:t>3. Är kommissionens förslag att utvidga dagens lagstiftning till att också omfatta behandlade</w:t>
      </w:r>
      <w:r w:rsidR="001268E8" w:rsidRPr="00F81D72">
        <w:t xml:space="preserve"> varor och material acceptabelt oavsett om det finns resthalter av biocidprodukter kvar eller inte?</w:t>
      </w:r>
    </w:p>
    <w:p w:rsidR="002F2071" w:rsidRPr="00F81D72" w:rsidRDefault="002F2071">
      <w:pPr>
        <w:pStyle w:val="RKnormal"/>
      </w:pPr>
    </w:p>
    <w:p w:rsidR="00E15962" w:rsidRPr="00F81D72" w:rsidRDefault="00E15962" w:rsidP="00E15962">
      <w:r w:rsidRPr="00F81D72">
        <w:t>Kommissionens förslag till biocidförordning innebär att en helt ny EG-förordning införs med krav på myndighetsprövning av biocidprodukter innan de släpps ut på marknaden och används. Förordningen</w:t>
      </w:r>
      <w:r w:rsidRPr="00F81D72">
        <w:rPr>
          <w:b/>
        </w:rPr>
        <w:t xml:space="preserve"> </w:t>
      </w:r>
      <w:r w:rsidRPr="00F81D72">
        <w:t xml:space="preserve">tar över och modifierar bestämmelserna i direktivet 98/8/EG om biocidprodukter och ersätter detta direktiv. </w:t>
      </w:r>
    </w:p>
    <w:p w:rsidR="00E15962" w:rsidRPr="00F81D72" w:rsidRDefault="00E15962" w:rsidP="00E15962">
      <w:pPr>
        <w:pStyle w:val="Normaltindrag"/>
      </w:pPr>
    </w:p>
    <w:p w:rsidR="00E15962" w:rsidRPr="00F81D72" w:rsidRDefault="00E15962" w:rsidP="00E15962">
      <w:r w:rsidRPr="00F81D72">
        <w:t xml:space="preserve">De grundläggande kraven om vilka produkter som ska tillståndsprövas och prövningens omfattning är i huvudsak oförändrade.  Det finns dock ett antal viktiga nyheter i förslaget. </w:t>
      </w:r>
    </w:p>
    <w:p w:rsidR="00E15962" w:rsidRPr="00F81D72" w:rsidRDefault="00E15962" w:rsidP="00E15962"/>
    <w:p w:rsidR="00E15962" w:rsidRPr="00F81D72" w:rsidRDefault="00E15962" w:rsidP="00E15962">
      <w:r w:rsidRPr="00F81D72">
        <w:t xml:space="preserve">Kommissionen nämner särskilt följande nyheter: </w:t>
      </w:r>
    </w:p>
    <w:p w:rsidR="00E15962" w:rsidRPr="00F81D72" w:rsidRDefault="00E15962" w:rsidP="00E15962">
      <w:pPr>
        <w:numPr>
          <w:ilvl w:val="0"/>
          <w:numId w:val="3"/>
        </w:numPr>
        <w:overflowPunct/>
        <w:autoSpaceDE/>
        <w:autoSpaceDN/>
        <w:adjustRightInd/>
        <w:spacing w:before="122" w:line="245" w:lineRule="exact"/>
        <w:jc w:val="both"/>
        <w:textAlignment w:val="auto"/>
      </w:pPr>
      <w:r w:rsidRPr="00F81D72">
        <w:t>reglerna får formen av direkt verkande förordning i stället för direktiv som ska genomföras i nationell rätt,</w:t>
      </w:r>
    </w:p>
    <w:p w:rsidR="00E15962" w:rsidRPr="00F81D72" w:rsidRDefault="00E15962" w:rsidP="00E15962">
      <w:pPr>
        <w:numPr>
          <w:ilvl w:val="0"/>
          <w:numId w:val="3"/>
        </w:numPr>
        <w:overflowPunct/>
        <w:autoSpaceDE/>
        <w:autoSpaceDN/>
        <w:adjustRightInd/>
        <w:spacing w:line="240" w:lineRule="auto"/>
        <w:textAlignment w:val="auto"/>
      </w:pPr>
      <w:r w:rsidRPr="00F81D72">
        <w:t>tillämpningsområdet utvidgas till att omfatta biocider i material som kommer i kontakt med livsmedel och artiklar eller material som innehåller biocider -  märkningskrav införs för sådana artiklar och material,</w:t>
      </w:r>
    </w:p>
    <w:p w:rsidR="00E15962" w:rsidRPr="00F81D72" w:rsidRDefault="00E15962" w:rsidP="00E15962">
      <w:pPr>
        <w:numPr>
          <w:ilvl w:val="0"/>
          <w:numId w:val="3"/>
        </w:numPr>
        <w:overflowPunct/>
        <w:autoSpaceDE/>
        <w:autoSpaceDN/>
        <w:adjustRightInd/>
        <w:spacing w:line="240" w:lineRule="auto"/>
        <w:textAlignment w:val="auto"/>
      </w:pPr>
      <w:r w:rsidRPr="00F81D72">
        <w:t>en centraliserad tillståndsprövning av biocidprodukter införs, i stället för dagens system med nationella godkännanden i enskilda medlemsstater och ömsesidigt erkännande av nationella godkännanden i andra medlemsstater,</w:t>
      </w:r>
    </w:p>
    <w:p w:rsidR="00E15962" w:rsidRPr="00F81D72" w:rsidRDefault="00E15962" w:rsidP="00E15962">
      <w:pPr>
        <w:numPr>
          <w:ilvl w:val="0"/>
          <w:numId w:val="3"/>
        </w:numPr>
        <w:overflowPunct/>
        <w:autoSpaceDE/>
        <w:autoSpaceDN/>
        <w:adjustRightInd/>
        <w:spacing w:line="240" w:lineRule="auto"/>
        <w:textAlignment w:val="auto"/>
      </w:pPr>
      <w:r w:rsidRPr="00F81D72">
        <w:t>den centrala tillståndsprövningen görs av kemikaliemyndigheten i Helsingfors (ECHA), den införs successivt och kommer först på lång sikt att ersätta nationell prövning – i praktiken kommer huvuddelen av arbetet fortfarande att göras av nationella myndigheter,</w:t>
      </w:r>
    </w:p>
    <w:p w:rsidR="00E15962" w:rsidRPr="00F81D72" w:rsidRDefault="00E15962" w:rsidP="00E15962">
      <w:pPr>
        <w:numPr>
          <w:ilvl w:val="0"/>
          <w:numId w:val="3"/>
        </w:numPr>
        <w:overflowPunct/>
        <w:autoSpaceDE/>
        <w:autoSpaceDN/>
        <w:adjustRightInd/>
        <w:spacing w:line="240" w:lineRule="auto"/>
        <w:textAlignment w:val="auto"/>
      </w:pPr>
      <w:r w:rsidRPr="00F81D72">
        <w:t>regler om ömsesidigt erkännande av nationella godkännanden modifieras,</w:t>
      </w:r>
    </w:p>
    <w:p w:rsidR="00E15962" w:rsidRPr="00F81D72" w:rsidRDefault="00E15962" w:rsidP="00E15962">
      <w:pPr>
        <w:numPr>
          <w:ilvl w:val="0"/>
          <w:numId w:val="3"/>
        </w:numPr>
        <w:overflowPunct/>
        <w:autoSpaceDE/>
        <w:autoSpaceDN/>
        <w:adjustRightInd/>
        <w:spacing w:line="240" w:lineRule="auto"/>
        <w:textAlignment w:val="auto"/>
      </w:pPr>
      <w:r w:rsidRPr="00F81D72">
        <w:t>förenklade förfaranden för att bedöma vissa verksamma ämnen har knappast använts och tas bort, regler om ramformuleringar utvidgas,</w:t>
      </w:r>
    </w:p>
    <w:p w:rsidR="00E15962" w:rsidRPr="00F81D72" w:rsidRDefault="00E15962" w:rsidP="00E15962">
      <w:pPr>
        <w:numPr>
          <w:ilvl w:val="0"/>
          <w:numId w:val="3"/>
        </w:numPr>
        <w:overflowPunct/>
        <w:autoSpaceDE/>
        <w:autoSpaceDN/>
        <w:adjustRightInd/>
        <w:spacing w:line="240" w:lineRule="auto"/>
        <w:textAlignment w:val="auto"/>
      </w:pPr>
      <w:r w:rsidRPr="00F81D72">
        <w:t>reglerna i direktivet om substitution av problematiska verksamma ämnen med mindre farliga ersätts med nya substitutionskrav på biocidproduktnivå,</w:t>
      </w:r>
    </w:p>
    <w:p w:rsidR="00E15962" w:rsidRPr="00F81D72" w:rsidRDefault="00E15962" w:rsidP="00E15962">
      <w:pPr>
        <w:numPr>
          <w:ilvl w:val="0"/>
          <w:numId w:val="3"/>
        </w:numPr>
        <w:overflowPunct/>
        <w:autoSpaceDE/>
        <w:autoSpaceDN/>
        <w:adjustRightInd/>
        <w:spacing w:line="240" w:lineRule="auto"/>
        <w:textAlignment w:val="auto"/>
      </w:pPr>
      <w:r w:rsidRPr="00F81D72">
        <w:t>regler om dataskydd modifieras/förenklas och företagen blir skyldiga att mot ersättning dela med sig av data från djurförsök,</w:t>
      </w:r>
    </w:p>
    <w:p w:rsidR="00E15962" w:rsidRPr="00F81D72" w:rsidRDefault="00E15962" w:rsidP="00E15962">
      <w:pPr>
        <w:numPr>
          <w:ilvl w:val="0"/>
          <w:numId w:val="3"/>
        </w:numPr>
        <w:overflowPunct/>
        <w:autoSpaceDE/>
        <w:autoSpaceDN/>
        <w:adjustRightInd/>
        <w:spacing w:line="240" w:lineRule="auto"/>
        <w:textAlignment w:val="auto"/>
      </w:pPr>
      <w:r w:rsidRPr="00F81D72">
        <w:t>regler införs om förenklade förfaranden för produkter som parallellimporteras.</w:t>
      </w:r>
    </w:p>
    <w:p w:rsidR="00E15962" w:rsidRPr="00F81D72" w:rsidRDefault="00E15962" w:rsidP="00E15962"/>
    <w:p w:rsidR="00E15962" w:rsidRPr="00F81D72" w:rsidRDefault="00E15962" w:rsidP="00E15962">
      <w:r w:rsidRPr="00F81D72">
        <w:t xml:space="preserve">Nyheterna i förslagen är tydligt inspirerade av regler i den nyligen överenskomna förordningen om växtskyddsmedel (regler om substitution, parallellimport) och Reach (central tillståndprövning, dataskydd m.m.). </w:t>
      </w:r>
    </w:p>
    <w:p w:rsidR="00E15962" w:rsidRPr="00F81D72" w:rsidRDefault="00E15962" w:rsidP="00E15962"/>
    <w:p w:rsidR="00E15962" w:rsidRPr="00F81D72" w:rsidRDefault="00E15962">
      <w:pPr>
        <w:pStyle w:val="RKnormal"/>
      </w:pPr>
    </w:p>
    <w:p w:rsidR="002F2071" w:rsidRPr="00F81D72" w:rsidRDefault="002F2071">
      <w:pPr>
        <w:pStyle w:val="RKrubrik"/>
        <w:rPr>
          <w:i/>
          <w:iCs/>
        </w:rPr>
      </w:pPr>
      <w:r w:rsidRPr="00F81D72">
        <w:rPr>
          <w:i/>
          <w:iCs/>
        </w:rPr>
        <w:t>Gällande svenska regler och förslagets effekter på dessa</w:t>
      </w:r>
    </w:p>
    <w:p w:rsidR="00E15962" w:rsidRPr="00F81D72" w:rsidRDefault="00E15962" w:rsidP="00E15962">
      <w:r w:rsidRPr="00F81D72">
        <w:t>Bestämmelser om bekämpningsmedel finns i 14 kap. miljöbalken, bl.a. det grundläggande kravet på att bekämpningsmedel inte får införas, släppas ut på marknaden eller användas utan att vara godkänt (14 kap. 4 §). Biociddirektivet 98/8/EG har genomförts genom förordningen (2000:338) om biocidprodukter och Kemikalieinspektionens föreskrifter KIFS 2008:3.</w:t>
      </w:r>
    </w:p>
    <w:p w:rsidR="00E15962" w:rsidRPr="00F81D72" w:rsidRDefault="00E15962" w:rsidP="00E15962"/>
    <w:p w:rsidR="002F2071" w:rsidRPr="00F81D72" w:rsidRDefault="002F2071">
      <w:pPr>
        <w:pStyle w:val="RKnormal"/>
      </w:pPr>
    </w:p>
    <w:p w:rsidR="002F2071" w:rsidRPr="00F81D72" w:rsidRDefault="002F2071">
      <w:pPr>
        <w:pStyle w:val="RKrubrik"/>
      </w:pPr>
      <w:r w:rsidRPr="00F81D72">
        <w:t>Ekonomiska konsekvenser</w:t>
      </w:r>
    </w:p>
    <w:p w:rsidR="00100065" w:rsidRPr="00F81D72" w:rsidRDefault="00100065" w:rsidP="00100065">
      <w:pPr>
        <w:pStyle w:val="RKnormal"/>
      </w:pPr>
    </w:p>
    <w:p w:rsidR="00100065" w:rsidRPr="00F81D72" w:rsidRDefault="00100065" w:rsidP="00100065">
      <w:pPr>
        <w:pStyle w:val="RKnormal"/>
      </w:pPr>
    </w:p>
    <w:p w:rsidR="00E15962" w:rsidRPr="00F81D72" w:rsidRDefault="00100065" w:rsidP="00E15962">
      <w:r w:rsidRPr="00F81D72">
        <w:t xml:space="preserve">Som framgår av fakta-PMet </w:t>
      </w:r>
      <w:r w:rsidR="00E15962" w:rsidRPr="00F81D72">
        <w:t xml:space="preserve"> innebär </w:t>
      </w:r>
      <w:r w:rsidRPr="00F81D72">
        <w:t xml:space="preserve">den föreslagna centraliserade prövningen </w:t>
      </w:r>
      <w:r w:rsidR="00E15962" w:rsidRPr="00F81D72">
        <w:t>att arbetsuppgifter kommer att överföras från medlemsstaterna till ECHA. Enligt nuvarande förslag föreslås detta finansieras genom avgifter från företagen till ECHA, avgift till ECHA från EU:s budget och frivilliga bidrag från medlemsstaterna. Enligt kommissionens förord till förordningen är det deras bedömning att stödet från EU:s budget till ECHA för denna uppgift bara kommer att behövas under begränsad tid (liksom det har varit för REACH). Kommissionen kommer att återkomma i enlighet med procedurerna i REACH(1907/2006) vad avser dessa avgifter (preambeln punkt 57). Vidare innehåller förslaget en skrivning om strukturen av bekämpningsmedelsavgifterna.  Detta kan få konsekvenser för de svenska bekämpningsmedelsavgifterna, som delvis redovisas över statsbudgeten. Konsekvenserna är svåra att bedöma eftersom förslaget inte innehåller några detaljerade regler om hur avgiftssystemen kommer att se ut och det är oklart hur stor del av produktgodkännandena som kommer ligga inom ECHAs ansvarsområde. När det gäller den centrala prövningen kommer medlemsstaterna även i framtiden att få göra huvuddelen av arbetet med prövningen av biocider, vilket delvis kommer att finansieras med EU-avgifter, delvis (troligen) med nationella bekämpningsmedelsavgifter.</w:t>
      </w:r>
    </w:p>
    <w:p w:rsidR="00E15962" w:rsidRPr="00F81D72" w:rsidRDefault="00E15962" w:rsidP="00E15962">
      <w:r w:rsidRPr="00F81D72">
        <w:t>Dessa ändringar kommer att märkas först på medellång eller lång sikt, eftersom den centrala prövningen införs med en lång övergångstid.</w:t>
      </w:r>
    </w:p>
    <w:p w:rsidR="00E15962" w:rsidRPr="00F81D72" w:rsidRDefault="00E15962" w:rsidP="00E15962">
      <w:pPr>
        <w:pStyle w:val="RKrubrik"/>
      </w:pPr>
      <w:r w:rsidRPr="00F81D72">
        <w:t>- konsekvenser för stat, kommun, landsting, företag och enskilda</w:t>
      </w:r>
    </w:p>
    <w:p w:rsidR="00E15962" w:rsidRPr="00F81D72" w:rsidRDefault="00E15962" w:rsidP="00E15962">
      <w:r w:rsidRPr="00F81D72">
        <w:t xml:space="preserve">En ambition med förslaget är att förenkla de regler som finns i dag. Beroende på hur reglerna utformas och vilka produktkategorier som kommer att omfattas av centralt förfarande kommer konsekvenserna att se olika ut (se ovan under gällande svenska regler).. </w:t>
      </w:r>
    </w:p>
    <w:p w:rsidR="00E15962" w:rsidRPr="00F81D72" w:rsidRDefault="00E15962" w:rsidP="00E15962">
      <w:r w:rsidRPr="00F81D72">
        <w:t xml:space="preserve">Det nya förslaget om att även omfatta behandlade varor kommer att innebära konsekvenser om det genomförs.  Både myndigheter (KemI, tillsynsmyndigheter) och företagen kommer att behöva hantera nya regler med krav på behandlade varor, inklusive märkning, som inte finns i dag. Detta innebär även att en ny kategori företag – importörer av varor som innehåller biocider – kommer att behöva sätta sig in i och tillämpa biocidreglerna.  Samtidigt täcks en lucka i nuvarande lagstiftning, vilket kommer att leda till bättre skydd av konsumenterna och ta bort en konkurrensnackdel för företag med produktion inom gemenskapen gentemot produkter som importeras från tredje land. </w:t>
      </w:r>
    </w:p>
    <w:p w:rsidR="00E15962" w:rsidRPr="00F81D72" w:rsidRDefault="00E15962" w:rsidP="00E15962">
      <w:pPr>
        <w:pStyle w:val="Normaltindrag"/>
        <w:rPr>
          <w:rFonts w:ascii="OrigGarmnd BT" w:hAnsi="OrigGarmnd BT"/>
          <w:sz w:val="24"/>
          <w:szCs w:val="24"/>
        </w:rPr>
      </w:pPr>
      <w:r w:rsidRPr="00F81D72">
        <w:rPr>
          <w:rFonts w:ascii="OrigGarmnd BT" w:hAnsi="OrigGarmnd BT"/>
          <w:sz w:val="24"/>
          <w:szCs w:val="24"/>
        </w:rPr>
        <w:t>H</w:t>
      </w:r>
      <w:r w:rsidRPr="00F81D72">
        <w:rPr>
          <w:rFonts w:ascii="OrigGarmnd BT" w:hAnsi="OrigGarmnd BT"/>
          <w:color w:val="000000"/>
          <w:sz w:val="24"/>
          <w:szCs w:val="24"/>
        </w:rPr>
        <w:t xml:space="preserve">ur förslaget mer specifikt kommer att påverka svenska företag </w:t>
      </w:r>
      <w:r w:rsidRPr="00F81D72">
        <w:rPr>
          <w:rFonts w:ascii="OrigGarmnd BT" w:hAnsi="OrigGarmnd BT"/>
          <w:sz w:val="24"/>
          <w:szCs w:val="24"/>
        </w:rPr>
        <w:t>behöver utredas ytterligare.</w:t>
      </w:r>
    </w:p>
    <w:p w:rsidR="00E15962" w:rsidRPr="00F81D72" w:rsidRDefault="00E15962" w:rsidP="00E15962">
      <w:pPr>
        <w:pStyle w:val="RKnormal"/>
      </w:pPr>
    </w:p>
    <w:p w:rsidR="002F2071" w:rsidRPr="00F81D72" w:rsidRDefault="002F2071">
      <w:pPr>
        <w:pStyle w:val="RKnormal"/>
      </w:pPr>
    </w:p>
    <w:p w:rsidR="002F2071" w:rsidRPr="00F81D72" w:rsidRDefault="002F2071">
      <w:pPr>
        <w:pStyle w:val="RKrubrik"/>
      </w:pPr>
      <w:r w:rsidRPr="00F81D72">
        <w:t>Övrigt</w:t>
      </w:r>
    </w:p>
    <w:p w:rsidR="002F2071" w:rsidRPr="00F81D72" w:rsidRDefault="002F2071">
      <w:pPr>
        <w:pStyle w:val="RKnormal"/>
      </w:pPr>
    </w:p>
    <w:p w:rsidR="002F2071" w:rsidRPr="00F81D72" w:rsidRDefault="002F2071">
      <w:pPr>
        <w:pStyle w:val="RKnormal"/>
        <w:rPr>
          <w:i/>
          <w:iCs/>
        </w:rPr>
      </w:pPr>
    </w:p>
    <w:p w:rsidR="002F2071" w:rsidRPr="00F81D72" w:rsidRDefault="002F2071">
      <w:pPr>
        <w:pStyle w:val="RKnormal"/>
        <w:ind w:left="-1134"/>
      </w:pPr>
    </w:p>
    <w:p w:rsidR="006E4E11" w:rsidRPr="00F81D72" w:rsidRDefault="006E4E11">
      <w:pPr>
        <w:pStyle w:val="RKrubrik"/>
        <w:spacing w:before="0" w:after="0"/>
      </w:pPr>
    </w:p>
    <w:p w:rsidR="006E4E11" w:rsidRPr="00F81D72" w:rsidRDefault="006E4E11">
      <w:pPr>
        <w:pStyle w:val="RKnormal"/>
      </w:pPr>
    </w:p>
    <w:p w:rsidR="002F2071" w:rsidRPr="00F81D72" w:rsidRDefault="002F2071">
      <w:pPr>
        <w:pStyle w:val="RKnormal"/>
      </w:pPr>
    </w:p>
    <w:sectPr w:rsidR="002F2071" w:rsidRPr="00F81D72">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49D7" w:rsidRPr="00F81D72" w:rsidRDefault="003F49D7">
      <w:r w:rsidRPr="00F81D72">
        <w:separator/>
      </w:r>
    </w:p>
  </w:endnote>
  <w:endnote w:type="continuationSeparator" w:id="0">
    <w:p w:rsidR="003F49D7" w:rsidRPr="00F81D72" w:rsidRDefault="003F49D7">
      <w:r w:rsidRPr="00F81D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49D7" w:rsidRPr="00F81D72" w:rsidRDefault="003F49D7">
      <w:r w:rsidRPr="00F81D72">
        <w:separator/>
      </w:r>
    </w:p>
  </w:footnote>
  <w:footnote w:type="continuationSeparator" w:id="0">
    <w:p w:rsidR="003F49D7" w:rsidRPr="00F81D72" w:rsidRDefault="003F49D7">
      <w:r w:rsidRPr="00F81D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B9A" w:rsidRPr="00F81D72" w:rsidRDefault="000B6B9A">
    <w:pPr>
      <w:pStyle w:val="Sidhuvud"/>
      <w:framePr w:wrap="around" w:vAnchor="text" w:hAnchor="margin" w:xAlign="right" w:y="1"/>
      <w:rPr>
        <w:rStyle w:val="Sidnummer"/>
      </w:rPr>
    </w:pPr>
    <w:r w:rsidRPr="00F81D72">
      <w:rPr>
        <w:rStyle w:val="Sidnummer"/>
      </w:rPr>
      <w:fldChar w:fldCharType="begin" w:fldLock="1"/>
    </w:r>
    <w:r w:rsidRPr="00F81D72">
      <w:rPr>
        <w:rStyle w:val="Sidnummer"/>
      </w:rPr>
      <w:instrText xml:space="preserve">PAGE  </w:instrText>
    </w:r>
    <w:r w:rsidRPr="00F81D72">
      <w:rPr>
        <w:rStyle w:val="Sidnummer"/>
      </w:rPr>
      <w:fldChar w:fldCharType="separate"/>
    </w:r>
    <w:r w:rsidR="00FF2840" w:rsidRPr="00F81D72">
      <w:rPr>
        <w:rStyle w:val="Sidnummer"/>
      </w:rPr>
      <w:t>6</w:t>
    </w:r>
    <w:r w:rsidRPr="00F81D7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B6B9A" w:rsidRPr="00F81D72">
      <w:tblPrEx>
        <w:tblCellMar>
          <w:top w:w="0" w:type="dxa"/>
          <w:bottom w:w="0" w:type="dxa"/>
        </w:tblCellMar>
      </w:tblPrEx>
      <w:trPr>
        <w:cantSplit/>
      </w:trPr>
      <w:tc>
        <w:tcPr>
          <w:tcW w:w="3119" w:type="dxa"/>
        </w:tcPr>
        <w:p w:rsidR="000B6B9A" w:rsidRPr="00F81D72" w:rsidRDefault="000B6B9A">
          <w:pPr>
            <w:pStyle w:val="Sidhuvud"/>
            <w:spacing w:line="200" w:lineRule="atLeast"/>
            <w:ind w:right="357"/>
            <w:rPr>
              <w:rFonts w:ascii="TradeGothic" w:hAnsi="TradeGothic"/>
              <w:b/>
              <w:bCs/>
              <w:sz w:val="16"/>
            </w:rPr>
          </w:pPr>
        </w:p>
      </w:tc>
      <w:tc>
        <w:tcPr>
          <w:tcW w:w="4111" w:type="dxa"/>
          <w:tcMar>
            <w:left w:w="567" w:type="dxa"/>
          </w:tcMar>
        </w:tcPr>
        <w:p w:rsidR="000B6B9A" w:rsidRPr="00F81D72" w:rsidRDefault="000B6B9A">
          <w:pPr>
            <w:pStyle w:val="Sidhuvud"/>
            <w:ind w:right="360"/>
          </w:pPr>
        </w:p>
      </w:tc>
      <w:tc>
        <w:tcPr>
          <w:tcW w:w="1525" w:type="dxa"/>
        </w:tcPr>
        <w:p w:rsidR="000B6B9A" w:rsidRPr="00F81D72" w:rsidRDefault="000B6B9A">
          <w:pPr>
            <w:pStyle w:val="Sidhuvud"/>
            <w:ind w:right="360"/>
          </w:pPr>
        </w:p>
      </w:tc>
    </w:tr>
  </w:tbl>
  <w:p w:rsidR="000B6B9A" w:rsidRPr="00F81D72" w:rsidRDefault="000B6B9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B9A" w:rsidRPr="00F81D72" w:rsidRDefault="000B6B9A">
    <w:pPr>
      <w:pStyle w:val="Sidhuvud"/>
      <w:framePr w:wrap="around" w:vAnchor="text" w:hAnchor="margin" w:xAlign="right" w:y="1"/>
      <w:rPr>
        <w:rStyle w:val="Sidnummer"/>
      </w:rPr>
    </w:pPr>
    <w:r w:rsidRPr="00F81D72">
      <w:rPr>
        <w:rStyle w:val="Sidnummer"/>
      </w:rPr>
      <w:fldChar w:fldCharType="begin" w:fldLock="1"/>
    </w:r>
    <w:r w:rsidRPr="00F81D72">
      <w:rPr>
        <w:rStyle w:val="Sidnummer"/>
      </w:rPr>
      <w:instrText xml:space="preserve">PAGE  </w:instrText>
    </w:r>
    <w:r w:rsidRPr="00F81D72">
      <w:rPr>
        <w:rStyle w:val="Sidnummer"/>
      </w:rPr>
      <w:fldChar w:fldCharType="separate"/>
    </w:r>
    <w:r w:rsidR="00FF2840" w:rsidRPr="00F81D72">
      <w:rPr>
        <w:rStyle w:val="Sidnummer"/>
      </w:rPr>
      <w:t>5</w:t>
    </w:r>
    <w:r w:rsidRPr="00F81D7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B6B9A" w:rsidRPr="00F81D72">
      <w:tblPrEx>
        <w:tblCellMar>
          <w:top w:w="0" w:type="dxa"/>
          <w:bottom w:w="0" w:type="dxa"/>
        </w:tblCellMar>
      </w:tblPrEx>
      <w:trPr>
        <w:cantSplit/>
      </w:trPr>
      <w:tc>
        <w:tcPr>
          <w:tcW w:w="3119" w:type="dxa"/>
        </w:tcPr>
        <w:p w:rsidR="000B6B9A" w:rsidRPr="00F81D72" w:rsidRDefault="000B6B9A">
          <w:pPr>
            <w:pStyle w:val="Sidhuvud"/>
            <w:spacing w:line="200" w:lineRule="atLeast"/>
            <w:ind w:right="357"/>
            <w:rPr>
              <w:rFonts w:ascii="TradeGothic" w:hAnsi="TradeGothic"/>
              <w:b/>
              <w:bCs/>
              <w:sz w:val="16"/>
            </w:rPr>
          </w:pPr>
        </w:p>
      </w:tc>
      <w:tc>
        <w:tcPr>
          <w:tcW w:w="4111" w:type="dxa"/>
          <w:tcMar>
            <w:left w:w="567" w:type="dxa"/>
          </w:tcMar>
        </w:tcPr>
        <w:p w:rsidR="000B6B9A" w:rsidRPr="00F81D72" w:rsidRDefault="000B6B9A">
          <w:pPr>
            <w:pStyle w:val="Sidhuvud"/>
            <w:ind w:right="360"/>
          </w:pPr>
        </w:p>
      </w:tc>
      <w:tc>
        <w:tcPr>
          <w:tcW w:w="1525" w:type="dxa"/>
        </w:tcPr>
        <w:p w:rsidR="000B6B9A" w:rsidRPr="00F81D72" w:rsidRDefault="000B6B9A">
          <w:pPr>
            <w:pStyle w:val="Sidhuvud"/>
            <w:ind w:right="360"/>
          </w:pPr>
        </w:p>
      </w:tc>
    </w:tr>
  </w:tbl>
  <w:p w:rsidR="000B6B9A" w:rsidRPr="00F81D72" w:rsidRDefault="000B6B9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B9A" w:rsidRPr="00F81D72" w:rsidRDefault="00F81D72">
    <w:pPr>
      <w:framePr w:w="2948" w:h="1321" w:hRule="exact" w:wrap="notBeside" w:vAnchor="page" w:hAnchor="page" w:x="1362" w:y="653"/>
    </w:pPr>
    <w:r w:rsidRPr="00F81D72">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0B6B9A" w:rsidRPr="00F81D72" w:rsidRDefault="000B6B9A">
    <w:pPr>
      <w:pStyle w:val="RKrubrik"/>
      <w:keepNext w:val="0"/>
      <w:tabs>
        <w:tab w:val="clear" w:pos="1134"/>
        <w:tab w:val="clear" w:pos="2835"/>
      </w:tabs>
      <w:spacing w:before="0" w:after="0" w:line="320" w:lineRule="atLeast"/>
      <w:rPr>
        <w:bCs/>
      </w:rPr>
    </w:pPr>
  </w:p>
  <w:p w:rsidR="000B6B9A" w:rsidRPr="00F81D72" w:rsidRDefault="000B6B9A">
    <w:pPr>
      <w:rPr>
        <w:rFonts w:ascii="TradeGothic" w:hAnsi="TradeGothic"/>
        <w:b/>
        <w:bCs/>
        <w:spacing w:val="12"/>
        <w:sz w:val="22"/>
      </w:rPr>
    </w:pPr>
  </w:p>
  <w:p w:rsidR="000B6B9A" w:rsidRPr="00F81D72" w:rsidRDefault="000B6B9A">
    <w:pPr>
      <w:pStyle w:val="RKrubrik"/>
      <w:keepNext w:val="0"/>
      <w:tabs>
        <w:tab w:val="clear" w:pos="1134"/>
        <w:tab w:val="clear" w:pos="2835"/>
      </w:tabs>
      <w:spacing w:before="0" w:after="0" w:line="320" w:lineRule="atLeast"/>
      <w:rPr>
        <w:bCs/>
      </w:rPr>
    </w:pPr>
  </w:p>
  <w:p w:rsidR="000B6B9A" w:rsidRPr="00F81D72" w:rsidRDefault="000B6B9A">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639D0"/>
    <w:multiLevelType w:val="hybridMultilevel"/>
    <w:tmpl w:val="0A722878"/>
    <w:lvl w:ilvl="0" w:tplc="44F846A6">
      <w:numFmt w:val="bullet"/>
      <w:lvlText w:val="-"/>
      <w:lvlJc w:val="left"/>
      <w:pPr>
        <w:ind w:left="1211" w:hanging="360"/>
      </w:pPr>
      <w:rPr>
        <w:rFonts w:ascii="Times New Roman" w:eastAsia="Times New Roman" w:hAnsi="Times New Roman" w:hint="default"/>
      </w:rPr>
    </w:lvl>
    <w:lvl w:ilvl="1" w:tplc="041D0003" w:tentative="1">
      <w:start w:val="1"/>
      <w:numFmt w:val="bullet"/>
      <w:lvlText w:val="o"/>
      <w:lvlJc w:val="left"/>
      <w:pPr>
        <w:ind w:left="1931" w:hanging="360"/>
      </w:pPr>
      <w:rPr>
        <w:rFonts w:ascii="Courier New" w:hAnsi="Courier New" w:hint="default"/>
      </w:rPr>
    </w:lvl>
    <w:lvl w:ilvl="2" w:tplc="041D0005" w:tentative="1">
      <w:start w:val="1"/>
      <w:numFmt w:val="bullet"/>
      <w:lvlText w:val=""/>
      <w:lvlJc w:val="left"/>
      <w:pPr>
        <w:ind w:left="2651" w:hanging="360"/>
      </w:pPr>
      <w:rPr>
        <w:rFonts w:ascii="Wingdings" w:hAnsi="Wingdings" w:hint="default"/>
      </w:rPr>
    </w:lvl>
    <w:lvl w:ilvl="3" w:tplc="041D0001" w:tentative="1">
      <w:start w:val="1"/>
      <w:numFmt w:val="bullet"/>
      <w:lvlText w:val=""/>
      <w:lvlJc w:val="left"/>
      <w:pPr>
        <w:ind w:left="3371" w:hanging="360"/>
      </w:pPr>
      <w:rPr>
        <w:rFonts w:ascii="Symbol" w:hAnsi="Symbol" w:hint="default"/>
      </w:rPr>
    </w:lvl>
    <w:lvl w:ilvl="4" w:tplc="041D0003" w:tentative="1">
      <w:start w:val="1"/>
      <w:numFmt w:val="bullet"/>
      <w:lvlText w:val="o"/>
      <w:lvlJc w:val="left"/>
      <w:pPr>
        <w:ind w:left="4091" w:hanging="360"/>
      </w:pPr>
      <w:rPr>
        <w:rFonts w:ascii="Courier New" w:hAnsi="Courier New" w:hint="default"/>
      </w:rPr>
    </w:lvl>
    <w:lvl w:ilvl="5" w:tplc="041D0005" w:tentative="1">
      <w:start w:val="1"/>
      <w:numFmt w:val="bullet"/>
      <w:lvlText w:val=""/>
      <w:lvlJc w:val="left"/>
      <w:pPr>
        <w:ind w:left="4811" w:hanging="360"/>
      </w:pPr>
      <w:rPr>
        <w:rFonts w:ascii="Wingdings" w:hAnsi="Wingdings" w:hint="default"/>
      </w:rPr>
    </w:lvl>
    <w:lvl w:ilvl="6" w:tplc="041D0001" w:tentative="1">
      <w:start w:val="1"/>
      <w:numFmt w:val="bullet"/>
      <w:lvlText w:val=""/>
      <w:lvlJc w:val="left"/>
      <w:pPr>
        <w:ind w:left="5531" w:hanging="360"/>
      </w:pPr>
      <w:rPr>
        <w:rFonts w:ascii="Symbol" w:hAnsi="Symbol" w:hint="default"/>
      </w:rPr>
    </w:lvl>
    <w:lvl w:ilvl="7" w:tplc="041D0003" w:tentative="1">
      <w:start w:val="1"/>
      <w:numFmt w:val="bullet"/>
      <w:lvlText w:val="o"/>
      <w:lvlJc w:val="left"/>
      <w:pPr>
        <w:ind w:left="6251" w:hanging="360"/>
      </w:pPr>
      <w:rPr>
        <w:rFonts w:ascii="Courier New" w:hAnsi="Courier New" w:hint="default"/>
      </w:rPr>
    </w:lvl>
    <w:lvl w:ilvl="8" w:tplc="041D0005" w:tentative="1">
      <w:start w:val="1"/>
      <w:numFmt w:val="bullet"/>
      <w:lvlText w:val=""/>
      <w:lvlJc w:val="left"/>
      <w:pPr>
        <w:ind w:left="6971" w:hanging="360"/>
      </w:pPr>
      <w:rPr>
        <w:rFonts w:ascii="Wingdings" w:hAnsi="Wingdings" w:hint="default"/>
      </w:rPr>
    </w:lvl>
  </w:abstractNum>
  <w:abstractNum w:abstractNumId="1" w15:restartNumberingAfterBreak="0">
    <w:nsid w:val="69E30861"/>
    <w:multiLevelType w:val="singleLevel"/>
    <w:tmpl w:val="518CE40A"/>
    <w:lvl w:ilvl="0">
      <w:start w:val="1"/>
      <w:numFmt w:val="bullet"/>
      <w:pStyle w:val="Par-numberI"/>
      <w:lvlText w:val=""/>
      <w:lvlJc w:val="left"/>
      <w:pPr>
        <w:tabs>
          <w:tab w:val="num" w:pos="1134"/>
        </w:tabs>
        <w:ind w:left="1134" w:hanging="567"/>
      </w:pPr>
      <w:rPr>
        <w:rFonts w:ascii="Symbol" w:hAnsi="Symbol" w:hint="default"/>
      </w:rPr>
    </w:lvl>
  </w:abstractNum>
  <w:abstractNum w:abstractNumId="2" w15:restartNumberingAfterBreak="0">
    <w:nsid w:val="6E4E71E4"/>
    <w:multiLevelType w:val="singleLevel"/>
    <w:tmpl w:val="C33ED0F8"/>
    <w:lvl w:ilvl="0">
      <w:start w:val="1"/>
      <w:numFmt w:val="decimal"/>
      <w:pStyle w:val="Par-number1"/>
      <w:lvlText w:val="%1."/>
      <w:lvlJc w:val="left"/>
      <w:pPr>
        <w:tabs>
          <w:tab w:val="num" w:pos="747"/>
        </w:tabs>
        <w:ind w:left="747" w:hanging="567"/>
      </w:pPr>
      <w:rPr>
        <w:rFonts w:hint="default"/>
        <w:strike w:val="0"/>
      </w:rPr>
    </w:lvl>
  </w:abstractNum>
  <w:num w:numId="1" w16cid:durableId="996614833">
    <w:abstractNumId w:val="2"/>
  </w:num>
  <w:num w:numId="2" w16cid:durableId="333648688">
    <w:abstractNumId w:val="1"/>
  </w:num>
  <w:num w:numId="3" w16cid:durableId="1469469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2F2071"/>
    <w:rsid w:val="000B6B9A"/>
    <w:rsid w:val="00100065"/>
    <w:rsid w:val="001268E8"/>
    <w:rsid w:val="00150384"/>
    <w:rsid w:val="001805B7"/>
    <w:rsid w:val="002E340A"/>
    <w:rsid w:val="002F2071"/>
    <w:rsid w:val="003F49D7"/>
    <w:rsid w:val="004A328D"/>
    <w:rsid w:val="004D6FB2"/>
    <w:rsid w:val="006E4E11"/>
    <w:rsid w:val="007242A3"/>
    <w:rsid w:val="008B6750"/>
    <w:rsid w:val="009404E7"/>
    <w:rsid w:val="00C37E0C"/>
    <w:rsid w:val="00CE02B4"/>
    <w:rsid w:val="00E15962"/>
    <w:rsid w:val="00EC25F9"/>
    <w:rsid w:val="00F55CDA"/>
    <w:rsid w:val="00F81D72"/>
    <w:rsid w:val="00FF2840"/>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50F4D48-EC7F-4FD6-838A-B49D58ED7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Par-number1">
    <w:name w:val="Par-number 1."/>
    <w:basedOn w:val="Normal"/>
    <w:next w:val="Normal"/>
    <w:link w:val="Par-number1Char"/>
    <w:rsid w:val="008B6750"/>
    <w:pPr>
      <w:widowControl w:val="0"/>
      <w:numPr>
        <w:numId w:val="1"/>
      </w:numPr>
      <w:overflowPunct/>
      <w:autoSpaceDE/>
      <w:autoSpaceDN/>
      <w:adjustRightInd/>
      <w:spacing w:line="240" w:lineRule="auto"/>
      <w:textAlignment w:val="auto"/>
    </w:pPr>
    <w:rPr>
      <w:rFonts w:ascii="Times New Roman" w:hAnsi="Times New Roman"/>
      <w:b/>
      <w:lang w:val="en-GB" w:eastAsia="fr-BE"/>
    </w:rPr>
  </w:style>
  <w:style w:type="character" w:customStyle="1" w:styleId="Par-number1Char">
    <w:name w:val="Par-number 1. Char"/>
    <w:basedOn w:val="Standardstycketeckensnitt"/>
    <w:link w:val="Par-number1"/>
    <w:rsid w:val="008B6750"/>
    <w:rPr>
      <w:b/>
      <w:sz w:val="24"/>
      <w:lang w:val="en-GB" w:eastAsia="fr-BE" w:bidi="ar-SA"/>
    </w:rPr>
  </w:style>
  <w:style w:type="paragraph" w:customStyle="1" w:styleId="Par-numberI">
    <w:name w:val="Par-number I."/>
    <w:basedOn w:val="Normal"/>
    <w:next w:val="Normal"/>
    <w:rsid w:val="008B6750"/>
    <w:pPr>
      <w:widowControl w:val="0"/>
      <w:numPr>
        <w:numId w:val="2"/>
      </w:numPr>
      <w:tabs>
        <w:tab w:val="clear" w:pos="1134"/>
        <w:tab w:val="num" w:pos="720"/>
      </w:tabs>
      <w:overflowPunct/>
      <w:autoSpaceDE/>
      <w:autoSpaceDN/>
      <w:adjustRightInd/>
      <w:spacing w:line="240" w:lineRule="auto"/>
      <w:ind w:left="720" w:hanging="720"/>
      <w:textAlignment w:val="auto"/>
    </w:pPr>
    <w:rPr>
      <w:rFonts w:ascii="Times New Roman" w:hAnsi="Times New Roman"/>
      <w:lang w:val="en-GB" w:eastAsia="fr-BE"/>
    </w:rPr>
  </w:style>
  <w:style w:type="paragraph" w:customStyle="1" w:styleId="Par-dash">
    <w:name w:val="Par-dash"/>
    <w:basedOn w:val="Normal"/>
    <w:next w:val="Normal"/>
    <w:rsid w:val="008B6750"/>
    <w:pPr>
      <w:widowControl w:val="0"/>
      <w:tabs>
        <w:tab w:val="num" w:pos="360"/>
      </w:tabs>
      <w:overflowPunct/>
      <w:autoSpaceDE/>
      <w:autoSpaceDN/>
      <w:adjustRightInd/>
      <w:spacing w:line="240" w:lineRule="auto"/>
      <w:textAlignment w:val="auto"/>
    </w:pPr>
    <w:rPr>
      <w:rFonts w:ascii="Times New Roman" w:hAnsi="Times New Roman"/>
      <w:i/>
      <w:lang w:val="en-GB" w:eastAsia="fr-BE"/>
    </w:rPr>
  </w:style>
  <w:style w:type="paragraph" w:customStyle="1" w:styleId="Dokumentbeteckning-titel">
    <w:name w:val="Dokumentbeteckning - titel"/>
    <w:basedOn w:val="Normal"/>
    <w:rsid w:val="008B6750"/>
    <w:pPr>
      <w:overflowPunct/>
      <w:autoSpaceDE/>
      <w:autoSpaceDN/>
      <w:adjustRightInd/>
      <w:spacing w:line="245" w:lineRule="exact"/>
      <w:jc w:val="both"/>
      <w:textAlignment w:val="auto"/>
    </w:pPr>
    <w:rPr>
      <w:rFonts w:ascii="Times New Roman" w:hAnsi="Times New Roman"/>
      <w:sz w:val="19"/>
      <w:lang w:eastAsia="sv-SE"/>
    </w:rPr>
  </w:style>
  <w:style w:type="paragraph" w:styleId="Normaltindrag">
    <w:name w:val="Normal Indent"/>
    <w:basedOn w:val="Normal"/>
    <w:rsid w:val="008B6750"/>
    <w:pPr>
      <w:overflowPunct/>
      <w:autoSpaceDE/>
      <w:autoSpaceDN/>
      <w:adjustRightInd/>
      <w:spacing w:line="245" w:lineRule="exact"/>
      <w:ind w:firstLine="170"/>
      <w:jc w:val="both"/>
      <w:textAlignment w:val="auto"/>
    </w:pPr>
    <w:rPr>
      <w:rFonts w:ascii="Times New Roman" w:hAnsi="Times New Roman"/>
      <w:sz w:val="19"/>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1535</Words>
  <Characters>9662</Characters>
  <Application>Microsoft Office Word</Application>
  <DocSecurity>4</DocSecurity>
  <Lines>254</Lines>
  <Paragraphs>68</Paragraphs>
  <ScaleCrop>false</ScaleCrop>
  <HeadingPairs>
    <vt:vector size="2" baseType="variant">
      <vt:variant>
        <vt:lpstr>Rubrik</vt:lpstr>
      </vt:variant>
      <vt:variant>
        <vt:i4>1</vt:i4>
      </vt:variant>
    </vt:vector>
  </HeadingPairs>
  <TitlesOfParts>
    <vt:vector size="1" baseType="lpstr">
      <vt:lpstr>Rådspromemoria UTKAST</vt:lpstr>
    </vt:vector>
  </TitlesOfParts>
  <Company>Regeringskansliet</Company>
  <LinksUpToDate>false</LinksUpToDate>
  <CharactersWithSpaces>11129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 UTKAST</dc:title>
  <dc:subject>Rådspromemoria UTKAST</dc:subject>
  <dc:creator>Riksdagen</dc:creator>
  <cp:keywords>Riksdagen</cp:keywords>
  <dc:description/>
  <cp:lastModifiedBy>Lars Brink</cp:lastModifiedBy>
  <cp:revision>2</cp:revision>
  <cp:lastPrinted>2000-01-21T13:02:00Z</cp:lastPrinted>
  <dcterms:created xsi:type="dcterms:W3CDTF">2025-12-17T23:59:00Z</dcterms:created>
  <dcterms:modified xsi:type="dcterms:W3CDTF">2025-12-17T23:59:00Z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y fmtid="{D5CDD505-2E9C-101B-9397-08002B2CF9AE}" pid="5" name="RKOrdnaDepartement">
    <vt:lpwstr>Miljödepartementet</vt:lpwstr>
  </property>
  <property fmtid="{D5CDD505-2E9C-101B-9397-08002B2CF9AE}" pid="6" name="RKOrdnaActivityCategory">
    <vt:lpwstr>4.1. Europeiska unionen</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ies>
</file>