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259F" w:rsidRPr="00F9591E" w:rsidRDefault="007B259F">
      <w:pPr>
        <w:pStyle w:val="Hemstlrubrik"/>
      </w:pPr>
      <w:r w:rsidRPr="00F9591E">
        <w:t>Förslag till riksdagsbeslut</w:t>
      </w:r>
    </w:p>
    <w:p w:rsidR="007B259F" w:rsidRPr="00F9591E" w:rsidRDefault="007B259F">
      <w:pPr>
        <w:pStyle w:val="Hemstlatt"/>
        <w:ind w:left="0"/>
      </w:pPr>
      <w:r w:rsidRPr="00F9591E">
        <w:t>Riksdagen tillkännager för regeringen som sin mening vad som anförs i motionen om att återställa LAS vad gäller turordningsre</w:t>
      </w:r>
      <w:r w:rsidRPr="00F9591E">
        <w:t>g</w:t>
      </w:r>
      <w:r w:rsidRPr="00F9591E">
        <w:t>lerna.</w:t>
      </w:r>
    </w:p>
    <w:p w:rsidR="007B259F" w:rsidRPr="00F9591E" w:rsidRDefault="007B259F">
      <w:pPr>
        <w:pStyle w:val="Rubrik1"/>
      </w:pPr>
      <w:r w:rsidRPr="00F9591E">
        <w:t>Motivering</w:t>
      </w:r>
    </w:p>
    <w:p w:rsidR="007B259F" w:rsidRPr="00F9591E" w:rsidRDefault="007B259F">
      <w:r w:rsidRPr="00F9591E">
        <w:t>Med stöd av Miljöpartiet förändrade de borgerliga partierna turordningsre</w:t>
      </w:r>
      <w:r w:rsidRPr="00F9591E">
        <w:t>g</w:t>
      </w:r>
      <w:r w:rsidRPr="00F9591E">
        <w:t>lerna i LAS (lagen om anställningsskydd). De nya bestämmelserna medför att två personer får undantas från turordningsreglerna vid en uppsägningssitu</w:t>
      </w:r>
      <w:r w:rsidRPr="00F9591E">
        <w:t>a</w:t>
      </w:r>
      <w:r w:rsidRPr="00F9591E">
        <w:t>tion på företag med färre än tio anställda.</w:t>
      </w:r>
    </w:p>
    <w:p w:rsidR="007B259F" w:rsidRPr="00F9591E" w:rsidRDefault="007B259F">
      <w:pPr>
        <w:pStyle w:val="Normaltindrag"/>
      </w:pPr>
      <w:r w:rsidRPr="00F9591E">
        <w:t>Lagstiftningen förstärkte arbetsgivarnas ställning på bekostnad av de a</w:t>
      </w:r>
      <w:r w:rsidRPr="00F9591E">
        <w:t>n</w:t>
      </w:r>
      <w:r w:rsidRPr="00F9591E">
        <w:t>ställdas trygghet.</w:t>
      </w:r>
    </w:p>
    <w:p w:rsidR="007B259F" w:rsidRPr="00F9591E" w:rsidRDefault="007B259F">
      <w:pPr>
        <w:pStyle w:val="Normaltindrag"/>
      </w:pPr>
      <w:r w:rsidRPr="00F9591E">
        <w:t>På senare år har utvecklingen inneburit att arbetstagarnas trygghet på a</w:t>
      </w:r>
      <w:r w:rsidRPr="00F9591E">
        <w:t>r</w:t>
      </w:r>
      <w:r w:rsidRPr="00F9591E">
        <w:t>betsmarknaden har minskat. Detta på grund av att de tidsbegränsade anstäl</w:t>
      </w:r>
      <w:r w:rsidRPr="00F9591E">
        <w:t>l</w:t>
      </w:r>
      <w:r w:rsidRPr="00F9591E">
        <w:t>nin</w:t>
      </w:r>
      <w:r w:rsidRPr="00F9591E">
        <w:t>g</w:t>
      </w:r>
      <w:r w:rsidRPr="00F9591E">
        <w:t>arna ökat, arbetsmiljöarbetet försämrats och därmed ohälsan samt på ett all</w:t>
      </w:r>
      <w:r w:rsidRPr="00F9591E">
        <w:t>t</w:t>
      </w:r>
      <w:r w:rsidRPr="00F9591E">
        <w:t>mer eftersatt jämställdhetsarbete från arbetsgivarsidan som slår hårt mot kvinnors löneutveckling och anställningstrygghet vid exempelvis föräldral</w:t>
      </w:r>
      <w:r w:rsidRPr="00F9591E">
        <w:t>e</w:t>
      </w:r>
      <w:r w:rsidRPr="00F9591E">
        <w:t>dighet. Det är således arbetstagarens ställning som i dagsläget behöver fö</w:t>
      </w:r>
      <w:r w:rsidRPr="00F9591E">
        <w:t>r</w:t>
      </w:r>
      <w:r w:rsidRPr="00F9591E">
        <w:t>stärkas och inte tvärtom.</w:t>
      </w:r>
    </w:p>
    <w:p w:rsidR="007B259F" w:rsidRPr="00F9591E" w:rsidRDefault="007B259F">
      <w:pPr>
        <w:pStyle w:val="Normaltindrag"/>
      </w:pPr>
      <w:r w:rsidRPr="00F9591E">
        <w:t>En lagstiftning till skydd mot osakliga uppsägningar har visat sig behövas, vilket inte medför en stelbent a</w:t>
      </w:r>
      <w:r w:rsidRPr="00F9591E">
        <w:t>rbetsmarknad utan bara förhindrar ineffektivt godtycke och rättslöshet. I uppsägningsförhandlingar mellan arbetsgivare och arbetstagarorganisation diskuteras turordningen och, om verksamhetens öve</w:t>
      </w:r>
      <w:r w:rsidRPr="00F9591E">
        <w:t>r</w:t>
      </w:r>
      <w:r w:rsidRPr="00F9591E">
        <w:t>levnad så kräver, eventuella avvikelser från denna. Detta är en väl etablerad metod på arbetsmarknaden. Frågan om att undanta någon från turordningen avgörs bäst av de lokala parter som känner förhållandena på arbetsplatsen bäst, det vill säga arbetsgivaren och arbetstagarorganisationen.</w:t>
      </w:r>
    </w:p>
    <w:p w:rsidR="007B259F" w:rsidRPr="00F9591E" w:rsidRDefault="007B259F">
      <w:pPr>
        <w:pStyle w:val="Normaltindrag"/>
      </w:pPr>
      <w:r w:rsidRPr="00F9591E">
        <w:lastRenderedPageBreak/>
        <w:t>Om, som är fallet i dagens</w:t>
      </w:r>
      <w:r w:rsidRPr="00F9591E">
        <w:t xml:space="preserve"> lagstiftning, endast arbetsgivaren gör bedö</w:t>
      </w:r>
      <w:r w:rsidRPr="00F9591E">
        <w:t>m</w:t>
      </w:r>
      <w:r w:rsidRPr="00F9591E">
        <w:t>ningen leder detta lätt till godtycke och missgynnar arbetsmarknadens svaga</w:t>
      </w:r>
      <w:r w:rsidRPr="00F9591E">
        <w:t>s</w:t>
      </w:r>
      <w:r w:rsidRPr="00F9591E">
        <w:t>te pa</w:t>
      </w:r>
      <w:r w:rsidRPr="00F9591E">
        <w:t>r</w:t>
      </w:r>
      <w:r w:rsidRPr="00F9591E">
        <w:t>ter. Att arbetsgivare och arbetstagarorganisation gemensamt fattar beslut om eventuella avvikelser medför dessutom att en konfliktsituation avvärjs, vilket främjar arbetsmiljön och verksamheten på arbetsplatsen. I förlängnin</w:t>
      </w:r>
      <w:r w:rsidRPr="00F9591E">
        <w:t>g</w:t>
      </w:r>
      <w:r w:rsidRPr="00F9591E">
        <w:t>en leder anställningstrygghet och samförstånd även till ekonomiska fördelar för a</w:t>
      </w:r>
      <w:r w:rsidRPr="00F9591E">
        <w:t>r</w:t>
      </w:r>
      <w:r w:rsidRPr="00F9591E">
        <w:t>betsgivaren. Den arbetstagare som känner trygghet på sin arbetsplats är pr</w:t>
      </w:r>
      <w:r w:rsidRPr="00F9591E">
        <w:t>o</w:t>
      </w:r>
      <w:r w:rsidRPr="00F9591E">
        <w:t>duk</w:t>
      </w:r>
      <w:r w:rsidRPr="00F9591E">
        <w:t>tiv, skaffar sig hög kompetens och är intresserad av att ta större ansvar. Det gynnar de små och medelstora företagen, medan godtycke i det långa loppet inte gynnar någon. Den arbetstagare som ser sina kolleger få en go</w:t>
      </w:r>
      <w:r w:rsidRPr="00F9591E">
        <w:t>d</w:t>
      </w:r>
      <w:r w:rsidRPr="00F9591E">
        <w:t>tycklig och orättvis behandling av arbetsgivaren känner oro för sin egen fra</w:t>
      </w:r>
      <w:r w:rsidRPr="00F9591E">
        <w:t>m</w:t>
      </w:r>
      <w:r w:rsidRPr="00F9591E">
        <w:t>tida situation snarare än kreativitet och lojalitet till sin arbetsplats. Nuvarande lagstiftning kan också leda till att arbetstagare hellre söker sig till arbetspla</w:t>
      </w:r>
      <w:r w:rsidRPr="00F9591E">
        <w:t>t</w:t>
      </w:r>
      <w:r w:rsidRPr="00F9591E">
        <w:t>ser med fler än tio anställda för att på så vis e</w:t>
      </w:r>
      <w:r w:rsidRPr="00F9591E">
        <w:t>rhålla basal anställningstrygghet.</w:t>
      </w:r>
    </w:p>
    <w:p w:rsidR="007B259F" w:rsidRPr="00F9591E" w:rsidRDefault="007B259F">
      <w:pPr>
        <w:pStyle w:val="Normaltindrag"/>
      </w:pPr>
      <w:r w:rsidRPr="00F9591E">
        <w:t>Av den anledningen är det viktigt att minimera utrymmet för godtycke i beslutsprocessen vid uppsägningar. En lagstiftning som bygger på ensidighet är inte acceptabel. LAS bör snarast återställas vad gäller turordningsregler till vad som gällde före 2001.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591E">
        <w:trPr>
          <w:cantSplit/>
        </w:trPr>
        <w:tc>
          <w:tcPr>
            <w:tcW w:w="3046" w:type="dxa"/>
          </w:tcPr>
          <w:p w:rsidR="007B259F" w:rsidRPr="00F9591E" w:rsidRDefault="007B259F">
            <w:pPr>
              <w:pStyle w:val="UnderskriftDatum"/>
              <w:spacing w:before="240"/>
            </w:pPr>
            <w:r w:rsidRPr="00F9591E">
              <w:t>Stockholm den 28 september 2007</w:t>
            </w:r>
          </w:p>
        </w:tc>
        <w:tc>
          <w:tcPr>
            <w:tcW w:w="3047" w:type="dxa"/>
          </w:tcPr>
          <w:p w:rsidR="007B259F" w:rsidRPr="00F9591E" w:rsidRDefault="007B259F">
            <w:pPr>
              <w:pStyle w:val="Underskrifter"/>
              <w:spacing w:before="240"/>
            </w:pPr>
          </w:p>
        </w:tc>
      </w:tr>
      <w:tr w:rsidR="00000000" w:rsidRPr="00F9591E">
        <w:trPr>
          <w:cantSplit/>
        </w:trPr>
        <w:tc>
          <w:tcPr>
            <w:tcW w:w="3046" w:type="dxa"/>
          </w:tcPr>
          <w:p w:rsidR="007B259F" w:rsidRPr="00F9591E" w:rsidRDefault="007B259F">
            <w:pPr>
              <w:pStyle w:val="Underskrifter"/>
            </w:pPr>
            <w:r w:rsidRPr="00F9591E">
              <w:t>Gunilla Carlsson i Hisings Backa (s)</w:t>
            </w:r>
          </w:p>
        </w:tc>
        <w:tc>
          <w:tcPr>
            <w:tcW w:w="3046" w:type="dxa"/>
          </w:tcPr>
          <w:p w:rsidR="007B259F" w:rsidRPr="00F9591E" w:rsidRDefault="007B259F">
            <w:pPr>
              <w:pStyle w:val="Underskrifter"/>
            </w:pPr>
            <w:r w:rsidRPr="00F9591E">
              <w:t>Claes-Göran Brandin (s)</w:t>
            </w:r>
          </w:p>
        </w:tc>
      </w:tr>
    </w:tbl>
    <w:p w:rsidR="007B259F" w:rsidRPr="00F9591E" w:rsidRDefault="007B259F">
      <w:pPr>
        <w:pStyle w:val="Normaltindrag"/>
      </w:pPr>
    </w:p>
    <w:sectPr w:rsidR="007B259F" w:rsidRPr="00F959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259F" w:rsidRPr="00F9591E" w:rsidRDefault="007B259F">
      <w:r w:rsidRPr="00F9591E">
        <w:separator/>
      </w:r>
    </w:p>
  </w:endnote>
  <w:endnote w:type="continuationSeparator" w:id="0">
    <w:p w:rsidR="007B259F" w:rsidRPr="00F9591E" w:rsidRDefault="007B259F">
      <w:r w:rsidRPr="00F959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59F" w:rsidRPr="00F9591E" w:rsidRDefault="00F9591E">
    <w:pPr>
      <w:pStyle w:val="Sidfot"/>
    </w:pPr>
    <w:r w:rsidRPr="00F959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99985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59F" w:rsidRDefault="007B25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259F" w:rsidRDefault="007B25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59F" w:rsidRPr="00F9591E" w:rsidRDefault="00F9591E">
    <w:pPr>
      <w:pStyle w:val="Sidfot"/>
    </w:pPr>
    <w:r w:rsidRPr="00F959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06217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59F" w:rsidRDefault="007B25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259F" w:rsidRDefault="007B25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59F" w:rsidRPr="00F9591E" w:rsidRDefault="00F9591E">
    <w:pPr>
      <w:pStyle w:val="Sidfot"/>
    </w:pPr>
    <w:r w:rsidRPr="00F959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35944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59F" w:rsidRDefault="007B25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259F" w:rsidRDefault="007B25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259F" w:rsidRPr="00F9591E" w:rsidRDefault="007B259F">
      <w:r w:rsidRPr="00F9591E">
        <w:separator/>
      </w:r>
    </w:p>
  </w:footnote>
  <w:footnote w:type="continuationSeparator" w:id="0">
    <w:p w:rsidR="007B259F" w:rsidRPr="00F9591E" w:rsidRDefault="007B259F">
      <w:r w:rsidRPr="00F959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59F" w:rsidRPr="00F9591E" w:rsidRDefault="00F9591E">
    <w:pPr>
      <w:pStyle w:val="Sidhuvud"/>
    </w:pPr>
    <w:r w:rsidRPr="00F959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41394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59F" w:rsidRDefault="007B259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259F" w:rsidRDefault="007B259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59F" w:rsidRPr="00F9591E" w:rsidRDefault="00F9591E">
    <w:pPr>
      <w:pStyle w:val="Sidhuvud"/>
    </w:pPr>
    <w:r w:rsidRPr="00F959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96318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59F" w:rsidRDefault="007B259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259F" w:rsidRDefault="007B259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59F" w:rsidRPr="00F9591E" w:rsidRDefault="007B259F">
    <w:pPr>
      <w:pStyle w:val="FSHNormal"/>
      <w:tabs>
        <w:tab w:val="right" w:pos="5840"/>
      </w:tabs>
    </w:pPr>
    <w:r w:rsidRPr="00F9591E">
      <w:br/>
    </w:r>
    <w:r w:rsidRPr="00F9591E">
      <w:fldChar w:fldCharType="begin" w:fldLock="1"/>
    </w:r>
    <w:r w:rsidRPr="00F9591E">
      <w:instrText xml:space="preserve"> DOCPROPERTY</w:instrText>
    </w:r>
    <w:r w:rsidRPr="00F9591E">
      <w:rPr>
        <w:sz w:val="18"/>
      </w:rPr>
      <w:instrText xml:space="preserve"> "YearUser" *\charformat </w:instrText>
    </w:r>
    <w:r w:rsidRPr="00F9591E">
      <w:fldChar w:fldCharType="separate"/>
    </w:r>
    <w:r w:rsidRPr="00F9591E">
      <w:t>2007/08</w:t>
    </w:r>
    <w:r w:rsidRPr="00F9591E">
      <w:fldChar w:fldCharType="end"/>
    </w:r>
    <w:r w:rsidRPr="00F9591E">
      <w:t xml:space="preserve"> </w:t>
    </w:r>
    <w:r w:rsidRPr="00F9591E">
      <w:tab/>
      <w:t xml:space="preserve">mnr: </w:t>
    </w:r>
    <w:r w:rsidRPr="00F9591E">
      <w:fldChar w:fldCharType="begin" w:fldLock="1"/>
    </w:r>
    <w:r w:rsidRPr="00F9591E">
      <w:instrText xml:space="preserve"> DOCPROPERTY</w:instrText>
    </w:r>
    <w:r w:rsidRPr="00F9591E">
      <w:rPr>
        <w:sz w:val="18"/>
      </w:rPr>
      <w:instrText xml:space="preserve"> "Motionsnummer" *\charformat </w:instrText>
    </w:r>
    <w:r w:rsidRPr="00F9591E">
      <w:fldChar w:fldCharType="separate"/>
    </w:r>
    <w:r w:rsidRPr="00F9591E">
      <w:t>A262</w:t>
    </w:r>
    <w:r w:rsidRPr="00F9591E">
      <w:fldChar w:fldCharType="end"/>
    </w:r>
    <w:r w:rsidRPr="00F9591E">
      <w:br/>
    </w:r>
    <w:r w:rsidRPr="00F9591E">
      <w:fldChar w:fldCharType="begin" w:fldLock="1"/>
    </w:r>
    <w:r w:rsidRPr="00F9591E">
      <w:instrText xml:space="preserve"> DOCPROPERTY</w:instrText>
    </w:r>
    <w:r w:rsidRPr="00F9591E">
      <w:rPr>
        <w:sz w:val="18"/>
      </w:rPr>
      <w:instrText xml:space="preserve"> "Samling" *\charformat </w:instrText>
    </w:r>
    <w:r w:rsidRPr="00F9591E">
      <w:fldChar w:fldCharType="end"/>
    </w:r>
    <w:r w:rsidRPr="00F9591E">
      <w:tab/>
      <w:t xml:space="preserve">pnr: </w:t>
    </w:r>
    <w:r w:rsidRPr="00F9591E">
      <w:fldChar w:fldCharType="begin" w:fldLock="1"/>
    </w:r>
    <w:r w:rsidRPr="00F9591E">
      <w:instrText xml:space="preserve"> DOCPROPERTY</w:instrText>
    </w:r>
    <w:r w:rsidRPr="00F9591E">
      <w:rPr>
        <w:sz w:val="18"/>
      </w:rPr>
      <w:instrText xml:space="preserve"> "Partinummer" *\charformat </w:instrText>
    </w:r>
    <w:r w:rsidRPr="00F9591E">
      <w:fldChar w:fldCharType="separate"/>
    </w:r>
    <w:r w:rsidRPr="00F9591E">
      <w:t>s27058</w:t>
    </w:r>
    <w:r w:rsidRPr="00F9591E">
      <w:fldChar w:fldCharType="end"/>
    </w:r>
  </w:p>
  <w:p w:rsidR="007B259F" w:rsidRPr="00F9591E" w:rsidRDefault="007B259F">
    <w:pPr>
      <w:pStyle w:val="FSHRub1"/>
    </w:pPr>
    <w:r w:rsidRPr="00F9591E">
      <w:t>Motion till riksdagen</w:t>
    </w:r>
    <w:r w:rsidRPr="00F9591E">
      <w:br/>
    </w:r>
    <w:r w:rsidRPr="00F9591E">
      <w:fldChar w:fldCharType="begin" w:fldLock="1"/>
    </w:r>
    <w:r w:rsidRPr="00F9591E">
      <w:instrText xml:space="preserve"> DOCPROPERTY "YearUser" *\charformat </w:instrText>
    </w:r>
    <w:r w:rsidRPr="00F9591E">
      <w:fldChar w:fldCharType="separate"/>
    </w:r>
    <w:r w:rsidRPr="00F9591E">
      <w:t>2007/08</w:t>
    </w:r>
    <w:r w:rsidRPr="00F9591E">
      <w:fldChar w:fldCharType="end"/>
    </w:r>
    <w:r w:rsidRPr="00F9591E">
      <w:t>:</w:t>
    </w:r>
    <w:r w:rsidRPr="00F9591E">
      <w:fldChar w:fldCharType="begin" w:fldLock="1"/>
    </w:r>
    <w:r w:rsidRPr="00F9591E">
      <w:instrText xml:space="preserve"> DOCPROPERTY "Motionsnummer" *\charformat </w:instrText>
    </w:r>
    <w:r w:rsidRPr="00F9591E">
      <w:fldChar w:fldCharType="separate"/>
    </w:r>
    <w:r w:rsidRPr="00F9591E">
      <w:t>A262</w:t>
    </w:r>
    <w:r w:rsidRPr="00F9591E">
      <w:fldChar w:fldCharType="end"/>
    </w:r>
  </w:p>
  <w:p w:rsidR="007B259F" w:rsidRPr="00F9591E" w:rsidRDefault="007B259F">
    <w:pPr>
      <w:pStyle w:val="FSHNormalS5"/>
    </w:pPr>
    <w:r w:rsidRPr="00F9591E">
      <w:fldChar w:fldCharType="begin" w:fldLock="1"/>
    </w:r>
    <w:r w:rsidRPr="00F9591E">
      <w:instrText xml:space="preserve"> DOCPROPERTY "MotionarText" *\charformat </w:instrText>
    </w:r>
    <w:r w:rsidRPr="00F9591E">
      <w:fldChar w:fldCharType="separate"/>
    </w:r>
    <w:r w:rsidRPr="00F9591E">
      <w:t>av Gunilla Carlsson i Hisings Backa och Claes-Göran Brandin (s)</w:t>
    </w:r>
    <w:r w:rsidRPr="00F9591E">
      <w:fldChar w:fldCharType="end"/>
    </w:r>
    <w:r w:rsidRPr="00F9591E">
      <w:br/>
    </w:r>
    <w:r w:rsidRPr="00F9591E">
      <w:fldChar w:fldCharType="begin" w:fldLock="1"/>
    </w:r>
    <w:r w:rsidRPr="00F9591E">
      <w:instrText xml:space="preserve"> DOCPROPERTY "SvarFrasKort" *\charformat </w:instrText>
    </w:r>
    <w:r w:rsidRPr="00F9591E">
      <w:fldChar w:fldCharType="end"/>
    </w:r>
  </w:p>
  <w:p w:rsidR="007B259F" w:rsidRPr="00F9591E" w:rsidRDefault="007B259F">
    <w:pPr>
      <w:pStyle w:val="FSHTitel"/>
    </w:pPr>
    <w:r w:rsidRPr="00F9591E">
      <w:fldChar w:fldCharType="begin" w:fldLock="1"/>
    </w:r>
    <w:r w:rsidRPr="00F9591E">
      <w:instrText xml:space="preserve"> DOCPROPERTY</w:instrText>
    </w:r>
    <w:r w:rsidRPr="00F9591E">
      <w:rPr>
        <w:sz w:val="18"/>
      </w:rPr>
      <w:instrText xml:space="preserve"> "RubrikSvar" *\charformat </w:instrText>
    </w:r>
    <w:r w:rsidRPr="00F9591E">
      <w:fldChar w:fldCharType="separate"/>
    </w:r>
    <w:r w:rsidRPr="00F9591E">
      <w:t>Turordningsreglerna i lagen om anställningsskydd</w:t>
    </w:r>
    <w:r w:rsidRPr="00F9591E">
      <w:fldChar w:fldCharType="end"/>
    </w:r>
  </w:p>
  <w:p w:rsidR="007B259F" w:rsidRPr="00F9591E" w:rsidRDefault="007B259F">
    <w:pPr>
      <w:pStyle w:val="Normal00"/>
    </w:pPr>
  </w:p>
  <w:p w:rsidR="007B259F" w:rsidRPr="00F9591E" w:rsidRDefault="007B25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4456239">
    <w:abstractNumId w:val="8"/>
  </w:num>
  <w:num w:numId="2" w16cid:durableId="1663504497">
    <w:abstractNumId w:val="9"/>
  </w:num>
  <w:num w:numId="3" w16cid:durableId="1873178889">
    <w:abstractNumId w:val="8"/>
  </w:num>
  <w:num w:numId="4" w16cid:durableId="1124081158">
    <w:abstractNumId w:val="9"/>
  </w:num>
  <w:num w:numId="5" w16cid:durableId="66804316">
    <w:abstractNumId w:val="13"/>
  </w:num>
  <w:num w:numId="6" w16cid:durableId="963804819">
    <w:abstractNumId w:val="10"/>
  </w:num>
  <w:num w:numId="7" w16cid:durableId="584454617">
    <w:abstractNumId w:val="11"/>
  </w:num>
  <w:num w:numId="8" w16cid:durableId="1943032434">
    <w:abstractNumId w:val="12"/>
  </w:num>
  <w:num w:numId="9" w16cid:durableId="789858666">
    <w:abstractNumId w:val="8"/>
  </w:num>
  <w:num w:numId="10" w16cid:durableId="472677336">
    <w:abstractNumId w:val="3"/>
  </w:num>
  <w:num w:numId="11" w16cid:durableId="1622802619">
    <w:abstractNumId w:val="2"/>
  </w:num>
  <w:num w:numId="12" w16cid:durableId="1069425639">
    <w:abstractNumId w:val="1"/>
  </w:num>
  <w:num w:numId="13" w16cid:durableId="42413771">
    <w:abstractNumId w:val="0"/>
  </w:num>
  <w:num w:numId="14" w16cid:durableId="1681464066">
    <w:abstractNumId w:val="9"/>
  </w:num>
  <w:num w:numId="15" w16cid:durableId="1231770417">
    <w:abstractNumId w:val="7"/>
  </w:num>
  <w:num w:numId="16" w16cid:durableId="1004164449">
    <w:abstractNumId w:val="6"/>
  </w:num>
  <w:num w:numId="17" w16cid:durableId="1040469650">
    <w:abstractNumId w:val="5"/>
  </w:num>
  <w:num w:numId="18" w16cid:durableId="1976333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4F01CF0C-53D4-4C7A-B501-69C90218D11F},{01BDF579-471C-4239-90B2-2FAC506BC556}"/>
  </w:docVars>
  <w:rsids>
    <w:rsidRoot w:val="00B60802"/>
    <w:rsid w:val="007B259F"/>
    <w:rsid w:val="00B60802"/>
    <w:rsid w:val="00F959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6E4196-2C8C-4721-A9F7-B22C46B8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2635</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s27058</vt:lpstr>
    </vt:vector>
  </TitlesOfParts>
  <Company>Riksdagen</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s27058</dc:title>
  <dc:subject>s27058</dc:subject>
  <dc:creator>Riksdagen</dc:creator>
  <cp:keywords>Riksdagen</cp:keywords>
  <dc:description>TKG-ktrl, MSMQ4mb, PersReg-Distribution mm</dc:description>
  <cp:lastModifiedBy>Lars Brink</cp:lastModifiedBy>
  <cp:revision>2</cp:revision>
  <cp:lastPrinted>2007-11-02T07:36:00Z</cp:lastPrinted>
  <dcterms:created xsi:type="dcterms:W3CDTF">2025-12-17T04:24:00Z</dcterms:created>
  <dcterms:modified xsi:type="dcterms:W3CDTF">2025-12-17T04:24:00Z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Turordningsreglerna i lagen om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Turordningsreglerna i lagen om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Claes-Göran Brandin (s)</vt:lpwstr>
  </property>
  <property fmtid="{D5CDD505-2E9C-101B-9397-08002B2CF9AE}" pid="26" name="MotionarLista">
    <vt:lpwstr>Carlsson i Hisings Backa, Gunilla (s)\Brandin,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20072008000000000115000270580069</vt:lpwstr>
  </property>
  <property fmtid="{D5CDD505-2E9C-101B-9397-08002B2CF9AE}" pid="47" name="datum">
    <vt:lpwstr>070928</vt:lpwstr>
  </property>
  <property fmtid="{D5CDD505-2E9C-101B-9397-08002B2CF9AE}" pid="48" name="avsändar-e-post">
    <vt:lpwstr>laura.luna@riksdagen.se</vt:lpwstr>
  </property>
  <property fmtid="{D5CDD505-2E9C-101B-9397-08002B2CF9AE}" pid="49" name="id">
    <vt:lpwstr>20072008000000000115000270580069</vt:lpwstr>
  </property>
  <property fmtid="{D5CDD505-2E9C-101B-9397-08002B2CF9AE}" pid="50" name="nummer">
    <vt:lpwstr>262</vt:lpwstr>
  </property>
  <property fmtid="{D5CDD505-2E9C-101B-9397-08002B2CF9AE}" pid="51" name="utskottsbeteckning">
    <vt:lpwstr>A</vt:lpwstr>
  </property>
  <property fmtid="{D5CDD505-2E9C-101B-9397-08002B2CF9AE}" pid="52" name="GlobalUID">
    <vt:lpwstr>{06CA011E-3231-4C82-B3D3-92CEAAA46754}</vt:lpwstr>
  </property>
  <property fmtid="{D5CDD505-2E9C-101B-9397-08002B2CF9AE}" pid="53" name="Överföringar">
    <vt:i4>0</vt:i4>
  </property>
  <property fmtid="{D5CDD505-2E9C-101B-9397-08002B2CF9AE}" pid="54" name="Checksum">
    <vt:lpwstr>*1018572725923*</vt:lpwstr>
  </property>
  <property fmtid="{D5CDD505-2E9C-101B-9397-08002B2CF9AE}" pid="55" name="skuggnummer">
    <vt:lpwstr>813</vt:lpwstr>
  </property>
  <property fmtid="{D5CDD505-2E9C-101B-9397-08002B2CF9AE}" pid="56" name="urixVersion">
    <vt:lpwstr>3.2.0.8</vt:lpwstr>
  </property>
  <property fmtid="{D5CDD505-2E9C-101B-9397-08002B2CF9AE}" pid="57" name="urixOrigin">
    <vt:lpwstr>071102 08:36:52.648</vt:lpwstr>
  </property>
  <property fmtid="{D5CDD505-2E9C-101B-9397-08002B2CF9AE}" pid="58" name="urixGuid">
    <vt:lpwstr>{98DAF98A-D39D-46FF-8F17-B6479013A1D1}</vt:lpwstr>
  </property>
</Properties>
</file>