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857" w:rsidRPr="00BB6DE2" w:rsidRDefault="00230857">
      <w:pPr>
        <w:pStyle w:val="RubrikSammanf"/>
        <w:shd w:val="clear" w:color="000000" w:fill="auto"/>
      </w:pPr>
      <w:bookmarkStart w:id="0" w:name="_Toc148860861"/>
      <w:bookmarkStart w:id="1" w:name="_Toc151085884"/>
      <w:r w:rsidRPr="00BB6DE2">
        <w:t>Sammanfattning</w:t>
      </w:r>
      <w:bookmarkEnd w:id="0"/>
      <w:bookmarkEnd w:id="1"/>
    </w:p>
    <w:p w:rsidR="00230857" w:rsidRPr="00BB6DE2" w:rsidRDefault="00230857">
      <w:pPr>
        <w:shd w:val="clear" w:color="000000" w:fill="auto"/>
      </w:pPr>
      <w:r w:rsidRPr="00BB6DE2">
        <w:t>Under 1900-talet ökade medellivslängden med ett kvarts sekel. Det är i h</w:t>
      </w:r>
      <w:r w:rsidRPr="00BB6DE2">
        <w:t>u</w:t>
      </w:r>
      <w:r w:rsidRPr="00BB6DE2">
        <w:t>vudsak friska år som lagts till livet. Samtidigt upplever många äldre en neg</w:t>
      </w:r>
      <w:r w:rsidRPr="00BB6DE2">
        <w:t>a</w:t>
      </w:r>
      <w:r w:rsidRPr="00BB6DE2">
        <w:t>tiv särbehandling. Man ses inte som en resurs i arbetslivet</w:t>
      </w:r>
      <w:r w:rsidR="00022E20" w:rsidRPr="00BB6DE2">
        <w:t>,</w:t>
      </w:r>
      <w:r w:rsidRPr="00BB6DE2">
        <w:t xml:space="preserve"> och de ideella insatser man gör efter pensioneringen uppskattas inte till deras fulla värde. Negativa bilder och myter om åldrandet lägger hinder i vägen för äldre att fritt kunna välja hur de vill leva sina liv och få sina behov tillgodosedda. Den parlamentariska utredningen </w:t>
      </w:r>
      <w:r w:rsidRPr="00BB6DE2">
        <w:rPr>
          <w:i/>
        </w:rPr>
        <w:t xml:space="preserve">Äldrepolitik för framtiden </w:t>
      </w:r>
      <w:r w:rsidR="00F759CD" w:rsidRPr="00BB6DE2">
        <w:t>(SOU 2003:91)</w:t>
      </w:r>
      <w:r w:rsidRPr="00BB6DE2">
        <w:t xml:space="preserve">, i dagligt tal kallad </w:t>
      </w:r>
      <w:r w:rsidR="00022E20" w:rsidRPr="00BB6DE2">
        <w:t xml:space="preserve">Senior </w:t>
      </w:r>
      <w:r w:rsidRPr="00BB6DE2">
        <w:t>2005, lämnade en rad förslag om åtgärder mot neg</w:t>
      </w:r>
      <w:r w:rsidRPr="00BB6DE2">
        <w:t>a</w:t>
      </w:r>
      <w:r w:rsidRPr="00BB6DE2">
        <w:t>tiv särbehandling av äldre. I motionen yrkas att dessa förslag bör genomföras liksom förslag till åtgärder som tagits upp internationellt för att fö</w:t>
      </w:r>
      <w:r w:rsidR="003D5F66" w:rsidRPr="00BB6DE2">
        <w:t>rebygga negativ särbehandling (</w:t>
      </w:r>
      <w:r w:rsidRPr="00BB6DE2">
        <w:t>diskriminering) av äldre.</w:t>
      </w:r>
    </w:p>
    <w:p w:rsidR="00F830B5" w:rsidRPr="00BB6DE2" w:rsidRDefault="00F830B5">
      <w:pPr>
        <w:pStyle w:val="RubrikInnehllsf"/>
        <w:pageBreakBefore/>
        <w:shd w:val="clear" w:color="000000" w:fill="auto"/>
        <w:spacing w:before="0"/>
      </w:pPr>
      <w:r w:rsidRPr="00BB6DE2">
        <w:lastRenderedPageBreak/>
        <w:t>Innehållsförteckning</w:t>
      </w:r>
    </w:p>
    <w:p w:rsidR="006C65F2" w:rsidRPr="00BB6DE2" w:rsidRDefault="00765878">
      <w:pPr>
        <w:pStyle w:val="Innehll1"/>
        <w:shd w:val="clear" w:color="000000" w:fill="auto"/>
        <w:rPr>
          <w:sz w:val="24"/>
          <w:szCs w:val="24"/>
        </w:rPr>
      </w:pPr>
      <w:r w:rsidRPr="00BB6DE2">
        <w:rPr>
          <w:sz w:val="24"/>
        </w:rPr>
        <w:fldChar w:fldCharType="begin" w:fldLock="1"/>
      </w:r>
      <w:r w:rsidR="00F830B5" w:rsidRPr="00BB6DE2">
        <w:instrText xml:space="preserve"> TOC \o "2-3" \t "Rubrik 1;1;Hemstl_rubrik;1;RubrikSammanf;1" </w:instrText>
      </w:r>
      <w:r w:rsidRPr="00BB6DE2">
        <w:rPr>
          <w:sz w:val="24"/>
        </w:rPr>
        <w:fldChar w:fldCharType="separate"/>
      </w:r>
      <w:r w:rsidR="006C65F2" w:rsidRPr="00BB6DE2">
        <w:t>Sammanfattning</w:t>
      </w:r>
      <w:r w:rsidR="006C65F2" w:rsidRPr="00BB6DE2">
        <w:tab/>
      </w:r>
      <w:r w:rsidRPr="00BB6DE2">
        <w:fldChar w:fldCharType="begin" w:fldLock="1"/>
      </w:r>
      <w:r w:rsidR="006C65F2" w:rsidRPr="00BB6DE2">
        <w:instrText xml:space="preserve"> PAGEREF _Toc151085884 \h </w:instrText>
      </w:r>
      <w:r w:rsidRPr="00BB6DE2">
        <w:fldChar w:fldCharType="separate"/>
      </w:r>
      <w:r w:rsidR="006708E1" w:rsidRPr="00BB6DE2">
        <w:t>1</w:t>
      </w:r>
      <w:r w:rsidRPr="00BB6DE2">
        <w:fldChar w:fldCharType="end"/>
      </w:r>
    </w:p>
    <w:p w:rsidR="006C65F2" w:rsidRPr="00BB6DE2" w:rsidRDefault="006C65F2">
      <w:pPr>
        <w:pStyle w:val="Innehll1"/>
        <w:shd w:val="clear" w:color="000000" w:fill="auto"/>
        <w:rPr>
          <w:sz w:val="24"/>
          <w:szCs w:val="24"/>
        </w:rPr>
      </w:pPr>
      <w:r w:rsidRPr="00BB6DE2">
        <w:t>Förslag till riksdagsbeslut</w:t>
      </w:r>
      <w:r w:rsidRPr="00BB6DE2">
        <w:tab/>
      </w:r>
      <w:r w:rsidR="00765878" w:rsidRPr="00BB6DE2">
        <w:fldChar w:fldCharType="begin" w:fldLock="1"/>
      </w:r>
      <w:r w:rsidRPr="00BB6DE2">
        <w:instrText xml:space="preserve"> PAGEREF _Toc151085885 \h </w:instrText>
      </w:r>
      <w:r w:rsidR="00765878" w:rsidRPr="00BB6DE2">
        <w:fldChar w:fldCharType="separate"/>
      </w:r>
      <w:r w:rsidR="006708E1" w:rsidRPr="00BB6DE2">
        <w:t>3</w:t>
      </w:r>
      <w:r w:rsidR="00765878" w:rsidRPr="00BB6DE2">
        <w:fldChar w:fldCharType="end"/>
      </w:r>
    </w:p>
    <w:p w:rsidR="006C65F2" w:rsidRPr="00BB6DE2" w:rsidRDefault="006C65F2">
      <w:pPr>
        <w:pStyle w:val="Innehll1"/>
        <w:shd w:val="clear" w:color="000000" w:fill="auto"/>
        <w:rPr>
          <w:sz w:val="24"/>
          <w:szCs w:val="24"/>
        </w:rPr>
      </w:pPr>
      <w:r w:rsidRPr="00BB6DE2">
        <w:t>Bakgrund</w:t>
      </w:r>
      <w:r w:rsidRPr="00BB6DE2">
        <w:tab/>
      </w:r>
      <w:r w:rsidR="00765878" w:rsidRPr="00BB6DE2">
        <w:fldChar w:fldCharType="begin" w:fldLock="1"/>
      </w:r>
      <w:r w:rsidRPr="00BB6DE2">
        <w:instrText xml:space="preserve"> PAGEREF _Toc151085886 \h </w:instrText>
      </w:r>
      <w:r w:rsidR="00765878" w:rsidRPr="00BB6DE2">
        <w:fldChar w:fldCharType="separate"/>
      </w:r>
      <w:r w:rsidR="006708E1" w:rsidRPr="00BB6DE2">
        <w:t>4</w:t>
      </w:r>
      <w:r w:rsidR="00765878" w:rsidRPr="00BB6DE2">
        <w:fldChar w:fldCharType="end"/>
      </w:r>
    </w:p>
    <w:p w:rsidR="006C65F2" w:rsidRPr="00BB6DE2" w:rsidRDefault="006C65F2">
      <w:pPr>
        <w:pStyle w:val="Innehll2"/>
        <w:shd w:val="clear" w:color="000000" w:fill="auto"/>
        <w:ind w:hanging="164"/>
        <w:rPr>
          <w:sz w:val="24"/>
          <w:szCs w:val="24"/>
        </w:rPr>
      </w:pPr>
      <w:r w:rsidRPr="00BB6DE2">
        <w:rPr>
          <w:bCs/>
        </w:rPr>
        <w:t>Arbetsliv och pensionering</w:t>
      </w:r>
      <w:r w:rsidRPr="00BB6DE2">
        <w:tab/>
      </w:r>
      <w:r w:rsidR="00765878" w:rsidRPr="00BB6DE2">
        <w:fldChar w:fldCharType="begin" w:fldLock="1"/>
      </w:r>
      <w:r w:rsidRPr="00BB6DE2">
        <w:instrText xml:space="preserve"> PAGEREF _Toc151085887 \h </w:instrText>
      </w:r>
      <w:r w:rsidR="00765878" w:rsidRPr="00BB6DE2">
        <w:fldChar w:fldCharType="separate"/>
      </w:r>
      <w:r w:rsidR="006708E1" w:rsidRPr="00BB6DE2">
        <w:t>4</w:t>
      </w:r>
      <w:r w:rsidR="00765878" w:rsidRPr="00BB6DE2">
        <w:fldChar w:fldCharType="end"/>
      </w:r>
    </w:p>
    <w:p w:rsidR="006C65F2" w:rsidRPr="00BB6DE2" w:rsidRDefault="006C65F2">
      <w:pPr>
        <w:pStyle w:val="Innehll2"/>
        <w:shd w:val="clear" w:color="000000" w:fill="auto"/>
        <w:ind w:hanging="164"/>
        <w:rPr>
          <w:sz w:val="24"/>
          <w:szCs w:val="24"/>
        </w:rPr>
      </w:pPr>
      <w:r w:rsidRPr="00BB6DE2">
        <w:rPr>
          <w:bCs/>
        </w:rPr>
        <w:t>Kronologiska åldersgränser</w:t>
      </w:r>
      <w:r w:rsidRPr="00BB6DE2">
        <w:tab/>
      </w:r>
      <w:r w:rsidR="00765878" w:rsidRPr="00BB6DE2">
        <w:fldChar w:fldCharType="begin" w:fldLock="1"/>
      </w:r>
      <w:r w:rsidRPr="00BB6DE2">
        <w:instrText xml:space="preserve"> PAGEREF _Toc151085888 \h </w:instrText>
      </w:r>
      <w:r w:rsidR="00765878" w:rsidRPr="00BB6DE2">
        <w:fldChar w:fldCharType="separate"/>
      </w:r>
      <w:r w:rsidR="006708E1" w:rsidRPr="00BB6DE2">
        <w:t>5</w:t>
      </w:r>
      <w:r w:rsidR="00765878" w:rsidRPr="00BB6DE2">
        <w:fldChar w:fldCharType="end"/>
      </w:r>
    </w:p>
    <w:p w:rsidR="006C65F2" w:rsidRPr="00BB6DE2" w:rsidRDefault="006C65F2">
      <w:pPr>
        <w:pStyle w:val="Innehll2"/>
        <w:shd w:val="clear" w:color="000000" w:fill="auto"/>
        <w:ind w:hanging="164"/>
        <w:rPr>
          <w:sz w:val="24"/>
          <w:szCs w:val="24"/>
        </w:rPr>
      </w:pPr>
      <w:r w:rsidRPr="00BB6DE2">
        <w:rPr>
          <w:bCs/>
        </w:rPr>
        <w:t>Myter om åldrandet</w:t>
      </w:r>
      <w:r w:rsidRPr="00BB6DE2">
        <w:tab/>
      </w:r>
      <w:r w:rsidR="00765878" w:rsidRPr="00BB6DE2">
        <w:fldChar w:fldCharType="begin" w:fldLock="1"/>
      </w:r>
      <w:r w:rsidRPr="00BB6DE2">
        <w:instrText xml:space="preserve"> PAGEREF _Toc151085889 \h </w:instrText>
      </w:r>
      <w:r w:rsidR="00765878" w:rsidRPr="00BB6DE2">
        <w:fldChar w:fldCharType="separate"/>
      </w:r>
      <w:r w:rsidR="006708E1" w:rsidRPr="00BB6DE2">
        <w:t>5</w:t>
      </w:r>
      <w:r w:rsidR="00765878" w:rsidRPr="00BB6DE2">
        <w:fldChar w:fldCharType="end"/>
      </w:r>
    </w:p>
    <w:p w:rsidR="006C65F2" w:rsidRPr="00BB6DE2" w:rsidRDefault="006C65F2">
      <w:pPr>
        <w:pStyle w:val="Innehll2"/>
        <w:shd w:val="clear" w:color="000000" w:fill="auto"/>
        <w:ind w:hanging="164"/>
        <w:rPr>
          <w:sz w:val="24"/>
          <w:szCs w:val="24"/>
        </w:rPr>
      </w:pPr>
      <w:r w:rsidRPr="00BB6DE2">
        <w:rPr>
          <w:bCs/>
        </w:rPr>
        <w:t>Massmedierna</w:t>
      </w:r>
      <w:r w:rsidRPr="00BB6DE2">
        <w:tab/>
      </w:r>
      <w:r w:rsidR="00765878" w:rsidRPr="00BB6DE2">
        <w:fldChar w:fldCharType="begin" w:fldLock="1"/>
      </w:r>
      <w:r w:rsidRPr="00BB6DE2">
        <w:instrText xml:space="preserve"> PAGEREF _Toc151085890 \h </w:instrText>
      </w:r>
      <w:r w:rsidR="00765878" w:rsidRPr="00BB6DE2">
        <w:fldChar w:fldCharType="separate"/>
      </w:r>
      <w:r w:rsidR="006708E1" w:rsidRPr="00BB6DE2">
        <w:t>6</w:t>
      </w:r>
      <w:r w:rsidR="00765878" w:rsidRPr="00BB6DE2">
        <w:fldChar w:fldCharType="end"/>
      </w:r>
    </w:p>
    <w:p w:rsidR="006C65F2" w:rsidRPr="00BB6DE2" w:rsidRDefault="006C65F2">
      <w:pPr>
        <w:pStyle w:val="Innehll2"/>
        <w:shd w:val="clear" w:color="000000" w:fill="auto"/>
        <w:ind w:hanging="164"/>
        <w:rPr>
          <w:sz w:val="24"/>
          <w:szCs w:val="24"/>
        </w:rPr>
      </w:pPr>
      <w:r w:rsidRPr="00BB6DE2">
        <w:rPr>
          <w:bCs/>
        </w:rPr>
        <w:t>Exempel på negativ särbehandling (diskriminering) av äldre</w:t>
      </w:r>
      <w:r w:rsidRPr="00BB6DE2">
        <w:tab/>
      </w:r>
      <w:r w:rsidR="00765878" w:rsidRPr="00BB6DE2">
        <w:fldChar w:fldCharType="begin" w:fldLock="1"/>
      </w:r>
      <w:r w:rsidRPr="00BB6DE2">
        <w:instrText xml:space="preserve"> PAGEREF _Toc151085891 \h </w:instrText>
      </w:r>
      <w:r w:rsidR="00765878" w:rsidRPr="00BB6DE2">
        <w:fldChar w:fldCharType="separate"/>
      </w:r>
      <w:r w:rsidR="006708E1" w:rsidRPr="00BB6DE2">
        <w:t>7</w:t>
      </w:r>
      <w:r w:rsidR="00765878" w:rsidRPr="00BB6DE2">
        <w:fldChar w:fldCharType="end"/>
      </w:r>
    </w:p>
    <w:p w:rsidR="006C65F2" w:rsidRPr="00BB6DE2" w:rsidRDefault="006C65F2">
      <w:pPr>
        <w:pStyle w:val="Innehll2"/>
        <w:shd w:val="clear" w:color="000000" w:fill="auto"/>
        <w:ind w:hanging="164"/>
        <w:rPr>
          <w:sz w:val="24"/>
          <w:szCs w:val="24"/>
        </w:rPr>
      </w:pPr>
      <w:r w:rsidRPr="00BB6DE2">
        <w:rPr>
          <w:bCs/>
        </w:rPr>
        <w:t>Internationellt perspektiv</w:t>
      </w:r>
      <w:r w:rsidRPr="00BB6DE2">
        <w:tab/>
      </w:r>
      <w:r w:rsidR="00765878" w:rsidRPr="00BB6DE2">
        <w:fldChar w:fldCharType="begin" w:fldLock="1"/>
      </w:r>
      <w:r w:rsidRPr="00BB6DE2">
        <w:instrText xml:space="preserve"> PAGEREF _Toc151085892 \h </w:instrText>
      </w:r>
      <w:r w:rsidR="00765878" w:rsidRPr="00BB6DE2">
        <w:fldChar w:fldCharType="separate"/>
      </w:r>
      <w:r w:rsidR="006708E1" w:rsidRPr="00BB6DE2">
        <w:t>7</w:t>
      </w:r>
      <w:r w:rsidR="00765878" w:rsidRPr="00BB6DE2">
        <w:fldChar w:fldCharType="end"/>
      </w:r>
    </w:p>
    <w:p w:rsidR="006C65F2" w:rsidRPr="00BB6DE2" w:rsidRDefault="006C65F2">
      <w:pPr>
        <w:pStyle w:val="Innehll2"/>
        <w:shd w:val="clear" w:color="000000" w:fill="auto"/>
        <w:ind w:hanging="164"/>
        <w:rPr>
          <w:sz w:val="24"/>
          <w:szCs w:val="24"/>
        </w:rPr>
      </w:pPr>
      <w:r w:rsidRPr="00BB6DE2">
        <w:rPr>
          <w:bCs/>
        </w:rPr>
        <w:t>En sammanhållen diskrimineringslagstiftning</w:t>
      </w:r>
      <w:r w:rsidRPr="00BB6DE2">
        <w:tab/>
      </w:r>
      <w:r w:rsidR="00765878" w:rsidRPr="00BB6DE2">
        <w:fldChar w:fldCharType="begin" w:fldLock="1"/>
      </w:r>
      <w:r w:rsidRPr="00BB6DE2">
        <w:instrText xml:space="preserve"> PAGEREF _Toc151085893 \h </w:instrText>
      </w:r>
      <w:r w:rsidR="00765878" w:rsidRPr="00BB6DE2">
        <w:fldChar w:fldCharType="separate"/>
      </w:r>
      <w:r w:rsidR="006708E1" w:rsidRPr="00BB6DE2">
        <w:t>8</w:t>
      </w:r>
      <w:r w:rsidR="00765878" w:rsidRPr="00BB6DE2">
        <w:fldChar w:fldCharType="end"/>
      </w:r>
    </w:p>
    <w:p w:rsidR="006C65F2" w:rsidRPr="00BB6DE2" w:rsidRDefault="006C65F2">
      <w:pPr>
        <w:pStyle w:val="Innehll2"/>
        <w:shd w:val="clear" w:color="000000" w:fill="auto"/>
        <w:ind w:hanging="164"/>
        <w:rPr>
          <w:sz w:val="24"/>
          <w:szCs w:val="24"/>
        </w:rPr>
      </w:pPr>
      <w:r w:rsidRPr="00BB6DE2">
        <w:t>Åtgärder som bör vidtas</w:t>
      </w:r>
      <w:r w:rsidRPr="00BB6DE2">
        <w:tab/>
      </w:r>
      <w:r w:rsidR="00765878" w:rsidRPr="00BB6DE2">
        <w:fldChar w:fldCharType="begin" w:fldLock="1"/>
      </w:r>
      <w:r w:rsidRPr="00BB6DE2">
        <w:instrText xml:space="preserve"> PAGEREF _Toc151085894 \h </w:instrText>
      </w:r>
      <w:r w:rsidR="00765878" w:rsidRPr="00BB6DE2">
        <w:fldChar w:fldCharType="separate"/>
      </w:r>
      <w:r w:rsidR="006708E1" w:rsidRPr="00BB6DE2">
        <w:t>9</w:t>
      </w:r>
      <w:r w:rsidR="00765878" w:rsidRPr="00BB6DE2">
        <w:fldChar w:fldCharType="end"/>
      </w:r>
    </w:p>
    <w:p w:rsidR="00765878" w:rsidRPr="00BB6DE2" w:rsidRDefault="00765878">
      <w:r w:rsidRPr="00BB6DE2">
        <w:fldChar w:fldCharType="end"/>
      </w:r>
      <w:bookmarkStart w:id="2" w:name="_Toc148860862"/>
      <w:bookmarkStart w:id="3" w:name="_Toc151085885"/>
    </w:p>
    <w:p w:rsidR="00230857" w:rsidRPr="00BB6DE2" w:rsidRDefault="00230857">
      <w:pPr>
        <w:pStyle w:val="Hemstlrubrik"/>
        <w:pageBreakBefore/>
        <w:shd w:val="clear" w:color="000000" w:fill="auto"/>
        <w:spacing w:before="0"/>
      </w:pPr>
      <w:r w:rsidRPr="00BB6DE2">
        <w:t>Förslag till riksdagsbeslut</w:t>
      </w:r>
      <w:bookmarkEnd w:id="2"/>
      <w:bookmarkEnd w:id="3"/>
    </w:p>
    <w:p w:rsidR="00765878" w:rsidRPr="00BB6DE2" w:rsidRDefault="00765878">
      <w:pPr>
        <w:pStyle w:val="Hemstlatt"/>
        <w:numPr>
          <w:ilvl w:val="0"/>
          <w:numId w:val="1"/>
        </w:numPr>
        <w:shd w:val="clear" w:color="000000" w:fill="auto"/>
      </w:pPr>
      <w:r w:rsidRPr="00BB6DE2">
        <w:t>Riksdagen tillkännager för regeringen som sin mening vad i motionen anförs om en internationell äldrekonvention.</w:t>
      </w:r>
    </w:p>
    <w:p w:rsidR="00765878" w:rsidRPr="00BB6DE2" w:rsidRDefault="00765878">
      <w:pPr>
        <w:pStyle w:val="Hemstlatt"/>
        <w:numPr>
          <w:ilvl w:val="0"/>
          <w:numId w:val="1"/>
        </w:numPr>
        <w:shd w:val="clear" w:color="000000" w:fill="auto"/>
      </w:pPr>
      <w:r w:rsidRPr="00BB6DE2">
        <w:t>Riksdagen tillkännager för regeringen som sin mening vad i motionen anförs om en samlad lagstiftning mot diskriminering av äldre i arbetslivet.</w:t>
      </w:r>
      <w:r w:rsidRPr="00BB6DE2">
        <w:rPr>
          <w:vertAlign w:val="superscript"/>
        </w:rPr>
        <w:t>1</w:t>
      </w:r>
    </w:p>
    <w:p w:rsidR="00765878" w:rsidRPr="00BB6DE2" w:rsidRDefault="00765878">
      <w:pPr>
        <w:pStyle w:val="Hemstlatt"/>
        <w:numPr>
          <w:ilvl w:val="0"/>
          <w:numId w:val="1"/>
        </w:numPr>
        <w:shd w:val="clear" w:color="000000" w:fill="auto"/>
      </w:pPr>
      <w:r w:rsidRPr="00BB6DE2">
        <w:t>Riksdagen tillkännager för regeringen som sin mening vad i motionen anförs om äldres tillgång till varor, tjänster och bostäder.</w:t>
      </w:r>
      <w:r w:rsidRPr="00BB6DE2">
        <w:rPr>
          <w:vertAlign w:val="superscript"/>
        </w:rPr>
        <w:t>1</w:t>
      </w:r>
    </w:p>
    <w:p w:rsidR="00765878" w:rsidRPr="00BB6DE2" w:rsidRDefault="00765878">
      <w:pPr>
        <w:pStyle w:val="Hemstlatt"/>
        <w:numPr>
          <w:ilvl w:val="0"/>
          <w:numId w:val="1"/>
        </w:numPr>
        <w:shd w:val="clear" w:color="000000" w:fill="auto"/>
      </w:pPr>
      <w:r w:rsidRPr="00BB6DE2">
        <w:t>Riksdagen tillkännager för regeringen som sin mening vad i motionen anförs om att de förslag utredningen Senior 2005 fört fram om statligt språkbruk m.m. genomförs.</w:t>
      </w:r>
    </w:p>
    <w:p w:rsidR="00765878" w:rsidRPr="00BB6DE2" w:rsidRDefault="00765878">
      <w:pPr>
        <w:pStyle w:val="Hemstlatt"/>
        <w:numPr>
          <w:ilvl w:val="0"/>
          <w:numId w:val="1"/>
        </w:numPr>
        <w:shd w:val="clear" w:color="000000" w:fill="auto"/>
      </w:pPr>
      <w:r w:rsidRPr="00BB6DE2">
        <w:t>Riksdagen tillkännager för regeringen som sin mening vad i motionen anförs om att statligt finansierad statistik inte bör innehålla några övre åldersgränser.</w:t>
      </w:r>
      <w:r w:rsidRPr="00BB6DE2">
        <w:rPr>
          <w:vertAlign w:val="superscript"/>
        </w:rPr>
        <w:t>2</w:t>
      </w:r>
    </w:p>
    <w:p w:rsidR="00765878" w:rsidRPr="00BB6DE2" w:rsidRDefault="00765878">
      <w:pPr>
        <w:pStyle w:val="Hemstlatt"/>
        <w:numPr>
          <w:ilvl w:val="0"/>
          <w:numId w:val="1"/>
        </w:numPr>
        <w:shd w:val="clear" w:color="000000" w:fill="auto"/>
      </w:pPr>
      <w:r w:rsidRPr="00BB6DE2">
        <w:t>Riksdagen tillkännager för regeringen som sin mening vad i motionen anförs om att vid utnämningar till olika uppdrag ska det vara vederbörandes kompetens och livserfarenhet som ska vara avgörande och inte den kronologiska åldern.</w:t>
      </w:r>
      <w:r w:rsidRPr="00BB6DE2">
        <w:rPr>
          <w:vertAlign w:val="superscript"/>
        </w:rPr>
        <w:t>1</w:t>
      </w:r>
    </w:p>
    <w:p w:rsidR="00765878" w:rsidRPr="00BB6DE2" w:rsidRDefault="00765878">
      <w:pPr>
        <w:pStyle w:val="Hemstlatt"/>
        <w:numPr>
          <w:ilvl w:val="0"/>
          <w:numId w:val="1"/>
        </w:numPr>
        <w:shd w:val="clear" w:color="000000" w:fill="auto"/>
      </w:pPr>
      <w:r w:rsidRPr="00BB6DE2">
        <w:t>Riksdagen tillkännager för regeringen som sin mening vad i motionen anförs om att värdet av ideella insatser som anhörigvård redovisas i nationalräkenskaperna.</w:t>
      </w:r>
      <w:r w:rsidRPr="00BB6DE2">
        <w:rPr>
          <w:vertAlign w:val="superscript"/>
        </w:rPr>
        <w:t>2</w:t>
      </w:r>
    </w:p>
    <w:p w:rsidR="00765878" w:rsidRPr="00BB6DE2" w:rsidRDefault="00765878">
      <w:pPr>
        <w:pStyle w:val="Hemstlatt"/>
        <w:numPr>
          <w:ilvl w:val="0"/>
          <w:numId w:val="1"/>
        </w:numPr>
        <w:shd w:val="clear" w:color="000000" w:fill="auto"/>
      </w:pPr>
      <w:r w:rsidRPr="00BB6DE2">
        <w:t>Riksdagen tillkännager för regeringen som sin mening vad i motionen anförs om att forskning om hur äldres kompetens och livserfarenhet bäst kan tillvaratas i arbetslivet bör initieras.</w:t>
      </w:r>
      <w:r w:rsidRPr="00BB6DE2">
        <w:rPr>
          <w:vertAlign w:val="superscript"/>
        </w:rPr>
        <w:t>1</w:t>
      </w:r>
    </w:p>
    <w:p w:rsidR="00765878" w:rsidRPr="00BB6DE2" w:rsidRDefault="00765878">
      <w:pPr>
        <w:pStyle w:val="Hemstlatt"/>
        <w:numPr>
          <w:ilvl w:val="0"/>
          <w:numId w:val="1"/>
        </w:numPr>
        <w:shd w:val="clear" w:color="000000" w:fill="auto"/>
      </w:pPr>
      <w:r w:rsidRPr="00BB6DE2">
        <w:t>Riksdagen tillkännager för regeringen som sin mening vad i motionen anförs om att forskning bör initieras om livskvaliteten i samband med pensioneringen och om äldre människors relation till barn och ungdomar.</w:t>
      </w:r>
    </w:p>
    <w:p w:rsidR="007C00D2" w:rsidRPr="00BB6DE2" w:rsidRDefault="007C00D2">
      <w:pPr>
        <w:shd w:val="clear" w:color="000000" w:fill="auto"/>
      </w:pPr>
    </w:p>
    <w:p w:rsidR="00B0783C" w:rsidRPr="00BB6DE2" w:rsidRDefault="00B0783C">
      <w:pPr>
        <w:pStyle w:val="Normaltindrag"/>
        <w:shd w:val="clear" w:color="000000" w:fill="auto"/>
      </w:pPr>
    </w:p>
    <w:p w:rsidR="00B0783C" w:rsidRPr="00BB6DE2" w:rsidRDefault="00B0783C">
      <w:pPr>
        <w:pStyle w:val="Normaltindrag"/>
        <w:shd w:val="clear" w:color="000000" w:fill="auto"/>
      </w:pPr>
    </w:p>
    <w:p w:rsidR="00B0783C" w:rsidRPr="00BB6DE2" w:rsidRDefault="00B0783C">
      <w:pPr>
        <w:pStyle w:val="Normaltindrag"/>
        <w:shd w:val="clear" w:color="000000" w:fill="auto"/>
      </w:pPr>
    </w:p>
    <w:p w:rsidR="00B0783C" w:rsidRPr="00BB6DE2" w:rsidRDefault="00B0783C">
      <w:pPr>
        <w:pStyle w:val="Normaltindrag"/>
        <w:shd w:val="clear" w:color="000000" w:fill="auto"/>
      </w:pPr>
    </w:p>
    <w:p w:rsidR="00B0783C" w:rsidRPr="00BB6DE2" w:rsidRDefault="00B0783C">
      <w:pPr>
        <w:pStyle w:val="Normaltindrag"/>
        <w:shd w:val="clear" w:color="000000" w:fill="auto"/>
      </w:pPr>
    </w:p>
    <w:p w:rsidR="00B0783C" w:rsidRPr="00BB6DE2" w:rsidRDefault="00B0783C">
      <w:pPr>
        <w:pStyle w:val="Normaltindrag"/>
        <w:shd w:val="clear" w:color="000000" w:fill="auto"/>
      </w:pPr>
    </w:p>
    <w:p w:rsidR="00B0783C" w:rsidRPr="00BB6DE2" w:rsidRDefault="00B0783C">
      <w:pPr>
        <w:pStyle w:val="Normaltindrag"/>
        <w:shd w:val="clear" w:color="000000" w:fill="auto"/>
      </w:pPr>
    </w:p>
    <w:p w:rsidR="00B0783C" w:rsidRPr="00BB6DE2" w:rsidRDefault="00B0783C">
      <w:pPr>
        <w:pStyle w:val="Normaltindrag"/>
        <w:shd w:val="clear" w:color="000000" w:fill="auto"/>
      </w:pPr>
    </w:p>
    <w:p w:rsidR="00B0783C" w:rsidRPr="00BB6DE2" w:rsidRDefault="00B0783C">
      <w:pPr>
        <w:pStyle w:val="Normaltindrag"/>
        <w:shd w:val="clear" w:color="000000" w:fill="auto"/>
      </w:pPr>
    </w:p>
    <w:p w:rsidR="00B0783C" w:rsidRPr="00BB6DE2" w:rsidRDefault="00B0783C">
      <w:pPr>
        <w:pStyle w:val="Normaltindrag"/>
        <w:shd w:val="clear" w:color="000000" w:fill="auto"/>
      </w:pPr>
    </w:p>
    <w:p w:rsidR="00B0783C" w:rsidRPr="00BB6DE2" w:rsidRDefault="00B0783C">
      <w:pPr>
        <w:pStyle w:val="Normaltindrag"/>
        <w:shd w:val="clear" w:color="000000" w:fill="auto"/>
      </w:pPr>
    </w:p>
    <w:p w:rsidR="00765878" w:rsidRPr="00BB6DE2" w:rsidRDefault="00765878">
      <w:pPr>
        <w:shd w:val="clear" w:color="000000" w:fill="auto"/>
      </w:pPr>
      <w:r w:rsidRPr="00BB6DE2">
        <w:rPr>
          <w:vertAlign w:val="superscript"/>
        </w:rPr>
        <w:t>1</w:t>
      </w:r>
      <w:r w:rsidRPr="00BB6DE2">
        <w:t xml:space="preserve"> Yrkandena 2, 3, 6 och 8 hänvisade till AU.</w:t>
      </w:r>
    </w:p>
    <w:p w:rsidR="00765878" w:rsidRPr="00BB6DE2" w:rsidRDefault="00765878">
      <w:pPr>
        <w:shd w:val="clear" w:color="000000" w:fill="auto"/>
      </w:pPr>
      <w:r w:rsidRPr="00BB6DE2">
        <w:rPr>
          <w:vertAlign w:val="superscript"/>
        </w:rPr>
        <w:t>2</w:t>
      </w:r>
      <w:r w:rsidRPr="00BB6DE2">
        <w:t xml:space="preserve"> Yrkandena 5 och 7 hänvisade till FiU.</w:t>
      </w:r>
    </w:p>
    <w:p w:rsidR="00230857" w:rsidRPr="00BB6DE2" w:rsidRDefault="00230857">
      <w:pPr>
        <w:pStyle w:val="Rubrik1"/>
        <w:pageBreakBefore/>
        <w:shd w:val="clear" w:color="000000" w:fill="auto"/>
        <w:spacing w:before="0"/>
        <w:rPr>
          <w:szCs w:val="28"/>
        </w:rPr>
      </w:pPr>
      <w:bookmarkStart w:id="4" w:name="_Toc148860863"/>
      <w:bookmarkStart w:id="5" w:name="_Toc151085886"/>
      <w:r w:rsidRPr="00BB6DE2">
        <w:t>Bakgrund</w:t>
      </w:r>
      <w:bookmarkEnd w:id="4"/>
      <w:bookmarkEnd w:id="5"/>
    </w:p>
    <w:p w:rsidR="00230857" w:rsidRPr="00BB6DE2" w:rsidRDefault="00230857">
      <w:pPr>
        <w:shd w:val="clear" w:color="000000" w:fill="auto"/>
        <w:rPr>
          <w:szCs w:val="24"/>
        </w:rPr>
      </w:pPr>
      <w:r w:rsidRPr="00BB6DE2">
        <w:t>1900-talet var ett framgångsrikt sekel i många avseenden. Vi höjde t.ex. vår medellivslängd med 25 år, för män till 78 år och kvinnor 82 år. De flesta av de vunna åren är friska år. Visserligen finns i den yngre gruppen</w:t>
      </w:r>
      <w:r w:rsidR="00145282" w:rsidRPr="00BB6DE2">
        <w:t xml:space="preserve"> </w:t>
      </w:r>
      <w:r w:rsidRPr="00BB6DE2">
        <w:t>s.k. repar</w:t>
      </w:r>
      <w:r w:rsidRPr="00BB6DE2">
        <w:t>a</w:t>
      </w:r>
      <w:r w:rsidRPr="00BB6DE2">
        <w:t>tionsmedicinska behov. Höfter, knän, kranskärl och ögonlinser behöver bytas</w:t>
      </w:r>
      <w:r w:rsidR="00022E20" w:rsidRPr="00BB6DE2">
        <w:t>,</w:t>
      </w:r>
      <w:r w:rsidRPr="00BB6DE2">
        <w:t xml:space="preserve"> men får man dessa behov tillgodosedda så kan man leva ett gott liv i många år efter ingreppen. Det är först under de sista levnadsåren man får mer omfa</w:t>
      </w:r>
      <w:r w:rsidRPr="00BB6DE2">
        <w:t>t</w:t>
      </w:r>
      <w:r w:rsidRPr="00BB6DE2">
        <w:t>tande hälsoproblem av olika</w:t>
      </w:r>
      <w:r w:rsidRPr="00BB6DE2">
        <w:rPr>
          <w:szCs w:val="28"/>
        </w:rPr>
        <w:t xml:space="preserve"> </w:t>
      </w:r>
      <w:r w:rsidRPr="00BB6DE2">
        <w:t>slag.</w:t>
      </w:r>
    </w:p>
    <w:p w:rsidR="00230857" w:rsidRPr="00BB6DE2" w:rsidRDefault="00230857">
      <w:pPr>
        <w:pStyle w:val="Normaltindrag"/>
        <w:shd w:val="clear" w:color="000000" w:fill="auto"/>
      </w:pPr>
      <w:r w:rsidRPr="00BB6DE2">
        <w:t>Framgångarna innebär att äldre utgör en större resurs i samhället idag än för 100 år sedan</w:t>
      </w:r>
      <w:r w:rsidR="00022E20" w:rsidRPr="00BB6DE2">
        <w:t>,</w:t>
      </w:r>
      <w:r w:rsidRPr="00BB6DE2">
        <w:t xml:space="preserve"> men den utnyttjas inte på grund av den negativa särbehan</w:t>
      </w:r>
      <w:r w:rsidRPr="00BB6DE2">
        <w:t>d</w:t>
      </w:r>
      <w:r w:rsidRPr="00BB6DE2">
        <w:t>ling äldre möter i dagens samhälle.</w:t>
      </w:r>
    </w:p>
    <w:p w:rsidR="00230857" w:rsidRPr="00BB6DE2" w:rsidRDefault="00230857">
      <w:pPr>
        <w:pStyle w:val="Rubrik2"/>
        <w:shd w:val="clear" w:color="000000" w:fill="auto"/>
        <w:rPr>
          <w:bCs/>
          <w:szCs w:val="24"/>
        </w:rPr>
      </w:pPr>
      <w:bookmarkStart w:id="6" w:name="_Toc148860864"/>
      <w:bookmarkStart w:id="7" w:name="_Toc151085887"/>
      <w:r w:rsidRPr="00BB6DE2">
        <w:rPr>
          <w:bCs/>
        </w:rPr>
        <w:t>Arbetsliv och pensionering</w:t>
      </w:r>
      <w:bookmarkEnd w:id="6"/>
      <w:bookmarkEnd w:id="7"/>
    </w:p>
    <w:p w:rsidR="00230857" w:rsidRPr="00BB6DE2" w:rsidRDefault="00230857">
      <w:pPr>
        <w:shd w:val="clear" w:color="000000" w:fill="auto"/>
      </w:pPr>
      <w:r w:rsidRPr="00BB6DE2">
        <w:t>När folkpensionen infördes 1913 med 67 år som pensionsålder var 5,1 pr</w:t>
      </w:r>
      <w:r w:rsidRPr="00BB6DE2">
        <w:t>o</w:t>
      </w:r>
      <w:r w:rsidRPr="00BB6DE2">
        <w:t>cent av befolkningen 67 år e</w:t>
      </w:r>
      <w:r w:rsidR="00022E20" w:rsidRPr="00BB6DE2">
        <w:t>ller äldre. Idag är siffran 12,</w:t>
      </w:r>
      <w:r w:rsidRPr="00BB6DE2">
        <w:t>2 procent. Att man valde åldern 67 år berodde inte främst på att vi inte orkade arbeta längre utan därför att man ansåg att samhället hade råd att betala pension till fem procent av befolkningen. Någon automatisk höjning av pensionsåldern med tanke på en ökning av medellivslängden byggde man inte in i systemet.</w:t>
      </w:r>
    </w:p>
    <w:p w:rsidR="00230857" w:rsidRPr="00BB6DE2" w:rsidRDefault="00230857">
      <w:pPr>
        <w:pStyle w:val="Normaltindrag"/>
        <w:shd w:val="clear" w:color="000000" w:fill="auto"/>
      </w:pPr>
      <w:r w:rsidRPr="00BB6DE2">
        <w:t>Pensioneringen är för många välkommen, man får möjlighet att utöva fr</w:t>
      </w:r>
      <w:r w:rsidRPr="00BB6DE2">
        <w:t>i</w:t>
      </w:r>
      <w:r w:rsidRPr="00BB6DE2">
        <w:t>tidsintressen, umgås med vänner och bekanta och engagera sig i</w:t>
      </w:r>
      <w:r w:rsidR="00F759CD" w:rsidRPr="00BB6DE2">
        <w:t xml:space="preserve"> ideella org</w:t>
      </w:r>
      <w:r w:rsidR="00F759CD" w:rsidRPr="00BB6DE2">
        <w:t>a</w:t>
      </w:r>
      <w:r w:rsidR="00F759CD" w:rsidRPr="00BB6DE2">
        <w:t>nisationer. Men cirka</w:t>
      </w:r>
      <w:r w:rsidRPr="00BB6DE2">
        <w:t xml:space="preserve"> en tredjedel av de nypensionerade skulle enligt några av de enkätundersökningar som gjorts i Sverige ha velat fortsätta i arbetslivet helt eller delvis. De saknar den struktur, den sociala ställning och det sociala sammanhang som arbetet ger. När arbetslivet inte längre finns kvar förändras också fritidens värde. Alla upplever inte att det är positivt att gå in i en liv</w:t>
      </w:r>
      <w:r w:rsidRPr="00BB6DE2">
        <w:t>s</w:t>
      </w:r>
      <w:r w:rsidRPr="00BB6DE2">
        <w:t>lång semester.</w:t>
      </w:r>
    </w:p>
    <w:p w:rsidR="00230857" w:rsidRPr="00BB6DE2" w:rsidRDefault="00230857">
      <w:pPr>
        <w:pStyle w:val="Normaltindrag"/>
        <w:shd w:val="clear" w:color="000000" w:fill="auto"/>
      </w:pPr>
      <w:r w:rsidRPr="00BB6DE2">
        <w:t>Arbetsgivarnas intresse för att ha kvar äldre arbetskraft är svagt. 80 pr</w:t>
      </w:r>
      <w:r w:rsidRPr="00BB6DE2">
        <w:t>o</w:t>
      </w:r>
      <w:r w:rsidRPr="00BB6DE2">
        <w:t>cent uppges i enkätundersökningar inte vilja ha kvar 65-åringar och äldre i arbetsstyrkan. Ericsson gav för några år sedan stora avgångsvederlag för att bli av med de flesta ö</w:t>
      </w:r>
      <w:r w:rsidR="00F51558" w:rsidRPr="00BB6DE2">
        <w:t xml:space="preserve">ver 55. </w:t>
      </w:r>
      <w:r w:rsidRPr="00BB6DE2">
        <w:t>Nyligen erbjöd man motsvarande förmåner för att slippa medarbetare över 35.</w:t>
      </w:r>
    </w:p>
    <w:p w:rsidR="00230857" w:rsidRPr="00BB6DE2" w:rsidRDefault="00230857">
      <w:pPr>
        <w:pStyle w:val="Normaltindrag"/>
        <w:shd w:val="clear" w:color="000000" w:fill="auto"/>
      </w:pPr>
      <w:r w:rsidRPr="00BB6DE2">
        <w:t xml:space="preserve">I PrioriteringsCentrums skrift </w:t>
      </w:r>
      <w:r w:rsidRPr="00BB6DE2">
        <w:rPr>
          <w:i/>
        </w:rPr>
        <w:t>Målsättningar och verklighet – vård och o</w:t>
      </w:r>
      <w:r w:rsidRPr="00BB6DE2">
        <w:rPr>
          <w:i/>
        </w:rPr>
        <w:t>m</w:t>
      </w:r>
      <w:r w:rsidRPr="00BB6DE2">
        <w:rPr>
          <w:i/>
        </w:rPr>
        <w:t>sorg i kommunal</w:t>
      </w:r>
      <w:r w:rsidRPr="00BB6DE2">
        <w:t xml:space="preserve"> </w:t>
      </w:r>
      <w:r w:rsidRPr="00BB6DE2">
        <w:rPr>
          <w:i/>
        </w:rPr>
        <w:t>regi</w:t>
      </w:r>
      <w:r w:rsidRPr="00BB6DE2">
        <w:t xml:space="preserve"> skriven av Tommy Svensson med diskussion och slu</w:t>
      </w:r>
      <w:r w:rsidRPr="00BB6DE2">
        <w:t>t</w:t>
      </w:r>
      <w:r w:rsidRPr="00BB6DE2">
        <w:t>satser av Per-Erik Liss (2006)</w:t>
      </w:r>
      <w:r w:rsidR="00F759CD" w:rsidRPr="00BB6DE2">
        <w:t>,</w:t>
      </w:r>
      <w:r w:rsidRPr="00BB6DE2">
        <w:t xml:space="preserve"> finns en del om ålderdom, omsorgsberoende och livsperspektiv som är tänkvärt. Här återfinns ett antal livsberättelser lä</w:t>
      </w:r>
      <w:r w:rsidRPr="00BB6DE2">
        <w:t>m</w:t>
      </w:r>
      <w:r w:rsidRPr="00BB6DE2">
        <w:t>nade av kvinnor och män som passerat sin 80-årsdag. De bor kvar hemma men har alla stöd från samhället i någon form</w:t>
      </w:r>
      <w:r w:rsidR="00F759CD" w:rsidRPr="00BB6DE2">
        <w:t>,</w:t>
      </w:r>
      <w:r w:rsidRPr="00BB6DE2">
        <w:t xml:space="preserve"> som hemtjänst och färdtjänst. Livsberättelserna har ett gemensamt, kort uttryckt: att när man lämnar yrke</w:t>
      </w:r>
      <w:r w:rsidRPr="00BB6DE2">
        <w:t>s</w:t>
      </w:r>
      <w:r w:rsidRPr="00BB6DE2">
        <w:t>livet går man från att vara ”någon” till att betrakta sig som ”ingen”. Det är tiden som yrkesaktiv, som familjeförsörjare</w:t>
      </w:r>
      <w:r w:rsidR="00022E20" w:rsidRPr="00BB6DE2">
        <w:t>,</w:t>
      </w:r>
      <w:r w:rsidRPr="00BB6DE2">
        <w:t xml:space="preserve"> som är värd att berätta om. När man inte längre behövs i dessa funktioner så förvandlas man till ”ingen”.</w:t>
      </w:r>
    </w:p>
    <w:p w:rsidR="00230857" w:rsidRPr="00BB6DE2" w:rsidRDefault="00230857">
      <w:pPr>
        <w:pStyle w:val="Normaltindrag"/>
        <w:shd w:val="clear" w:color="000000" w:fill="auto"/>
      </w:pPr>
      <w:r w:rsidRPr="00BB6DE2">
        <w:t>Världshälsoorganisationen (WHO) presenterade i början av 1980-talet de största hoten mot människors hälsa och välbefinnande. B</w:t>
      </w:r>
      <w:r w:rsidR="00F759CD" w:rsidRPr="00BB6DE2">
        <w:t xml:space="preserve">land de största hoten fanns </w:t>
      </w:r>
      <w:r w:rsidRPr="00BB6DE2">
        <w:t>känslan av att inte vara behövd. De riskgrupper WHO såg här var a</w:t>
      </w:r>
      <w:r w:rsidRPr="00BB6DE2">
        <w:t>r</w:t>
      </w:r>
      <w:r w:rsidRPr="00BB6DE2">
        <w:t>betslösa ungdomar och äldre som tvingades gå i pension mot sin vilja.</w:t>
      </w:r>
    </w:p>
    <w:p w:rsidR="00230857" w:rsidRPr="00BB6DE2" w:rsidRDefault="00230857">
      <w:pPr>
        <w:pStyle w:val="Rubrik2"/>
        <w:shd w:val="clear" w:color="000000" w:fill="auto"/>
        <w:rPr>
          <w:bCs/>
        </w:rPr>
      </w:pPr>
      <w:bookmarkStart w:id="8" w:name="_Toc148860865"/>
      <w:bookmarkStart w:id="9" w:name="_Toc151085888"/>
      <w:r w:rsidRPr="00BB6DE2">
        <w:rPr>
          <w:bCs/>
        </w:rPr>
        <w:t>Kronologiska åldersgränser</w:t>
      </w:r>
      <w:bookmarkEnd w:id="8"/>
      <w:bookmarkEnd w:id="9"/>
    </w:p>
    <w:p w:rsidR="00230857" w:rsidRPr="00BB6DE2" w:rsidRDefault="00230857">
      <w:pPr>
        <w:shd w:val="clear" w:color="000000" w:fill="auto"/>
      </w:pPr>
      <w:r w:rsidRPr="00BB6DE2">
        <w:t>Inom det allmänna pensionssystemet har vi rätt att gå i pension vid 61 års ålder och rätt att stanna kvar i arbetslivet till</w:t>
      </w:r>
      <w:r w:rsidR="00286780" w:rsidRPr="00BB6DE2">
        <w:t>s</w:t>
      </w:r>
      <w:r w:rsidRPr="00BB6DE2">
        <w:t xml:space="preserve"> vi blir 67 år. Inom statsförval</w:t>
      </w:r>
      <w:r w:rsidRPr="00BB6DE2">
        <w:t>t</w:t>
      </w:r>
      <w:r w:rsidRPr="00BB6DE2">
        <w:t>ningen används 70</w:t>
      </w:r>
      <w:r w:rsidR="00145282" w:rsidRPr="00BB6DE2">
        <w:t xml:space="preserve"> </w:t>
      </w:r>
      <w:r w:rsidRPr="00BB6DE2">
        <w:t xml:space="preserve">år som övre gräns för att sitta i styrelser och kommittéer av olika slag. Erik Åsbrinks så kallade kodgrupp har föreslagit en 70-årsgräns vid val eller omval av </w:t>
      </w:r>
      <w:r w:rsidR="00286780" w:rsidRPr="00BB6DE2">
        <w:t xml:space="preserve">ledamöter till bolagsstyrelser. </w:t>
      </w:r>
      <w:r w:rsidRPr="00BB6DE2">
        <w:t xml:space="preserve">Dessa åldersgränser är satta utan hänsynstagande till att vi är individer som lägger år </w:t>
      </w:r>
      <w:r w:rsidR="00286780" w:rsidRPr="00BB6DE2">
        <w:t>till livet på olika sätt. En 55-</w:t>
      </w:r>
      <w:r w:rsidRPr="00BB6DE2">
        <w:t xml:space="preserve">åring kan vara lika lämplig eller olämplig för ett uppdrag som en 75-åring. Utredningen </w:t>
      </w:r>
      <w:r w:rsidR="00022E20" w:rsidRPr="00BB6DE2">
        <w:rPr>
          <w:i/>
        </w:rPr>
        <w:t xml:space="preserve">Äldrepolitik för </w:t>
      </w:r>
      <w:r w:rsidR="00022E20" w:rsidRPr="00BB6DE2">
        <w:t>framtiden (</w:t>
      </w:r>
      <w:r w:rsidRPr="00BB6DE2">
        <w:t xml:space="preserve">SOU 2003:91) – i dagligt tal kallad </w:t>
      </w:r>
      <w:r w:rsidR="00022E20" w:rsidRPr="00BB6DE2">
        <w:t xml:space="preserve">Senior </w:t>
      </w:r>
      <w:r w:rsidRPr="00BB6DE2">
        <w:t>2005 – anser att kronologisk ålder inte säger mycket om hur en människa är eller fungerar – i varje fall inte sedan hon uppnått vuxen ålder.</w:t>
      </w:r>
    </w:p>
    <w:p w:rsidR="00230857" w:rsidRPr="00BB6DE2" w:rsidRDefault="00230857">
      <w:pPr>
        <w:pStyle w:val="Normaltindrag"/>
        <w:shd w:val="clear" w:color="000000" w:fill="auto"/>
      </w:pPr>
      <w:r w:rsidRPr="00BB6DE2">
        <w:t xml:space="preserve">Utredningen </w:t>
      </w:r>
      <w:r w:rsidR="00022E20" w:rsidRPr="00BB6DE2">
        <w:t xml:space="preserve">Senior </w:t>
      </w:r>
      <w:r w:rsidRPr="00BB6DE2">
        <w:t>2005 konstaterar att många undersökningar och studier som genomförs av statliga myndigheter, kommuner och landsting har relativt lågt satta ålder</w:t>
      </w:r>
      <w:r w:rsidR="00022E20" w:rsidRPr="00BB6DE2">
        <w:t>s</w:t>
      </w:r>
      <w:r w:rsidRPr="00BB6DE2">
        <w:t>gränser. Arbetsmarkna</w:t>
      </w:r>
      <w:r w:rsidR="00286780" w:rsidRPr="00BB6DE2">
        <w:t>d</w:t>
      </w:r>
      <w:r w:rsidRPr="00BB6DE2">
        <w:t>sstatistiken saknar uppgifter om 65-åringar och äldre. I samhällsekonomiska analyser avförs människor efter 65 år ofta automatiskt från den ”arbetsföra” eller ”produktiva” delen av befol</w:t>
      </w:r>
      <w:r w:rsidRPr="00BB6DE2">
        <w:t>k</w:t>
      </w:r>
      <w:r w:rsidRPr="00BB6DE2">
        <w:t>ningen</w:t>
      </w:r>
      <w:r w:rsidR="00145282" w:rsidRPr="00BB6DE2">
        <w:t>.</w:t>
      </w:r>
    </w:p>
    <w:p w:rsidR="00230857" w:rsidRPr="00BB6DE2" w:rsidRDefault="00230857">
      <w:pPr>
        <w:pStyle w:val="Normaltindrag"/>
        <w:shd w:val="clear" w:color="000000" w:fill="auto"/>
      </w:pPr>
      <w:r w:rsidRPr="00BB6DE2">
        <w:t>Åldersgränsen i SCB:s levnadsnivåundersökning (ULF) medför att det till stor del saknas ku</w:t>
      </w:r>
      <w:r w:rsidR="00022E20" w:rsidRPr="00BB6DE2">
        <w:t>nskaper om välfärden bland de c</w:t>
      </w:r>
      <w:r w:rsidRPr="00BB6DE2">
        <w:t>a 200 000 personer i b</w:t>
      </w:r>
      <w:r w:rsidRPr="00BB6DE2">
        <w:t>e</w:t>
      </w:r>
      <w:r w:rsidRPr="00BB6DE2">
        <w:t>folkningen som är 85 år och äldre. Det är den grupp som kräver störst insatser från samhället.</w:t>
      </w:r>
      <w:r w:rsidR="00286780" w:rsidRPr="00BB6DE2">
        <w:t xml:space="preserve"> </w:t>
      </w:r>
      <w:r w:rsidRPr="00BB6DE2">
        <w:t>Lärare som fyllt 65 år betraktas av kommunerna som för ga</w:t>
      </w:r>
      <w:r w:rsidRPr="00BB6DE2">
        <w:t>m</w:t>
      </w:r>
      <w:r w:rsidRPr="00BB6DE2">
        <w:t xml:space="preserve">la för att undervisa. Åldersgränsen för läkare, tandläkare och sjukgymnaster </w:t>
      </w:r>
      <w:r w:rsidR="00022E20" w:rsidRPr="00BB6DE2">
        <w:t xml:space="preserve">för </w:t>
      </w:r>
      <w:r w:rsidRPr="00BB6DE2">
        <w:t xml:space="preserve">att få avtal med </w:t>
      </w:r>
      <w:r w:rsidR="00022E20" w:rsidRPr="00BB6DE2">
        <w:t xml:space="preserve">Försäkringskassan </w:t>
      </w:r>
      <w:r w:rsidRPr="00BB6DE2">
        <w:t>är 70 år och tar inte hänsyn till vede</w:t>
      </w:r>
      <w:r w:rsidRPr="00BB6DE2">
        <w:t>r</w:t>
      </w:r>
      <w:r w:rsidRPr="00BB6DE2">
        <w:t>börandes förmåga att fortsätta i sitt yrke.</w:t>
      </w:r>
    </w:p>
    <w:p w:rsidR="00230857" w:rsidRPr="00BB6DE2" w:rsidRDefault="00230857">
      <w:pPr>
        <w:pStyle w:val="Rubrik2"/>
        <w:shd w:val="clear" w:color="000000" w:fill="auto"/>
        <w:rPr>
          <w:bCs/>
        </w:rPr>
      </w:pPr>
      <w:bookmarkStart w:id="10" w:name="_Toc148860866"/>
      <w:bookmarkStart w:id="11" w:name="_Toc151085889"/>
      <w:r w:rsidRPr="00BB6DE2">
        <w:rPr>
          <w:bCs/>
        </w:rPr>
        <w:t>Myter om åldrandet</w:t>
      </w:r>
      <w:bookmarkEnd w:id="10"/>
      <w:bookmarkEnd w:id="11"/>
    </w:p>
    <w:p w:rsidR="00230857" w:rsidRPr="00BB6DE2" w:rsidRDefault="00230857">
      <w:pPr>
        <w:shd w:val="clear" w:color="000000" w:fill="auto"/>
      </w:pPr>
      <w:r w:rsidRPr="00BB6DE2">
        <w:t xml:space="preserve">I utredningen </w:t>
      </w:r>
      <w:r w:rsidR="00022E20" w:rsidRPr="00BB6DE2">
        <w:t xml:space="preserve">Senior </w:t>
      </w:r>
      <w:r w:rsidRPr="00BB6DE2">
        <w:t xml:space="preserve">2005 återfinns ett avsnitt om myterna om åldrandet. Det finns både medvetna och </w:t>
      </w:r>
      <w:r w:rsidR="00286780" w:rsidRPr="00BB6DE2">
        <w:t>o</w:t>
      </w:r>
      <w:r w:rsidRPr="00BB6DE2">
        <w:t>medvetna myter om åldrandet, vad det för med sig och vad äldre människor kan och bör göra. Sociologen Lars Tornstam vid Uppsala universitet ser myterna som uttryck för dolt förakt för svaghet i ett prestationsinriktat samhälle. Andra menar att myterna mer har sin grund i människors egen rädsla för åldrandet eller i okunskap och slentriantänkandet.</w:t>
      </w:r>
    </w:p>
    <w:p w:rsidR="00230857" w:rsidRPr="00BB6DE2" w:rsidRDefault="00230857">
      <w:pPr>
        <w:pStyle w:val="Normaltindrag"/>
        <w:shd w:val="clear" w:color="000000" w:fill="auto"/>
      </w:pPr>
      <w:r w:rsidRPr="00BB6DE2">
        <w:t>Professor Lars Andersson vid Linköpings universitet har tagit fram vilka synonymer våra mest använda ordböcker ger till ordet ”att åldras”. Några positiva ord fann han inte, bara negativa som: vissna, ha sett sina bästa dagar, överleva sig själv, tackla av, gubba till sig, bli senil, avtyna, bli gammal och komma upp i åren. Även i statens, landstingens och kommunernas publikati</w:t>
      </w:r>
      <w:r w:rsidRPr="00BB6DE2">
        <w:t>o</w:t>
      </w:r>
      <w:r w:rsidRPr="00BB6DE2">
        <w:t>ner används ordet ”äldre” huvudsakligen i sammanhang som gäller behov av vård och omsorg, inte som en resurstillgång.</w:t>
      </w:r>
      <w:r w:rsidR="00286780" w:rsidRPr="00BB6DE2">
        <w:t xml:space="preserve"> </w:t>
      </w:r>
      <w:r w:rsidRPr="00BB6DE2">
        <w:t>Bilden av livet som en trappa med 50-åringen på krönet ger intrycket av att efter 50-årsdagen går det oup</w:t>
      </w:r>
      <w:r w:rsidRPr="00BB6DE2">
        <w:t>p</w:t>
      </w:r>
      <w:r w:rsidRPr="00BB6DE2">
        <w:t>hörligt utför.</w:t>
      </w:r>
      <w:r w:rsidR="00286780" w:rsidRPr="00BB6DE2">
        <w:t xml:space="preserve"> </w:t>
      </w:r>
      <w:r w:rsidRPr="00BB6DE2">
        <w:t>Forum 50+ har redovisat de vanligaste myterna, som är hinder för att nyanställa äldre. De är:</w:t>
      </w:r>
    </w:p>
    <w:p w:rsidR="00230857" w:rsidRPr="00BB6DE2" w:rsidRDefault="00230857">
      <w:pPr>
        <w:pStyle w:val="PunktlistaBomb"/>
        <w:shd w:val="clear" w:color="000000" w:fill="auto"/>
        <w:tabs>
          <w:tab w:val="clear" w:pos="360"/>
        </w:tabs>
      </w:pPr>
      <w:r w:rsidRPr="00BB6DE2">
        <w:t>Äldre kan inte lära nytt</w:t>
      </w:r>
      <w:r w:rsidR="00022E20" w:rsidRPr="00BB6DE2">
        <w:t>.</w:t>
      </w:r>
      <w:r w:rsidRPr="00BB6DE2">
        <w:t xml:space="preserve"> (</w:t>
      </w:r>
      <w:r w:rsidR="00022E20" w:rsidRPr="00BB6DE2">
        <w:t xml:space="preserve">Forskning </w:t>
      </w:r>
      <w:r w:rsidRPr="00BB6DE2">
        <w:t>visar att det inte finns någon ålder</w:t>
      </w:r>
      <w:r w:rsidRPr="00BB6DE2">
        <w:t>s</w:t>
      </w:r>
      <w:r w:rsidRPr="00BB6DE2">
        <w:t>gräns när förmågan att lära nytt upphör. Inlärningen har mer att göra med individen än åldern</w:t>
      </w:r>
      <w:r w:rsidR="00022E20" w:rsidRPr="00BB6DE2">
        <w:t>.</w:t>
      </w:r>
      <w:r w:rsidRPr="00BB6DE2">
        <w:t>)</w:t>
      </w:r>
    </w:p>
    <w:p w:rsidR="00230857" w:rsidRPr="00BB6DE2" w:rsidRDefault="00230857">
      <w:pPr>
        <w:pStyle w:val="PunktlistaBomb"/>
        <w:shd w:val="clear" w:color="000000" w:fill="auto"/>
        <w:tabs>
          <w:tab w:val="clear" w:pos="360"/>
        </w:tabs>
        <w:spacing w:before="0"/>
      </w:pPr>
      <w:r w:rsidRPr="00BB6DE2">
        <w:t>Äldre klarar inte stress ”att jobba mot deadline”, klarar inte ojämn arbet</w:t>
      </w:r>
      <w:r w:rsidRPr="00BB6DE2">
        <w:t>s</w:t>
      </w:r>
      <w:r w:rsidRPr="00BB6DE2">
        <w:t>belastning</w:t>
      </w:r>
      <w:r w:rsidR="00022E20" w:rsidRPr="00BB6DE2">
        <w:t>.</w:t>
      </w:r>
      <w:r w:rsidRPr="00BB6DE2">
        <w:t xml:space="preserve"> (Stress är inte direkt åldersrelaterat utan individuellt relaterat</w:t>
      </w:r>
      <w:r w:rsidR="00022E20" w:rsidRPr="00BB6DE2">
        <w:t>.</w:t>
      </w:r>
      <w:r w:rsidRPr="00BB6DE2">
        <w:t>)</w:t>
      </w:r>
    </w:p>
    <w:p w:rsidR="00230857" w:rsidRPr="00BB6DE2" w:rsidRDefault="00230857">
      <w:pPr>
        <w:pStyle w:val="PunktlistaBomb"/>
        <w:shd w:val="clear" w:color="000000" w:fill="auto"/>
        <w:tabs>
          <w:tab w:val="clear" w:pos="360"/>
        </w:tabs>
        <w:spacing w:before="0"/>
      </w:pPr>
      <w:r w:rsidRPr="00BB6DE2">
        <w:t>Äldre är inte flexibla. (Valundersökningar av bl.a. Sören Holmberg visar att gruppen över 60 år byter politiskt parti i något högre utsträckning än andra grupper</w:t>
      </w:r>
      <w:r w:rsidR="00B0783C" w:rsidRPr="00BB6DE2">
        <w:t>.</w:t>
      </w:r>
      <w:r w:rsidRPr="00BB6DE2">
        <w:t>)</w:t>
      </w:r>
    </w:p>
    <w:p w:rsidR="00230857" w:rsidRPr="00BB6DE2" w:rsidRDefault="00230857">
      <w:pPr>
        <w:pStyle w:val="PunktlistaBomb"/>
        <w:shd w:val="clear" w:color="000000" w:fill="auto"/>
        <w:tabs>
          <w:tab w:val="clear" w:pos="360"/>
        </w:tabs>
        <w:spacing w:before="0"/>
      </w:pPr>
      <w:r w:rsidRPr="00BB6DE2">
        <w:t>Äldre är inte produktiva och effektiva</w:t>
      </w:r>
      <w:r w:rsidR="00022E20" w:rsidRPr="00BB6DE2">
        <w:t>.</w:t>
      </w:r>
      <w:r w:rsidRPr="00BB6DE2">
        <w:t xml:space="preserve"> (</w:t>
      </w:r>
      <w:r w:rsidR="00022E20" w:rsidRPr="00BB6DE2">
        <w:t xml:space="preserve">Forskning </w:t>
      </w:r>
      <w:r w:rsidRPr="00BB6DE2">
        <w:t>visar att 50</w:t>
      </w:r>
      <w:r w:rsidR="00022E20" w:rsidRPr="00BB6DE2">
        <w:t>-plus</w:t>
      </w:r>
      <w:r w:rsidRPr="00BB6DE2">
        <w:t xml:space="preserve">-gruppen utför manuellt arbete långsammare än </w:t>
      </w:r>
      <w:r w:rsidR="00022E20" w:rsidRPr="00BB6DE2">
        <w:t xml:space="preserve">de </w:t>
      </w:r>
      <w:r w:rsidRPr="00BB6DE2">
        <w:t>yngre grupperna men är noggrannare. I kraft av sin erfarenhet gör de mindre fel och slutprodukten blir lika bra som andra åldersgruppers</w:t>
      </w:r>
      <w:r w:rsidR="00022E20" w:rsidRPr="00BB6DE2">
        <w:t>.</w:t>
      </w:r>
      <w:r w:rsidRPr="00BB6DE2">
        <w:t>)</w:t>
      </w:r>
    </w:p>
    <w:p w:rsidR="00230857" w:rsidRPr="00BB6DE2" w:rsidRDefault="00230857">
      <w:pPr>
        <w:pStyle w:val="PunktlistaBomb"/>
        <w:shd w:val="clear" w:color="000000" w:fill="auto"/>
        <w:tabs>
          <w:tab w:val="clear" w:pos="360"/>
        </w:tabs>
        <w:spacing w:before="0"/>
      </w:pPr>
      <w:r w:rsidRPr="00BB6DE2">
        <w:t>Äldre är rädda för ny teknik</w:t>
      </w:r>
      <w:r w:rsidR="00022E20" w:rsidRPr="00BB6DE2">
        <w:t>.</w:t>
      </w:r>
      <w:r w:rsidRPr="00BB6DE2">
        <w:t xml:space="preserve"> (</w:t>
      </w:r>
      <w:r w:rsidR="00022E20" w:rsidRPr="00BB6DE2">
        <w:t xml:space="preserve">Nuvarande </w:t>
      </w:r>
      <w:r w:rsidRPr="00BB6DE2">
        <w:t>äldregeneration har inte fått samma möjlighet som yngre att träna på den nya tekniken från barnaå</w:t>
      </w:r>
      <w:r w:rsidRPr="00BB6DE2">
        <w:t>l</w:t>
      </w:r>
      <w:r w:rsidRPr="00BB6DE2">
        <w:t>dern, men rädsla för teknik är inte heller åldersrelaterat</w:t>
      </w:r>
      <w:r w:rsidR="00022E20" w:rsidRPr="00BB6DE2">
        <w:t>.</w:t>
      </w:r>
      <w:r w:rsidRPr="00BB6DE2">
        <w:t>)</w:t>
      </w:r>
    </w:p>
    <w:p w:rsidR="00230857" w:rsidRPr="00BB6DE2" w:rsidRDefault="00230857">
      <w:pPr>
        <w:shd w:val="clear" w:color="000000" w:fill="auto"/>
      </w:pPr>
      <w:r w:rsidRPr="00BB6DE2">
        <w:t xml:space="preserve">Utredningen </w:t>
      </w:r>
      <w:r w:rsidR="00022E20" w:rsidRPr="00BB6DE2">
        <w:t xml:space="preserve">Senior </w:t>
      </w:r>
      <w:r w:rsidRPr="00BB6DE2">
        <w:t>2005 drog slutsatsen att det finns åldersbarriärer i Sver</w:t>
      </w:r>
      <w:r w:rsidRPr="00BB6DE2">
        <w:t>i</w:t>
      </w:r>
      <w:r w:rsidRPr="00BB6DE2">
        <w:t>ge, både när det gäller yngre och äldre. När det gäller äldre ”tycks det finnas ett osynliggörande av åldrandet och äldre människor i det offentliga livet som utgör en negativ särbehandling genom att beskära den bild av v</w:t>
      </w:r>
      <w:r w:rsidR="00286780" w:rsidRPr="00BB6DE2">
        <w:t>erkligheten som behandlas i bland annat</w:t>
      </w:r>
      <w:r w:rsidRPr="00BB6DE2">
        <w:t xml:space="preserve"> politik och massmedier och begränsa utvecklin</w:t>
      </w:r>
      <w:r w:rsidRPr="00BB6DE2">
        <w:t>g</w:t>
      </w:r>
      <w:r w:rsidRPr="00BB6DE2">
        <w:t>en av tjänster och produkter för människor i högre åldrar”.</w:t>
      </w:r>
    </w:p>
    <w:p w:rsidR="00230857" w:rsidRPr="00BB6DE2" w:rsidRDefault="00230857">
      <w:pPr>
        <w:pStyle w:val="Rubrik2"/>
        <w:shd w:val="clear" w:color="000000" w:fill="auto"/>
        <w:rPr>
          <w:bCs/>
        </w:rPr>
      </w:pPr>
      <w:bookmarkStart w:id="12" w:name="_Toc148860867"/>
      <w:bookmarkStart w:id="13" w:name="_Toc151085890"/>
      <w:r w:rsidRPr="00BB6DE2">
        <w:rPr>
          <w:bCs/>
        </w:rPr>
        <w:t>Massmedierna</w:t>
      </w:r>
      <w:bookmarkEnd w:id="12"/>
      <w:bookmarkEnd w:id="13"/>
    </w:p>
    <w:p w:rsidR="00230857" w:rsidRPr="00BB6DE2" w:rsidRDefault="00230857">
      <w:pPr>
        <w:shd w:val="clear" w:color="000000" w:fill="auto"/>
      </w:pPr>
      <w:r w:rsidRPr="00BB6DE2">
        <w:t>Den internationella journalistfederationen IFJ, där Svenska Journalistförbu</w:t>
      </w:r>
      <w:r w:rsidRPr="00BB6DE2">
        <w:t>n</w:t>
      </w:r>
      <w:r w:rsidRPr="00BB6DE2">
        <w:t>det är medlem, har antagit en deklaration med principer som journalister bör beakta i sitt arbete. Här anges att journalisten ska göra sitt yttersta för att undvika diskriminering på grund av ras, kön, sexuell läggning, språk, relig</w:t>
      </w:r>
      <w:r w:rsidRPr="00BB6DE2">
        <w:t>i</w:t>
      </w:r>
      <w:r w:rsidRPr="00BB6DE2">
        <w:t>on, politisk eller annan åsikt samt nationell och social härkomst</w:t>
      </w:r>
      <w:r w:rsidR="00286780" w:rsidRPr="00BB6DE2">
        <w:t>,</w:t>
      </w:r>
      <w:r w:rsidRPr="00BB6DE2">
        <w:t xml:space="preserve"> men ålder nämns inte här. I medierna förekommer schablonbilder och osynliggöranden på grund av hög ålder. Bilder presenteras som avses representera en hel å</w:t>
      </w:r>
      <w:r w:rsidRPr="00BB6DE2">
        <w:t>l</w:t>
      </w:r>
      <w:r w:rsidRPr="00BB6DE2">
        <w:t>dersgrupp utan hänsyn tagen till de individuella variationerna inom denna grupp. Ålder anges ofta när någon utsetts till ett toppjobb utan att åldern är relevant i sammanhanget.</w:t>
      </w:r>
    </w:p>
    <w:p w:rsidR="00230857" w:rsidRPr="00BB6DE2" w:rsidRDefault="00230857">
      <w:pPr>
        <w:pStyle w:val="Normaltindrag"/>
        <w:shd w:val="clear" w:color="000000" w:fill="auto"/>
      </w:pPr>
      <w:r w:rsidRPr="00BB6DE2">
        <w:t>Äldre människor är i princip osynliga i</w:t>
      </w:r>
      <w:r w:rsidR="001C3C2C" w:rsidRPr="00BB6DE2">
        <w:t xml:space="preserve"> det offentliga rummet. Medie</w:t>
      </w:r>
      <w:r w:rsidRPr="00BB6DE2">
        <w:t>for</w:t>
      </w:r>
      <w:r w:rsidRPr="00BB6DE2">
        <w:t>s</w:t>
      </w:r>
      <w:r w:rsidRPr="00BB6DE2">
        <w:t>karen</w:t>
      </w:r>
      <w:r w:rsidR="00145282" w:rsidRPr="00BB6DE2">
        <w:t xml:space="preserve"> </w:t>
      </w:r>
      <w:r w:rsidRPr="00BB6DE2">
        <w:t>von Feilitzen har i en studie visat att personer över 65 år endast utgjo</w:t>
      </w:r>
      <w:r w:rsidRPr="00BB6DE2">
        <w:t>r</w:t>
      </w:r>
      <w:r w:rsidRPr="00BB6DE2">
        <w:t>de fyra procent av samtliga medverkande i TV trots att de utgör 17 procent av befolkningen.</w:t>
      </w:r>
    </w:p>
    <w:p w:rsidR="00230857" w:rsidRPr="00BB6DE2" w:rsidRDefault="00230857">
      <w:pPr>
        <w:pStyle w:val="Rubrik2"/>
        <w:shd w:val="clear" w:color="000000" w:fill="auto"/>
        <w:rPr>
          <w:bCs/>
        </w:rPr>
      </w:pPr>
      <w:bookmarkStart w:id="14" w:name="_Toc148860868"/>
      <w:bookmarkStart w:id="15" w:name="_Toc151085891"/>
      <w:r w:rsidRPr="00BB6DE2">
        <w:rPr>
          <w:bCs/>
        </w:rPr>
        <w:t>Exempel på negativ särbehandling (diskriminering) av äldre</w:t>
      </w:r>
      <w:bookmarkEnd w:id="14"/>
      <w:bookmarkEnd w:id="15"/>
    </w:p>
    <w:p w:rsidR="00230857" w:rsidRPr="00BB6DE2" w:rsidRDefault="00230857">
      <w:pPr>
        <w:shd w:val="clear" w:color="000000" w:fill="auto"/>
      </w:pPr>
      <w:r w:rsidRPr="00BB6DE2">
        <w:t>Det finns fallbeskrivningar som belyser hur äldre diskrimineras i det svenska samhället när det gäller tillgång till varor och tjänster. Det finns äldre som rapporterats ha fått vänta längre än yngre på en operation på grund av att de anses ”ha tid att vänta”. Också i försäkrings- och domstolsärenden finns e</w:t>
      </w:r>
      <w:r w:rsidRPr="00BB6DE2">
        <w:t>x</w:t>
      </w:r>
      <w:r w:rsidRPr="00BB6DE2">
        <w:t>empel på längre väntetid för äldre. Äldre har nekats få köpa varor på avbeta</w:t>
      </w:r>
      <w:r w:rsidRPr="00BB6DE2">
        <w:t>l</w:t>
      </w:r>
      <w:r w:rsidRPr="00BB6DE2">
        <w:t>ning, t.ex. glasögon, dä</w:t>
      </w:r>
      <w:r w:rsidR="001C3C2C" w:rsidRPr="00BB6DE2">
        <w:t xml:space="preserve">rför att de ”bara” har pension och </w:t>
      </w:r>
      <w:r w:rsidRPr="00BB6DE2">
        <w:t>inte lön från arbete. Det finns äldre som kan vittna om svårigheter att få låna pengar i bank trots att de haft säkerhet i hus samt att få köpa bostadsrätt för de pengar de skulle kunna få för sin villa.</w:t>
      </w:r>
    </w:p>
    <w:p w:rsidR="00230857" w:rsidRPr="00BB6DE2" w:rsidRDefault="00230857">
      <w:pPr>
        <w:pStyle w:val="Normaltindrag"/>
        <w:shd w:val="clear" w:color="000000" w:fill="auto"/>
      </w:pPr>
      <w:r w:rsidRPr="00BB6DE2">
        <w:t>Forskning har visat att rege</w:t>
      </w:r>
      <w:r w:rsidRPr="00BB6DE2">
        <w:rPr>
          <w:rStyle w:val="NormaltindragChar"/>
        </w:rPr>
        <w:t>l</w:t>
      </w:r>
      <w:r w:rsidRPr="00BB6DE2">
        <w:t>bundna mammografiundersökningar av kvi</w:t>
      </w:r>
      <w:r w:rsidRPr="00BB6DE2">
        <w:t>n</w:t>
      </w:r>
      <w:r w:rsidR="006C65F2" w:rsidRPr="00BB6DE2">
        <w:t>nor i åldern 40</w:t>
      </w:r>
      <w:r w:rsidRPr="00BB6DE2">
        <w:t>–75 möjliggör tidig upptäckt av bröstcancer och därmed min</w:t>
      </w:r>
      <w:r w:rsidRPr="00BB6DE2">
        <w:t>s</w:t>
      </w:r>
      <w:r w:rsidRPr="00BB6DE2">
        <w:t xml:space="preserve">kad dödlighet i sjukdomen. Socialstyrelsen prioriterar </w:t>
      </w:r>
      <w:r w:rsidR="00022E20" w:rsidRPr="00BB6DE2">
        <w:t>mammografi för å</w:t>
      </w:r>
      <w:r w:rsidR="00022E20" w:rsidRPr="00BB6DE2">
        <w:t>l</w:t>
      </w:r>
      <w:r w:rsidR="00022E20" w:rsidRPr="00BB6DE2">
        <w:t>dersgruppen 40</w:t>
      </w:r>
      <w:r w:rsidRPr="00BB6DE2">
        <w:t>–74 år men vid många sjukhus har man satt den övre gränsen till 69 år. Som exempel kan nämnas Göteborg, Karlstad, Skaraborg, Örebro och Östersund. Därmed utesluts kvinnor 70 år och äldre från undersökningen</w:t>
      </w:r>
      <w:r w:rsidR="00022E20" w:rsidRPr="00BB6DE2">
        <w:t>,</w:t>
      </w:r>
      <w:r w:rsidRPr="00BB6DE2">
        <w:t xml:space="preserve"> vilket är att betrakta som diskriminering.</w:t>
      </w:r>
    </w:p>
    <w:p w:rsidR="00230857" w:rsidRPr="00BB6DE2" w:rsidRDefault="00230857">
      <w:pPr>
        <w:pStyle w:val="Normaltindrag"/>
        <w:shd w:val="clear" w:color="000000" w:fill="auto"/>
      </w:pPr>
      <w:r w:rsidRPr="00BB6DE2">
        <w:t>Åldersgränsen för bilstöd och LSS är 65 år trots att många äldre med fun</w:t>
      </w:r>
      <w:r w:rsidRPr="00BB6DE2">
        <w:t>k</w:t>
      </w:r>
      <w:r w:rsidRPr="00BB6DE2">
        <w:t xml:space="preserve">tionshinder har behov av dessa insatser. Detta är också </w:t>
      </w:r>
      <w:r w:rsidR="001C3C2C" w:rsidRPr="00BB6DE2">
        <w:t xml:space="preserve">att </w:t>
      </w:r>
      <w:r w:rsidRPr="00BB6DE2">
        <w:t>se som negativ särbehandling av äldre.</w:t>
      </w:r>
      <w:r w:rsidR="00B0783C" w:rsidRPr="00BB6DE2">
        <w:t xml:space="preserve"> </w:t>
      </w:r>
      <w:r w:rsidRPr="00BB6DE2">
        <w:t>Också inom äldrevården förekommer diskriminering. Möjligheten att duscha regelbundet, komma ut i friska luften, själv få väja sin bostad, kunna stänga dörren om sitt eget rum</w:t>
      </w:r>
      <w:r w:rsidR="001C3C2C" w:rsidRPr="00BB6DE2">
        <w:t>,</w:t>
      </w:r>
      <w:r w:rsidRPr="00BB6DE2">
        <w:t xml:space="preserve"> som många yngre tar för själ</w:t>
      </w:r>
      <w:r w:rsidRPr="00BB6DE2">
        <w:t>v</w:t>
      </w:r>
      <w:r w:rsidRPr="00BB6DE2">
        <w:t>klart</w:t>
      </w:r>
      <w:r w:rsidR="001C3C2C" w:rsidRPr="00BB6DE2">
        <w:t>,</w:t>
      </w:r>
      <w:r w:rsidRPr="00BB6DE2">
        <w:t xml:space="preserve"> nekas många äldre i vårt land.</w:t>
      </w:r>
    </w:p>
    <w:p w:rsidR="00230857" w:rsidRPr="00BB6DE2" w:rsidRDefault="00145282">
      <w:pPr>
        <w:pStyle w:val="Rubrik2"/>
        <w:shd w:val="clear" w:color="000000" w:fill="auto"/>
        <w:rPr>
          <w:bCs/>
        </w:rPr>
      </w:pPr>
      <w:bookmarkStart w:id="16" w:name="_Toc148860869"/>
      <w:bookmarkStart w:id="17" w:name="_Toc151085892"/>
      <w:r w:rsidRPr="00BB6DE2">
        <w:rPr>
          <w:bCs/>
        </w:rPr>
        <w:t>I</w:t>
      </w:r>
      <w:r w:rsidR="00230857" w:rsidRPr="00BB6DE2">
        <w:rPr>
          <w:bCs/>
        </w:rPr>
        <w:t>nternationellt</w:t>
      </w:r>
      <w:r w:rsidRPr="00BB6DE2">
        <w:rPr>
          <w:bCs/>
        </w:rPr>
        <w:t xml:space="preserve"> perspektiv</w:t>
      </w:r>
      <w:bookmarkEnd w:id="16"/>
      <w:bookmarkEnd w:id="17"/>
    </w:p>
    <w:p w:rsidR="00230857" w:rsidRPr="00BB6DE2" w:rsidRDefault="00230857">
      <w:pPr>
        <w:shd w:val="clear" w:color="000000" w:fill="auto"/>
      </w:pPr>
      <w:r w:rsidRPr="00BB6DE2">
        <w:t>Medan t.ex. förbud mot diskriminering på grund av kön, sexuell läggning och etniskt ursprung har en självklar plats i lagar och internationella överen</w:t>
      </w:r>
      <w:r w:rsidRPr="00BB6DE2">
        <w:t>s</w:t>
      </w:r>
      <w:r w:rsidRPr="00BB6DE2">
        <w:t>kommelser så har ålder inte funnits med på samma sätt. Ålder</w:t>
      </w:r>
      <w:r w:rsidR="00D20658" w:rsidRPr="00BB6DE2">
        <w:t xml:space="preserve"> nämns till e</w:t>
      </w:r>
      <w:r w:rsidR="00D20658" w:rsidRPr="00BB6DE2">
        <w:t>x</w:t>
      </w:r>
      <w:r w:rsidR="00D20658" w:rsidRPr="00BB6DE2">
        <w:t>empel</w:t>
      </w:r>
      <w:r w:rsidRPr="00BB6DE2">
        <w:t xml:space="preserve"> inte i FN:s stadga om de mänskliga rättigheterna från år 1948. Den europeiska konventionen angående skydd för mänskliga rättigheter och de grundläggande friheterna (Europakonventionen) innehåller ett stadgande om diskriminering men listan på diskrimineringsgrunder är inte fullständig. Diskrimineringsgrunder som funktionshinder, ålder och sexuell läggning anges inte direkt.</w:t>
      </w:r>
    </w:p>
    <w:p w:rsidR="00230857" w:rsidRPr="00BB6DE2" w:rsidRDefault="00230857">
      <w:pPr>
        <w:pStyle w:val="Normaltindrag"/>
        <w:shd w:val="clear" w:color="000000" w:fill="auto"/>
      </w:pPr>
      <w:r w:rsidRPr="00BB6DE2">
        <w:t>Inom EU har diskriminering på grund av ålder aktualiserats under senare år. I den stadga om de grundläggande rättigheterna</w:t>
      </w:r>
      <w:r w:rsidR="00D20658" w:rsidRPr="00BB6DE2">
        <w:t xml:space="preserve"> i Europeiska un</w:t>
      </w:r>
      <w:r w:rsidRPr="00BB6DE2">
        <w:t xml:space="preserve">ionen som antogs år 2000 ska </w:t>
      </w:r>
      <w:r w:rsidR="00D20658" w:rsidRPr="00BB6DE2">
        <w:t>diskriminering på grund av bland annat</w:t>
      </w:r>
      <w:r w:rsidRPr="00BB6DE2">
        <w:t xml:space="preserve"> ålder vara förbj</w:t>
      </w:r>
      <w:r w:rsidRPr="00BB6DE2">
        <w:t>u</w:t>
      </w:r>
      <w:r w:rsidRPr="00BB6DE2">
        <w:t>den. Här anges dessutom att unionen erkänner och respekterar de äldres rätt att leva ett värdigt och oberoende liv och att delta i det sociala och kulturella livet.</w:t>
      </w:r>
    </w:p>
    <w:p w:rsidR="00230857" w:rsidRPr="00BB6DE2" w:rsidRDefault="00230857">
      <w:pPr>
        <w:pStyle w:val="Normaltindrag"/>
        <w:shd w:val="clear" w:color="000000" w:fill="auto"/>
      </w:pPr>
      <w:r w:rsidRPr="00BB6DE2">
        <w:t xml:space="preserve">Genom Amsterdamfördraget år 1997 infördes en artikel i </w:t>
      </w:r>
      <w:r w:rsidR="00022E20" w:rsidRPr="00BB6DE2">
        <w:t xml:space="preserve">fördraget </w:t>
      </w:r>
      <w:r w:rsidRPr="00BB6DE2">
        <w:t>om upprättandet av Europeiska gemenskapen (EG-fördraget) som ger rådet bef</w:t>
      </w:r>
      <w:r w:rsidRPr="00BB6DE2">
        <w:t>o</w:t>
      </w:r>
      <w:r w:rsidRPr="00BB6DE2">
        <w:t>genhet att vidta lämpliga åtgärder för att bekämpa diskriminering på grund av kön, ras, etniskt ursprung, religion eller övertygelse, funktionshinder, ålder eller sexuell läggning (artikel 13). Med stöd av denna artikel antog EU:s m</w:t>
      </w:r>
      <w:r w:rsidRPr="00BB6DE2">
        <w:t>i</w:t>
      </w:r>
      <w:r w:rsidRPr="00BB6DE2">
        <w:t>nisterråd i november 2000 ett direktiv om inrättande av en allmän ram för likabehandling</w:t>
      </w:r>
      <w:r w:rsidR="00D20658" w:rsidRPr="00BB6DE2">
        <w:t xml:space="preserve"> i arbetslivet. Här ingår bland annat </w:t>
      </w:r>
      <w:r w:rsidRPr="00BB6DE2">
        <w:t>ålder. Direktivet är ett minimidirektiv, vilket innebär att medlemsstaterna kan införa regler som går längre än vad som anges i direktiven. Direktivet skulle vara genomfört i n</w:t>
      </w:r>
      <w:r w:rsidRPr="00BB6DE2">
        <w:t>a</w:t>
      </w:r>
      <w:r w:rsidRPr="00BB6DE2">
        <w:t>tionell rätt i december 2003</w:t>
      </w:r>
      <w:r w:rsidR="00D20658" w:rsidRPr="00BB6DE2">
        <w:t>,</w:t>
      </w:r>
      <w:r w:rsidRPr="00BB6DE2">
        <w:t xml:space="preserve"> med undantag för ålder och funktionshinder för vilka uppskov kunde medges till december 2006. Sverige har begärt sådant uppskov.</w:t>
      </w:r>
    </w:p>
    <w:p w:rsidR="00230857" w:rsidRPr="00BB6DE2" w:rsidRDefault="00230857">
      <w:pPr>
        <w:pStyle w:val="Normaltindrag"/>
        <w:shd w:val="clear" w:color="000000" w:fill="auto"/>
      </w:pPr>
      <w:r w:rsidRPr="00BB6DE2">
        <w:t>Erfarenheter från Irland, Australien, Belgien och Ontario (US</w:t>
      </w:r>
      <w:r w:rsidR="0052176E" w:rsidRPr="00BB6DE2">
        <w:t>A</w:t>
      </w:r>
      <w:r w:rsidRPr="00BB6DE2">
        <w:t>) visar att lagstiftning mot åldersdiskriminering både kan skapas och vara effektiv. Som exempel på vad man gjort i andra länder kan nämnas Frankrike där man la</w:t>
      </w:r>
      <w:r w:rsidRPr="00BB6DE2">
        <w:t>g</w:t>
      </w:r>
      <w:r w:rsidR="0052176E" w:rsidRPr="00BB6DE2">
        <w:t xml:space="preserve">stiftat om ett system där namn, </w:t>
      </w:r>
      <w:r w:rsidRPr="00BB6DE2">
        <w:t>etniskt ursprung, kön och ålder inte ska fra</w:t>
      </w:r>
      <w:r w:rsidRPr="00BB6DE2">
        <w:t>m</w:t>
      </w:r>
      <w:r w:rsidRPr="00BB6DE2">
        <w:t>gå av ansökningshandlingarna. Sedan Finland fick en lagstiftning mot ålder</w:t>
      </w:r>
      <w:r w:rsidRPr="00BB6DE2">
        <w:t>s</w:t>
      </w:r>
      <w:r w:rsidRPr="00BB6DE2">
        <w:t>diskriminering visar data att diskriminering på grund av ålder är fyra gånger så vanlig som diskriminering på grund av kön. I USA får ålder inte användas som kriterium vid anställning. Där är det endast bedömning av kompetensen för uppdraget som är avgöranden</w:t>
      </w:r>
      <w:r w:rsidR="00145282" w:rsidRPr="00BB6DE2">
        <w:t>.</w:t>
      </w:r>
    </w:p>
    <w:p w:rsidR="00230857" w:rsidRPr="00BB6DE2" w:rsidRDefault="00230857">
      <w:pPr>
        <w:pStyle w:val="Rubrik2"/>
        <w:shd w:val="clear" w:color="000000" w:fill="auto"/>
        <w:rPr>
          <w:bCs/>
        </w:rPr>
      </w:pPr>
      <w:bookmarkStart w:id="18" w:name="_Toc148860870"/>
      <w:bookmarkStart w:id="19" w:name="_Toc151085893"/>
      <w:r w:rsidRPr="00BB6DE2">
        <w:rPr>
          <w:bCs/>
        </w:rPr>
        <w:t>En sammanhållen diskrimineringslagstiftning</w:t>
      </w:r>
      <w:bookmarkEnd w:id="18"/>
      <w:bookmarkEnd w:id="19"/>
    </w:p>
    <w:p w:rsidR="00230857" w:rsidRPr="00BB6DE2" w:rsidRDefault="00230857">
      <w:pPr>
        <w:shd w:val="clear" w:color="000000" w:fill="auto"/>
      </w:pPr>
      <w:r w:rsidRPr="00BB6DE2">
        <w:t>Med anledning av EU-direktivet från år 2000 tillsattes i Sverige en utredning</w:t>
      </w:r>
      <w:r w:rsidR="00145282" w:rsidRPr="00BB6DE2">
        <w:t xml:space="preserve"> </w:t>
      </w:r>
      <w:r w:rsidRPr="00BB6DE2">
        <w:t>”</w:t>
      </w:r>
      <w:r w:rsidRPr="00BB6DE2">
        <w:rPr>
          <w:i/>
        </w:rPr>
        <w:t>Diskrimineringskommittén</w:t>
      </w:r>
      <w:r w:rsidRPr="00BB6DE2">
        <w:t>”</w:t>
      </w:r>
      <w:r w:rsidRPr="00BB6DE2">
        <w:rPr>
          <w:i/>
        </w:rPr>
        <w:t xml:space="preserve"> </w:t>
      </w:r>
      <w:r w:rsidR="0052176E" w:rsidRPr="00BB6DE2">
        <w:t xml:space="preserve">som </w:t>
      </w:r>
      <w:r w:rsidRPr="00BB6DE2">
        <w:t>gav sitt slutbetänkande i februari 2006 (SOU 2006:22). Utredningen sändes på remiss våren 2006</w:t>
      </w:r>
      <w:r w:rsidR="00145282" w:rsidRPr="00BB6DE2">
        <w:t xml:space="preserve"> </w:t>
      </w:r>
      <w:r w:rsidR="0052176E" w:rsidRPr="00BB6DE2">
        <w:t>med remisstid till 2006-09-</w:t>
      </w:r>
      <w:r w:rsidRPr="00BB6DE2">
        <w:t>29.</w:t>
      </w:r>
    </w:p>
    <w:p w:rsidR="00230857" w:rsidRPr="00BB6DE2" w:rsidRDefault="00230857">
      <w:pPr>
        <w:pStyle w:val="Normaltindrag"/>
        <w:shd w:val="clear" w:color="000000" w:fill="auto"/>
      </w:pPr>
      <w:r w:rsidRPr="00BB6DE2">
        <w:t>Utredningen föreslog en sammanhållen diskrimi</w:t>
      </w:r>
      <w:r w:rsidR="0052176E" w:rsidRPr="00BB6DE2">
        <w:t xml:space="preserve">neringslagstiftning som innebär </w:t>
      </w:r>
      <w:r w:rsidRPr="00BB6DE2">
        <w:t>att samtliga lagar som reglerar förbud mot diskriminering ska sa</w:t>
      </w:r>
      <w:r w:rsidRPr="00BB6DE2">
        <w:t>m</w:t>
      </w:r>
      <w:r w:rsidRPr="00BB6DE2">
        <w:t>manföras till en lag och att en gemensam ombudsmannamyndighet tillskapas. Det här är rationellt och torde gagna en enhetlig tolkning och tillämpning av lagstiftningen. Genom en sammanhållen diskrimineringslagstiftning underlä</w:t>
      </w:r>
      <w:r w:rsidRPr="00BB6DE2">
        <w:t>t</w:t>
      </w:r>
      <w:r w:rsidRPr="00BB6DE2">
        <w:t>tas dessutom bedömning av fall där flera diskrimineringsgrunder föreligger, t.ex. en äldre person med funktionshinder.</w:t>
      </w:r>
      <w:r w:rsidR="0052176E" w:rsidRPr="00BB6DE2">
        <w:t xml:space="preserve"> </w:t>
      </w:r>
      <w:r w:rsidRPr="00BB6DE2">
        <w:t>Till skillnad från övriga diskrim</w:t>
      </w:r>
      <w:r w:rsidRPr="00BB6DE2">
        <w:t>i</w:t>
      </w:r>
      <w:r w:rsidRPr="00BB6DE2">
        <w:t>neringsgrunder har utredningen inte tagit med sådant som inryms under b</w:t>
      </w:r>
      <w:r w:rsidRPr="00BB6DE2">
        <w:t>e</w:t>
      </w:r>
      <w:r w:rsidRPr="00BB6DE2">
        <w:t>greppet varor, tjänster och bostäder för diskriminering på grund av ålder. Detta är en brist med tanke på de rapporter som finns om d</w:t>
      </w:r>
      <w:r w:rsidR="0052176E" w:rsidRPr="00BB6DE2">
        <w:t>iskriminering av äldre vid till exempel</w:t>
      </w:r>
      <w:r w:rsidRPr="00BB6DE2">
        <w:t xml:space="preserve"> avbetalningsköp, banklån, köp av bostadsrätt m</w:t>
      </w:r>
      <w:r w:rsidR="006C65F2" w:rsidRPr="00BB6DE2">
        <w:t>.</w:t>
      </w:r>
      <w:r w:rsidRPr="00BB6DE2">
        <w:t>m. Utredningen tycks ha ansett det varit för svårt att ta med varor och tjänster i lagstiftningen. Det finns dock länder som f</w:t>
      </w:r>
      <w:r w:rsidR="0052176E" w:rsidRPr="00BB6DE2">
        <w:t>unnit detta fullt möjligt, till exe</w:t>
      </w:r>
      <w:r w:rsidR="0052176E" w:rsidRPr="00BB6DE2">
        <w:t>m</w:t>
      </w:r>
      <w:r w:rsidR="0052176E" w:rsidRPr="00BB6DE2">
        <w:t>pel</w:t>
      </w:r>
      <w:r w:rsidR="006C65F2" w:rsidRPr="00BB6DE2">
        <w:t xml:space="preserve"> Irland</w:t>
      </w:r>
      <w:r w:rsidRPr="00BB6DE2">
        <w:t>. Det är fullt möjligt att i en lag innefatta sådant som boende, utbil</w:t>
      </w:r>
      <w:r w:rsidRPr="00BB6DE2">
        <w:t>d</w:t>
      </w:r>
      <w:r w:rsidRPr="00BB6DE2">
        <w:t>ning, hälso- och sjukvård, omsorg, försäkringar och andra finansiella tjänster, transport, licenser, annonsering, sport och rekreation m</w:t>
      </w:r>
      <w:r w:rsidR="006C65F2" w:rsidRPr="00BB6DE2">
        <w:t>.</w:t>
      </w:r>
      <w:r w:rsidRPr="00BB6DE2">
        <w:t>m. Undantag kan göras när det är motiverat med särskilda förmåner för att kompensera för nackdelar. Som exempel på detta anges reducerade biljettpriser för buss, tåg och teater för pensionärer.</w:t>
      </w:r>
    </w:p>
    <w:p w:rsidR="00230857" w:rsidRPr="00BB6DE2" w:rsidRDefault="00145282">
      <w:pPr>
        <w:pStyle w:val="Rubrik2"/>
        <w:shd w:val="clear" w:color="000000" w:fill="auto"/>
      </w:pPr>
      <w:bookmarkStart w:id="20" w:name="_Toc148860871"/>
      <w:bookmarkStart w:id="21" w:name="_Toc151085894"/>
      <w:r w:rsidRPr="00BB6DE2">
        <w:t>Åtgärder som bör vidtas</w:t>
      </w:r>
      <w:bookmarkEnd w:id="20"/>
      <w:bookmarkEnd w:id="21"/>
    </w:p>
    <w:p w:rsidR="00230857" w:rsidRPr="00BB6DE2" w:rsidRDefault="00230857">
      <w:pPr>
        <w:shd w:val="clear" w:color="000000" w:fill="auto"/>
      </w:pPr>
      <w:r w:rsidRPr="00BB6DE2">
        <w:t>Barn</w:t>
      </w:r>
      <w:r w:rsidR="0052176E" w:rsidRPr="00BB6DE2">
        <w:t xml:space="preserve">s rättigheter tillvaratas bland annat </w:t>
      </w:r>
      <w:r w:rsidRPr="00BB6DE2">
        <w:t>genom barnkonventionen. Äldre har däremot inte samma skydd. Visserligen antog FN:s 46:e generalförsamling 1991 en resolution (nr 46/91) som innehåller en deklaration med principer för äldre personer och som ligger till grund för de nationella målen för den svenska äldrepolitiken. Likaså erkänner Europeiska unionen genom artikel 25 i EU-stadgan</w:t>
      </w:r>
      <w:r w:rsidR="006C65F2" w:rsidRPr="00BB6DE2">
        <w:t xml:space="preserve"> att</w:t>
      </w:r>
      <w:r w:rsidRPr="00BB6DE2">
        <w:t xml:space="preserve"> rätten för äldre att leva ett värdigt och oberoende liv och att delta i det sociala och kulturella livet ska respekteras. Europarådets europei</w:t>
      </w:r>
      <w:r w:rsidRPr="00BB6DE2">
        <w:t>s</w:t>
      </w:r>
      <w:r w:rsidRPr="00BB6DE2">
        <w:t>ka sociala stadga innehåller en a</w:t>
      </w:r>
      <w:r w:rsidR="00F43811" w:rsidRPr="00BB6DE2">
        <w:t>rtikel om skydd för äldre, men</w:t>
      </w:r>
      <w:r w:rsidR="00B23160" w:rsidRPr="00BB6DE2">
        <w:t xml:space="preserve"> </w:t>
      </w:r>
      <w:r w:rsidRPr="00BB6DE2">
        <w:t xml:space="preserve">antagandet av en internationellt accepterad äldrekonvention </w:t>
      </w:r>
      <w:r w:rsidR="00F43811" w:rsidRPr="00BB6DE2">
        <w:t xml:space="preserve">skulle </w:t>
      </w:r>
      <w:r w:rsidRPr="00BB6DE2">
        <w:t>stärka äldres ställning i samhället. Sverige bör inom ramen för sitt arbete i FN verka för införandet av en sådan konvention.</w:t>
      </w:r>
    </w:p>
    <w:p w:rsidR="00230857" w:rsidRPr="00BB6DE2" w:rsidRDefault="00230857">
      <w:pPr>
        <w:pStyle w:val="Normaltindrag"/>
        <w:shd w:val="clear" w:color="000000" w:fill="auto"/>
      </w:pPr>
      <w:r w:rsidRPr="00BB6DE2">
        <w:t>En samlad diskrimineringslagstiftning behöver införas med ålder som en av flera diskrimineringsgrunder. Den bör omfatta inte bara arbetslivet utan också tillgång till varor, tjänster och bostäder.</w:t>
      </w:r>
      <w:r w:rsidR="0052176E" w:rsidRPr="00BB6DE2">
        <w:t xml:space="preserve"> </w:t>
      </w:r>
      <w:r w:rsidR="006C65F2" w:rsidRPr="00BB6DE2">
        <w:t xml:space="preserve">Senior </w:t>
      </w:r>
      <w:r w:rsidRPr="00BB6DE2">
        <w:t>2005:s förslag för att synliggöra och bekämpa negativ särbehandling på grund av hög ålder bör genomföras. Det innebär att</w:t>
      </w:r>
    </w:p>
    <w:p w:rsidR="00230857" w:rsidRPr="00BB6DE2" w:rsidRDefault="00230857">
      <w:pPr>
        <w:pStyle w:val="PunktlistaBomb"/>
        <w:shd w:val="clear" w:color="000000" w:fill="auto"/>
        <w:tabs>
          <w:tab w:val="clear" w:pos="360"/>
        </w:tabs>
      </w:pPr>
      <w:r w:rsidRPr="00BB6DE2">
        <w:t>det statliga språkbruket om åldrande och äldre människor måste se</w:t>
      </w:r>
      <w:r w:rsidR="0052176E" w:rsidRPr="00BB6DE2">
        <w:t>s</w:t>
      </w:r>
      <w:r w:rsidRPr="00BB6DE2">
        <w:t xml:space="preserve"> över och förbättras så att staten för</w:t>
      </w:r>
      <w:r w:rsidR="0052176E" w:rsidRPr="00BB6DE2">
        <w:t>e</w:t>
      </w:r>
      <w:r w:rsidRPr="00BB6DE2">
        <w:t>går med gott exempel på hur grundlagens förbud mot diskriminering på grund av ålder ska tillämpas i det offentliga livet</w:t>
      </w:r>
      <w:r w:rsidR="006C65F2" w:rsidRPr="00BB6DE2">
        <w:t>,</w:t>
      </w:r>
    </w:p>
    <w:p w:rsidR="00230857" w:rsidRPr="00BB6DE2" w:rsidRDefault="00230857">
      <w:pPr>
        <w:pStyle w:val="PunktlistaBomb"/>
        <w:shd w:val="clear" w:color="000000" w:fill="auto"/>
        <w:tabs>
          <w:tab w:val="clear" w:pos="360"/>
        </w:tabs>
        <w:spacing w:before="0"/>
      </w:pPr>
      <w:r w:rsidRPr="00BB6DE2">
        <w:t>översynen av det statliga språkbruket bör även omfatta förtydligande och utmönstringar av formuleringar i lagtexter som för negativa stereotyper om åldrandet och äldre människor vidare</w:t>
      </w:r>
      <w:r w:rsidR="006C65F2" w:rsidRPr="00BB6DE2">
        <w:t>,</w:t>
      </w:r>
    </w:p>
    <w:p w:rsidR="00230857" w:rsidRPr="00BB6DE2" w:rsidRDefault="00230857">
      <w:pPr>
        <w:pStyle w:val="PunktlistaBomb"/>
        <w:shd w:val="clear" w:color="000000" w:fill="auto"/>
        <w:tabs>
          <w:tab w:val="clear" w:pos="360"/>
        </w:tabs>
        <w:spacing w:before="0"/>
      </w:pPr>
      <w:r w:rsidRPr="00BB6DE2">
        <w:t>i anslutning till arbetet med att se över det statliga språkbruket bör det anordnas seminarier eller liknande med företrädare för branschorgan, pr</w:t>
      </w:r>
      <w:r w:rsidRPr="00BB6DE2">
        <w:t>o</w:t>
      </w:r>
      <w:r w:rsidRPr="00BB6DE2">
        <w:t>fessionsföreträdare och företag som arbetar med massmedier eller reklam och som har egna riktlinjer där diskrimine</w:t>
      </w:r>
      <w:r w:rsidR="0052176E" w:rsidRPr="00BB6DE2">
        <w:t>ring på grund av ålder kan ingå</w:t>
      </w:r>
      <w:r w:rsidR="006C65F2" w:rsidRPr="00BB6DE2">
        <w:t>,</w:t>
      </w:r>
    </w:p>
    <w:p w:rsidR="00230857" w:rsidRPr="00BB6DE2" w:rsidRDefault="006C65F2">
      <w:pPr>
        <w:pStyle w:val="PunktlistaBomb"/>
        <w:shd w:val="clear" w:color="000000" w:fill="auto"/>
        <w:tabs>
          <w:tab w:val="clear" w:pos="360"/>
        </w:tabs>
        <w:spacing w:before="0"/>
      </w:pPr>
      <w:r w:rsidRPr="00BB6DE2">
        <w:t>s</w:t>
      </w:r>
      <w:r w:rsidR="00230857" w:rsidRPr="00BB6DE2">
        <w:t>tatligt finansierad statistik bör inte innehålla några övre åldersgränser</w:t>
      </w:r>
      <w:r w:rsidR="00B23160" w:rsidRPr="00BB6DE2">
        <w:t>.</w:t>
      </w:r>
    </w:p>
    <w:p w:rsidR="00230857" w:rsidRPr="00BB6DE2" w:rsidRDefault="00230857">
      <w:pPr>
        <w:shd w:val="clear" w:color="000000" w:fill="auto"/>
      </w:pPr>
      <w:r w:rsidRPr="00BB6DE2">
        <w:t>Kompetens och livserfarenhet och inte kronologisk ålder bör v</w:t>
      </w:r>
      <w:r w:rsidR="0052176E" w:rsidRPr="00BB6DE2">
        <w:t>ara avgörande vid när man utser människor till olika uppdrag.</w:t>
      </w:r>
    </w:p>
    <w:p w:rsidR="00230857" w:rsidRPr="00BB6DE2" w:rsidRDefault="00230857">
      <w:pPr>
        <w:pStyle w:val="Normaltindrag"/>
        <w:shd w:val="clear" w:color="000000" w:fill="auto"/>
        <w:rPr>
          <w:szCs w:val="24"/>
        </w:rPr>
      </w:pPr>
      <w:r w:rsidRPr="00BB6DE2">
        <w:t>I regeringsförklaringen 2006 står det att den som vill ska uppmuntras att jobba vidare. Seniorernas kunnande och erfarenheter är en resurs i arbetslivet och för hela samhället. Det är ett viktigt och normgivande ställningstagande. För att synliggöra värdet av ä</w:t>
      </w:r>
      <w:r w:rsidR="00783BB5" w:rsidRPr="00BB6DE2">
        <w:t>ldres ideella insatser till exempel</w:t>
      </w:r>
      <w:r w:rsidRPr="00BB6DE2">
        <w:t xml:space="preserve"> anhörigvård – anhöriga uppskattas stå för 70 procent av äldreomsorgen – bör dessa redov</w:t>
      </w:r>
      <w:r w:rsidRPr="00BB6DE2">
        <w:t>i</w:t>
      </w:r>
      <w:r w:rsidRPr="00BB6DE2">
        <w:t>sas i nationalräkenskaperna.</w:t>
      </w:r>
      <w:r w:rsidR="00783BB5" w:rsidRPr="00BB6DE2">
        <w:t xml:space="preserve"> </w:t>
      </w:r>
      <w:r w:rsidRPr="00BB6DE2">
        <w:t>Forskning behövs som underlag för att på bästa sätt kunna tillvarata de äldres kompetens och l</w:t>
      </w:r>
      <w:r w:rsidR="00783BB5" w:rsidRPr="00BB6DE2">
        <w:t>ivserfarenhet. Studier bör till exempel</w:t>
      </w:r>
      <w:r w:rsidRPr="00BB6DE2">
        <w:t xml:space="preserve"> genomföras av hur arbetsmiljö och familjesituation påverkar kvinnor och deras möjlighet att arbeta upp till pensionsåldern och därefter.</w:t>
      </w:r>
    </w:p>
    <w:p w:rsidR="00230857" w:rsidRPr="00BB6DE2" w:rsidRDefault="00230857">
      <w:pPr>
        <w:pStyle w:val="Normaltindrag"/>
        <w:shd w:val="clear" w:color="000000" w:fill="auto"/>
      </w:pPr>
      <w:r w:rsidRPr="00BB6DE2">
        <w:t>Forskning behövs för att belysa vad som händer med livskvaliteten i sa</w:t>
      </w:r>
      <w:r w:rsidRPr="00BB6DE2">
        <w:t>m</w:t>
      </w:r>
      <w:r w:rsidRPr="00BB6DE2">
        <w:t>band med pensioneringen. Forskning behövs också för att belysa äldre männ</w:t>
      </w:r>
      <w:r w:rsidRPr="00BB6DE2">
        <w:t>i</w:t>
      </w:r>
      <w:r w:rsidRPr="00BB6DE2">
        <w:t>skors relation till barn och ungdomar, inte minst far- och morföräldrars rel</w:t>
      </w:r>
      <w:r w:rsidRPr="00BB6DE2">
        <w:t>a</w:t>
      </w:r>
      <w:r w:rsidRPr="00BB6DE2">
        <w:t>tion till barnbarn och deras stöd till föräldrarna.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6DE2">
        <w:trPr>
          <w:cantSplit/>
        </w:trPr>
        <w:tc>
          <w:tcPr>
            <w:tcW w:w="3046" w:type="dxa"/>
          </w:tcPr>
          <w:p w:rsidR="00765878" w:rsidRPr="00BB6DE2" w:rsidRDefault="00765878">
            <w:pPr>
              <w:pStyle w:val="UnderskriftDatum"/>
              <w:shd w:val="clear" w:color="000000" w:fill="auto"/>
              <w:spacing w:before="240"/>
            </w:pPr>
            <w:r w:rsidRPr="00BB6DE2">
              <w:t>Stockholm den 24 oktober 2006</w:t>
            </w:r>
          </w:p>
        </w:tc>
        <w:tc>
          <w:tcPr>
            <w:tcW w:w="3047" w:type="dxa"/>
          </w:tcPr>
          <w:p w:rsidR="00765878" w:rsidRPr="00BB6DE2" w:rsidRDefault="00765878">
            <w:pPr>
              <w:pStyle w:val="Underskrifter"/>
              <w:shd w:val="clear" w:color="000000" w:fill="auto"/>
              <w:spacing w:before="240"/>
            </w:pPr>
          </w:p>
        </w:tc>
      </w:tr>
      <w:tr w:rsidR="00000000" w:rsidRPr="00BB6DE2">
        <w:trPr>
          <w:cantSplit/>
        </w:trPr>
        <w:tc>
          <w:tcPr>
            <w:tcW w:w="3046" w:type="dxa"/>
          </w:tcPr>
          <w:p w:rsidR="00765878" w:rsidRPr="00BB6DE2" w:rsidRDefault="00765878">
            <w:pPr>
              <w:pStyle w:val="Underskrifter"/>
              <w:shd w:val="clear" w:color="000000" w:fill="auto"/>
            </w:pPr>
            <w:r w:rsidRPr="00BB6DE2">
              <w:t>Barbro Westerholm (fp)</w:t>
            </w:r>
          </w:p>
        </w:tc>
        <w:tc>
          <w:tcPr>
            <w:tcW w:w="3046" w:type="dxa"/>
          </w:tcPr>
          <w:p w:rsidR="00765878" w:rsidRPr="00BB6DE2" w:rsidRDefault="00765878">
            <w:pPr>
              <w:pStyle w:val="Underskrifter"/>
              <w:shd w:val="clear" w:color="000000" w:fill="auto"/>
            </w:pPr>
          </w:p>
        </w:tc>
      </w:tr>
    </w:tbl>
    <w:p w:rsidR="00230857" w:rsidRPr="00BB6DE2" w:rsidRDefault="00230857">
      <w:pPr>
        <w:pStyle w:val="Normaltindrag"/>
        <w:shd w:val="clear" w:color="000000" w:fill="auto"/>
      </w:pPr>
    </w:p>
    <w:sectPr w:rsidR="00230857" w:rsidRPr="00BB6DE2" w:rsidSect="006C65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5878" w:rsidRPr="00BB6DE2" w:rsidRDefault="00765878">
      <w:r w:rsidRPr="00BB6DE2">
        <w:separator/>
      </w:r>
    </w:p>
  </w:endnote>
  <w:endnote w:type="continuationSeparator" w:id="0">
    <w:p w:rsidR="00765878" w:rsidRPr="00BB6DE2" w:rsidRDefault="00765878">
      <w:r w:rsidRPr="00BB6D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190" w:rsidRPr="00BB6DE2" w:rsidRDefault="00BB6DE2" w:rsidP="006C65F2">
    <w:pPr>
      <w:pStyle w:val="Sidfot"/>
    </w:pPr>
    <w:r w:rsidRPr="00BB6D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75817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5F2" w:rsidRDefault="00765878">
                          <w:pPr>
                            <w:pStyle w:val="NormalS5sidnrV"/>
                          </w:pPr>
                          <w:r>
                            <w:fldChar w:fldCharType="begin"/>
                          </w:r>
                          <w:r w:rsidR="006C65F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5F2" w:rsidRDefault="00765878">
                    <w:pPr>
                      <w:pStyle w:val="NormalS5sidnrV"/>
                    </w:pPr>
                    <w:r>
                      <w:fldChar w:fldCharType="begin"/>
                    </w:r>
                    <w:r w:rsidR="006C65F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190" w:rsidRPr="00BB6DE2" w:rsidRDefault="00BB6DE2" w:rsidP="006C65F2">
    <w:pPr>
      <w:pStyle w:val="Sidfot"/>
    </w:pPr>
    <w:r w:rsidRPr="00BB6D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697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5F2" w:rsidRDefault="00765878">
                          <w:pPr>
                            <w:pStyle w:val="NormalS5sidnrH"/>
                            <w:ind w:right="0"/>
                          </w:pPr>
                          <w:r>
                            <w:fldChar w:fldCharType="begin"/>
                          </w:r>
                          <w:r w:rsidR="006C65F2">
                            <w:instrText xml:space="preserve"> PAGE *\charformat</w:instrText>
                          </w:r>
                          <w:r>
                            <w:fldChar w:fldCharType="separate"/>
                          </w:r>
                          <w:r w:rsidR="006708E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5F2" w:rsidRDefault="00765878">
                    <w:pPr>
                      <w:pStyle w:val="NormalS5sidnrH"/>
                      <w:ind w:right="0"/>
                    </w:pPr>
                    <w:r>
                      <w:fldChar w:fldCharType="begin"/>
                    </w:r>
                    <w:r w:rsidR="006C65F2">
                      <w:instrText xml:space="preserve"> PAGE *\charformat</w:instrText>
                    </w:r>
                    <w:r>
                      <w:fldChar w:fldCharType="separate"/>
                    </w:r>
                    <w:r w:rsidR="006708E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190" w:rsidRPr="00BB6DE2" w:rsidRDefault="00BB6DE2" w:rsidP="006C65F2">
    <w:pPr>
      <w:pStyle w:val="Sidfot"/>
    </w:pPr>
    <w:r w:rsidRPr="00BB6D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2774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5F2" w:rsidRDefault="00765878">
                          <w:pPr>
                            <w:pStyle w:val="NormalS5sidnrH"/>
                            <w:ind w:right="0"/>
                          </w:pPr>
                          <w:r>
                            <w:fldChar w:fldCharType="begin"/>
                          </w:r>
                          <w:r w:rsidR="006C65F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5F2" w:rsidRDefault="00765878">
                    <w:pPr>
                      <w:pStyle w:val="NormalS5sidnrH"/>
                      <w:ind w:right="0"/>
                    </w:pPr>
                    <w:r>
                      <w:fldChar w:fldCharType="begin"/>
                    </w:r>
                    <w:r w:rsidR="006C65F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5878" w:rsidRPr="00BB6DE2" w:rsidRDefault="00765878">
      <w:r w:rsidRPr="00BB6DE2">
        <w:separator/>
      </w:r>
    </w:p>
  </w:footnote>
  <w:footnote w:type="continuationSeparator" w:id="0">
    <w:p w:rsidR="00765878" w:rsidRPr="00BB6DE2" w:rsidRDefault="00765878">
      <w:r w:rsidRPr="00BB6D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190" w:rsidRPr="00BB6DE2" w:rsidRDefault="00BB6DE2" w:rsidP="006C65F2">
    <w:pPr>
      <w:pStyle w:val="Sidhuvud"/>
    </w:pPr>
    <w:r w:rsidRPr="00BB6D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5881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5F2" w:rsidRDefault="00765878">
                          <w:pPr>
                            <w:pStyle w:val="KantRubrikS5V"/>
                          </w:pPr>
                          <w:r>
                            <w:fldChar w:fldCharType="begin"/>
                          </w:r>
                          <w:r w:rsidR="006C65F2">
                            <w:instrText xml:space="preserve"> DOCPROPERTY "YearUser" *\charformat </w:instrText>
                          </w:r>
                          <w:r>
                            <w:fldChar w:fldCharType="separate"/>
                          </w:r>
                          <w:r w:rsidR="006708E1">
                            <w:t>2006/07</w:t>
                          </w:r>
                          <w:r>
                            <w:fldChar w:fldCharType="end"/>
                          </w:r>
                          <w:r w:rsidR="006C65F2">
                            <w:t>:</w:t>
                          </w:r>
                          <w:r>
                            <w:fldChar w:fldCharType="begin"/>
                          </w:r>
                          <w:r w:rsidR="006C65F2">
                            <w:instrText xml:space="preserve"> DOCPROPERTY "Motionsnummer" *\charformat </w:instrText>
                          </w:r>
                          <w:r>
                            <w:fldChar w:fldCharType="separate"/>
                          </w:r>
                          <w:r w:rsidR="006708E1">
                            <w:t>So201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5F2" w:rsidRDefault="00765878">
                    <w:pPr>
                      <w:pStyle w:val="KantRubrikS5V"/>
                    </w:pPr>
                    <w:r>
                      <w:fldChar w:fldCharType="begin"/>
                    </w:r>
                    <w:r w:rsidR="006C65F2">
                      <w:instrText xml:space="preserve"> DOCPROPERTY "YearUser" *\charformat </w:instrText>
                    </w:r>
                    <w:r>
                      <w:fldChar w:fldCharType="separate"/>
                    </w:r>
                    <w:r w:rsidR="006708E1">
                      <w:t>2006/07</w:t>
                    </w:r>
                    <w:r>
                      <w:fldChar w:fldCharType="end"/>
                    </w:r>
                    <w:r w:rsidR="006C65F2">
                      <w:t>:</w:t>
                    </w:r>
                    <w:r>
                      <w:fldChar w:fldCharType="begin"/>
                    </w:r>
                    <w:r w:rsidR="006C65F2">
                      <w:instrText xml:space="preserve"> DOCPROPERTY "Motionsnummer" *\charformat </w:instrText>
                    </w:r>
                    <w:r>
                      <w:fldChar w:fldCharType="separate"/>
                    </w:r>
                    <w:r w:rsidR="006708E1">
                      <w:t>So201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190" w:rsidRPr="00BB6DE2" w:rsidRDefault="00BB6DE2" w:rsidP="006C65F2">
    <w:pPr>
      <w:pStyle w:val="Sidhuvud"/>
    </w:pPr>
    <w:r w:rsidRPr="00BB6D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7563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5F2" w:rsidRDefault="00765878">
                          <w:pPr>
                            <w:pStyle w:val="KantRubrikS5H"/>
                            <w:ind w:right="0"/>
                          </w:pPr>
                          <w:r>
                            <w:fldChar w:fldCharType="begin"/>
                          </w:r>
                          <w:r w:rsidR="006C65F2">
                            <w:instrText xml:space="preserve"> DOCPROPERTY "YearUser" *\charformat </w:instrText>
                          </w:r>
                          <w:r>
                            <w:fldChar w:fldCharType="separate"/>
                          </w:r>
                          <w:r w:rsidR="006708E1">
                            <w:t>2006/07</w:t>
                          </w:r>
                          <w:r>
                            <w:fldChar w:fldCharType="end"/>
                          </w:r>
                          <w:r w:rsidR="006C65F2">
                            <w:t>:</w:t>
                          </w:r>
                          <w:r>
                            <w:fldChar w:fldCharType="begin"/>
                          </w:r>
                          <w:r w:rsidR="006C65F2">
                            <w:instrText xml:space="preserve"> DOCPROPERTY "Motionsnummer" *\charformat </w:instrText>
                          </w:r>
                          <w:r>
                            <w:fldChar w:fldCharType="separate"/>
                          </w:r>
                          <w:r w:rsidR="006708E1">
                            <w:t>So201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5F2" w:rsidRDefault="00765878">
                    <w:pPr>
                      <w:pStyle w:val="KantRubrikS5H"/>
                      <w:ind w:right="0"/>
                    </w:pPr>
                    <w:r>
                      <w:fldChar w:fldCharType="begin"/>
                    </w:r>
                    <w:r w:rsidR="006C65F2">
                      <w:instrText xml:space="preserve"> DOCPROPERTY "YearUser" *\charformat </w:instrText>
                    </w:r>
                    <w:r>
                      <w:fldChar w:fldCharType="separate"/>
                    </w:r>
                    <w:r w:rsidR="006708E1">
                      <w:t>2006/07</w:t>
                    </w:r>
                    <w:r>
                      <w:fldChar w:fldCharType="end"/>
                    </w:r>
                    <w:r w:rsidR="006C65F2">
                      <w:t>:</w:t>
                    </w:r>
                    <w:r>
                      <w:fldChar w:fldCharType="begin"/>
                    </w:r>
                    <w:r w:rsidR="006C65F2">
                      <w:instrText xml:space="preserve"> DOCPROPERTY "Motionsnummer" *\charformat </w:instrText>
                    </w:r>
                    <w:r>
                      <w:fldChar w:fldCharType="separate"/>
                    </w:r>
                    <w:r w:rsidR="006708E1">
                      <w:t>So201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878" w:rsidRPr="00BB6DE2" w:rsidRDefault="00765878">
    <w:pPr>
      <w:pStyle w:val="FSHNormal"/>
      <w:tabs>
        <w:tab w:val="right" w:pos="5840"/>
      </w:tabs>
    </w:pPr>
    <w:r w:rsidRPr="00BB6DE2">
      <w:br/>
    </w:r>
    <w:r w:rsidRPr="00BB6DE2">
      <w:fldChar w:fldCharType="begin" w:fldLock="1"/>
    </w:r>
    <w:r w:rsidRPr="00BB6DE2">
      <w:instrText xml:space="preserve"> DOCPROPERTY</w:instrText>
    </w:r>
    <w:r w:rsidRPr="00BB6DE2">
      <w:rPr>
        <w:sz w:val="18"/>
      </w:rPr>
      <w:instrText xml:space="preserve"> "YearUser" *\charformat </w:instrText>
    </w:r>
    <w:r w:rsidRPr="00BB6DE2">
      <w:fldChar w:fldCharType="separate"/>
    </w:r>
    <w:r w:rsidRPr="00BB6DE2">
      <w:t>2006/07</w:t>
    </w:r>
    <w:r w:rsidRPr="00BB6DE2">
      <w:fldChar w:fldCharType="end"/>
    </w:r>
    <w:r w:rsidRPr="00BB6DE2">
      <w:t xml:space="preserve"> </w:t>
    </w:r>
    <w:r w:rsidRPr="00BB6DE2">
      <w:tab/>
      <w:t xml:space="preserve">mnr: </w:t>
    </w:r>
    <w:r w:rsidRPr="00BB6DE2">
      <w:fldChar w:fldCharType="begin" w:fldLock="1"/>
    </w:r>
    <w:r w:rsidRPr="00BB6DE2">
      <w:instrText xml:space="preserve"> DOCPROPERTY</w:instrText>
    </w:r>
    <w:r w:rsidRPr="00BB6DE2">
      <w:rPr>
        <w:sz w:val="18"/>
      </w:rPr>
      <w:instrText xml:space="preserve"> "Motionsnummer" *\charformat </w:instrText>
    </w:r>
    <w:r w:rsidRPr="00BB6DE2">
      <w:fldChar w:fldCharType="separate"/>
    </w:r>
    <w:r w:rsidRPr="00BB6DE2">
      <w:t>So201</w:t>
    </w:r>
    <w:r w:rsidRPr="00BB6DE2">
      <w:fldChar w:fldCharType="end"/>
    </w:r>
    <w:r w:rsidRPr="00BB6DE2">
      <w:br/>
    </w:r>
    <w:r w:rsidRPr="00BB6DE2">
      <w:fldChar w:fldCharType="begin" w:fldLock="1"/>
    </w:r>
    <w:r w:rsidRPr="00BB6DE2">
      <w:instrText xml:space="preserve"> DOCPROPERTY</w:instrText>
    </w:r>
    <w:r w:rsidRPr="00BB6DE2">
      <w:rPr>
        <w:sz w:val="18"/>
      </w:rPr>
      <w:instrText xml:space="preserve"> "Samling" *\charformat </w:instrText>
    </w:r>
    <w:r w:rsidRPr="00BB6DE2">
      <w:fldChar w:fldCharType="end"/>
    </w:r>
    <w:r w:rsidRPr="00BB6DE2">
      <w:tab/>
      <w:t xml:space="preserve">pnr: </w:t>
    </w:r>
    <w:r w:rsidRPr="00BB6DE2">
      <w:fldChar w:fldCharType="begin" w:fldLock="1"/>
    </w:r>
    <w:r w:rsidRPr="00BB6DE2">
      <w:instrText xml:space="preserve"> DOCPROPERTY</w:instrText>
    </w:r>
    <w:r w:rsidRPr="00BB6DE2">
      <w:rPr>
        <w:sz w:val="18"/>
      </w:rPr>
      <w:instrText xml:space="preserve"> "Partinummer" *\charformat </w:instrText>
    </w:r>
    <w:r w:rsidRPr="00BB6DE2">
      <w:fldChar w:fldCharType="separate"/>
    </w:r>
    <w:r w:rsidRPr="00BB6DE2">
      <w:t>fp1401</w:t>
    </w:r>
    <w:r w:rsidRPr="00BB6DE2">
      <w:fldChar w:fldCharType="end"/>
    </w:r>
  </w:p>
  <w:p w:rsidR="00765878" w:rsidRPr="00BB6DE2" w:rsidRDefault="00765878">
    <w:pPr>
      <w:pStyle w:val="FSHRub1"/>
    </w:pPr>
    <w:r w:rsidRPr="00BB6DE2">
      <w:t>Motion till riksdagen</w:t>
    </w:r>
    <w:r w:rsidRPr="00BB6DE2">
      <w:br/>
    </w:r>
    <w:r w:rsidRPr="00BB6DE2">
      <w:fldChar w:fldCharType="begin" w:fldLock="1"/>
    </w:r>
    <w:r w:rsidRPr="00BB6DE2">
      <w:instrText xml:space="preserve"> DOCPROPERTY "YearUser" *\charformat </w:instrText>
    </w:r>
    <w:r w:rsidRPr="00BB6DE2">
      <w:fldChar w:fldCharType="separate"/>
    </w:r>
    <w:r w:rsidRPr="00BB6DE2">
      <w:t>2006/07</w:t>
    </w:r>
    <w:r w:rsidRPr="00BB6DE2">
      <w:fldChar w:fldCharType="end"/>
    </w:r>
    <w:r w:rsidRPr="00BB6DE2">
      <w:t>:</w:t>
    </w:r>
    <w:r w:rsidRPr="00BB6DE2">
      <w:fldChar w:fldCharType="begin" w:fldLock="1"/>
    </w:r>
    <w:r w:rsidRPr="00BB6DE2">
      <w:instrText xml:space="preserve"> DOCPROPERTY "Motionsnummer" *\charformat </w:instrText>
    </w:r>
    <w:r w:rsidRPr="00BB6DE2">
      <w:fldChar w:fldCharType="separate"/>
    </w:r>
    <w:r w:rsidRPr="00BB6DE2">
      <w:t>So201</w:t>
    </w:r>
    <w:r w:rsidRPr="00BB6DE2">
      <w:fldChar w:fldCharType="end"/>
    </w:r>
  </w:p>
  <w:p w:rsidR="00765878" w:rsidRPr="00BB6DE2" w:rsidRDefault="00765878">
    <w:pPr>
      <w:pStyle w:val="FSHNormalS5"/>
    </w:pPr>
    <w:r w:rsidRPr="00BB6DE2">
      <w:fldChar w:fldCharType="begin" w:fldLock="1"/>
    </w:r>
    <w:r w:rsidRPr="00BB6DE2">
      <w:instrText xml:space="preserve"> DOCPROPERTY "MotionarText" *\charformat </w:instrText>
    </w:r>
    <w:r w:rsidRPr="00BB6DE2">
      <w:fldChar w:fldCharType="separate"/>
    </w:r>
    <w:r w:rsidRPr="00BB6DE2">
      <w:t>av Barbro Westerholm (fp)</w:t>
    </w:r>
    <w:r w:rsidRPr="00BB6DE2">
      <w:fldChar w:fldCharType="end"/>
    </w:r>
    <w:r w:rsidRPr="00BB6DE2">
      <w:br/>
    </w:r>
    <w:r w:rsidRPr="00BB6DE2">
      <w:fldChar w:fldCharType="begin" w:fldLock="1"/>
    </w:r>
    <w:r w:rsidRPr="00BB6DE2">
      <w:instrText xml:space="preserve"> DOCPROPERTY "SvarFrasKort" *\charformat </w:instrText>
    </w:r>
    <w:r w:rsidRPr="00BB6DE2">
      <w:fldChar w:fldCharType="end"/>
    </w:r>
  </w:p>
  <w:p w:rsidR="00765878" w:rsidRPr="00BB6DE2" w:rsidRDefault="00765878">
    <w:pPr>
      <w:pStyle w:val="FSHTitel"/>
    </w:pPr>
    <w:r w:rsidRPr="00BB6DE2">
      <w:fldChar w:fldCharType="begin" w:fldLock="1"/>
    </w:r>
    <w:r w:rsidRPr="00BB6DE2">
      <w:instrText xml:space="preserve"> DOCPROPERTY</w:instrText>
    </w:r>
    <w:r w:rsidRPr="00BB6DE2">
      <w:rPr>
        <w:sz w:val="18"/>
      </w:rPr>
      <w:instrText xml:space="preserve"> "RubrikSvar" *\charformat </w:instrText>
    </w:r>
    <w:r w:rsidRPr="00BB6DE2">
      <w:fldChar w:fldCharType="separate"/>
    </w:r>
    <w:r w:rsidRPr="00BB6DE2">
      <w:t>Åtgärder mot negativ särbehandling av äldre</w:t>
    </w:r>
    <w:r w:rsidRPr="00BB6DE2">
      <w:fldChar w:fldCharType="end"/>
    </w:r>
  </w:p>
  <w:p w:rsidR="00765878" w:rsidRPr="00BB6DE2" w:rsidRDefault="00765878">
    <w:pPr>
      <w:pStyle w:val="Normal00"/>
    </w:pPr>
  </w:p>
  <w:p w:rsidR="006C65F2" w:rsidRPr="00BB6DE2" w:rsidRDefault="006C65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F04924"/>
    <w:multiLevelType w:val="hybridMultilevel"/>
    <w:tmpl w:val="C60E809E"/>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3C3231B"/>
    <w:multiLevelType w:val="hybridMultilevel"/>
    <w:tmpl w:val="64021000"/>
    <w:lvl w:ilvl="0" w:tplc="041D0001">
      <w:numFmt w:val="bullet"/>
      <w:lvlText w:val="?"/>
      <w:lvlJc w:val="left"/>
      <w:pPr>
        <w:tabs>
          <w:tab w:val="num" w:pos="720"/>
        </w:tabs>
        <w:ind w:left="720" w:hanging="360"/>
      </w:pPr>
      <w:rPr>
        <w:rFonts w:ascii="Symbol" w:eastAsia="Times New Roman" w:hAnsi="Symbol"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4" w15:restartNumberingAfterBreak="0">
    <w:nsid w:val="3B876114"/>
    <w:multiLevelType w:val="hybridMultilevel"/>
    <w:tmpl w:val="98CE8F2A"/>
    <w:lvl w:ilvl="0" w:tplc="041D0001">
      <w:start w:val="1900"/>
      <w:numFmt w:val="bullet"/>
      <w:lvlText w:val="?"/>
      <w:lvlJc w:val="left"/>
      <w:pPr>
        <w:tabs>
          <w:tab w:val="num" w:pos="720"/>
        </w:tabs>
        <w:ind w:left="720" w:hanging="360"/>
      </w:pPr>
      <w:rPr>
        <w:rFonts w:ascii="Symbol" w:eastAsia="Times New Roman" w:hAnsi="Symbol"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0F30BA1"/>
    <w:multiLevelType w:val="hybridMultilevel"/>
    <w:tmpl w:val="1DCA462C"/>
    <w:lvl w:ilvl="0" w:tplc="1FDEFE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4770173">
    <w:abstractNumId w:val="16"/>
  </w:num>
  <w:num w:numId="2" w16cid:durableId="593632663">
    <w:abstractNumId w:val="10"/>
  </w:num>
  <w:num w:numId="3" w16cid:durableId="1770276655">
    <w:abstractNumId w:val="12"/>
  </w:num>
  <w:num w:numId="4" w16cid:durableId="630285233">
    <w:abstractNumId w:val="15"/>
  </w:num>
  <w:num w:numId="5" w16cid:durableId="1179195369">
    <w:abstractNumId w:val="8"/>
  </w:num>
  <w:num w:numId="6" w16cid:durableId="1875729244">
    <w:abstractNumId w:val="3"/>
  </w:num>
  <w:num w:numId="7" w16cid:durableId="875313448">
    <w:abstractNumId w:val="2"/>
  </w:num>
  <w:num w:numId="8" w16cid:durableId="1908612537">
    <w:abstractNumId w:val="1"/>
  </w:num>
  <w:num w:numId="9" w16cid:durableId="2087217504">
    <w:abstractNumId w:val="0"/>
  </w:num>
  <w:num w:numId="10" w16cid:durableId="1565484146">
    <w:abstractNumId w:val="9"/>
  </w:num>
  <w:num w:numId="11" w16cid:durableId="1047218885">
    <w:abstractNumId w:val="7"/>
  </w:num>
  <w:num w:numId="12" w16cid:durableId="1021051978">
    <w:abstractNumId w:val="6"/>
  </w:num>
  <w:num w:numId="13" w16cid:durableId="857624426">
    <w:abstractNumId w:val="5"/>
  </w:num>
  <w:num w:numId="14" w16cid:durableId="1482698439">
    <w:abstractNumId w:val="4"/>
  </w:num>
  <w:num w:numId="15" w16cid:durableId="904949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762768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090196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7259916">
    <w:abstractNumId w:val="17"/>
  </w:num>
  <w:num w:numId="19" w16cid:durableId="2117481016">
    <w:abstractNumId w:val="13"/>
  </w:num>
  <w:num w:numId="20" w16cid:durableId="9581424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7"/>
    <w:docVar w:name="PersonGUIDs" w:val="{E8629C65-A2B2-4A9B-8749-B2F77B6C1531}"/>
  </w:docVars>
  <w:rsids>
    <w:rsidRoot w:val="00BB6DE2"/>
    <w:rsid w:val="00002742"/>
    <w:rsid w:val="000220F8"/>
    <w:rsid w:val="00022E20"/>
    <w:rsid w:val="00034058"/>
    <w:rsid w:val="00040D14"/>
    <w:rsid w:val="0004381F"/>
    <w:rsid w:val="00051FCE"/>
    <w:rsid w:val="00064BC3"/>
    <w:rsid w:val="00066474"/>
    <w:rsid w:val="000665E6"/>
    <w:rsid w:val="00066775"/>
    <w:rsid w:val="00072FB9"/>
    <w:rsid w:val="0007598F"/>
    <w:rsid w:val="000A4942"/>
    <w:rsid w:val="000A76B3"/>
    <w:rsid w:val="000B0032"/>
    <w:rsid w:val="000B2040"/>
    <w:rsid w:val="000E431D"/>
    <w:rsid w:val="000E48DA"/>
    <w:rsid w:val="000E5207"/>
    <w:rsid w:val="000F5ADD"/>
    <w:rsid w:val="00100531"/>
    <w:rsid w:val="0010382E"/>
    <w:rsid w:val="00145282"/>
    <w:rsid w:val="00166D90"/>
    <w:rsid w:val="00170803"/>
    <w:rsid w:val="00177CC2"/>
    <w:rsid w:val="0019171D"/>
    <w:rsid w:val="001921C4"/>
    <w:rsid w:val="001923A4"/>
    <w:rsid w:val="001A25D5"/>
    <w:rsid w:val="001A2624"/>
    <w:rsid w:val="001A2A2B"/>
    <w:rsid w:val="001C3C2C"/>
    <w:rsid w:val="001E0043"/>
    <w:rsid w:val="00201DFB"/>
    <w:rsid w:val="00204A63"/>
    <w:rsid w:val="00212FF1"/>
    <w:rsid w:val="00230193"/>
    <w:rsid w:val="00230857"/>
    <w:rsid w:val="00244D0B"/>
    <w:rsid w:val="0025068A"/>
    <w:rsid w:val="002818D3"/>
    <w:rsid w:val="00286780"/>
    <w:rsid w:val="002911A7"/>
    <w:rsid w:val="002943C8"/>
    <w:rsid w:val="00295E6D"/>
    <w:rsid w:val="002A2A6B"/>
    <w:rsid w:val="002C2373"/>
    <w:rsid w:val="002D11A8"/>
    <w:rsid w:val="00314F87"/>
    <w:rsid w:val="0032051D"/>
    <w:rsid w:val="003303B5"/>
    <w:rsid w:val="003366E9"/>
    <w:rsid w:val="00342FB4"/>
    <w:rsid w:val="003462D6"/>
    <w:rsid w:val="0036065A"/>
    <w:rsid w:val="003866EC"/>
    <w:rsid w:val="00391AF5"/>
    <w:rsid w:val="003B418B"/>
    <w:rsid w:val="003D0E42"/>
    <w:rsid w:val="003D5F66"/>
    <w:rsid w:val="003F100A"/>
    <w:rsid w:val="00445271"/>
    <w:rsid w:val="00447A04"/>
    <w:rsid w:val="004527C3"/>
    <w:rsid w:val="00487F7A"/>
    <w:rsid w:val="004971B2"/>
    <w:rsid w:val="004A0504"/>
    <w:rsid w:val="004B5278"/>
    <w:rsid w:val="004E38D9"/>
    <w:rsid w:val="005000F2"/>
    <w:rsid w:val="0052176E"/>
    <w:rsid w:val="00531020"/>
    <w:rsid w:val="00545150"/>
    <w:rsid w:val="00545421"/>
    <w:rsid w:val="0055072A"/>
    <w:rsid w:val="005525A5"/>
    <w:rsid w:val="005544CE"/>
    <w:rsid w:val="005B145B"/>
    <w:rsid w:val="005D3F50"/>
    <w:rsid w:val="00601C6D"/>
    <w:rsid w:val="00603CD4"/>
    <w:rsid w:val="006346C1"/>
    <w:rsid w:val="00653DD0"/>
    <w:rsid w:val="006708E1"/>
    <w:rsid w:val="006B1B4D"/>
    <w:rsid w:val="006B6262"/>
    <w:rsid w:val="006C65F2"/>
    <w:rsid w:val="00727C6F"/>
    <w:rsid w:val="00740D6D"/>
    <w:rsid w:val="00743F76"/>
    <w:rsid w:val="00765878"/>
    <w:rsid w:val="00770030"/>
    <w:rsid w:val="00774959"/>
    <w:rsid w:val="00783BB5"/>
    <w:rsid w:val="007852B2"/>
    <w:rsid w:val="00794149"/>
    <w:rsid w:val="007B67A7"/>
    <w:rsid w:val="007C00D2"/>
    <w:rsid w:val="007C6092"/>
    <w:rsid w:val="007E119E"/>
    <w:rsid w:val="00846903"/>
    <w:rsid w:val="008773D6"/>
    <w:rsid w:val="008F0A96"/>
    <w:rsid w:val="009062A0"/>
    <w:rsid w:val="009451E7"/>
    <w:rsid w:val="00956E7F"/>
    <w:rsid w:val="00970D4F"/>
    <w:rsid w:val="00971D70"/>
    <w:rsid w:val="00984FE6"/>
    <w:rsid w:val="009A4377"/>
    <w:rsid w:val="009A6043"/>
    <w:rsid w:val="009B2998"/>
    <w:rsid w:val="009D0673"/>
    <w:rsid w:val="00A053C6"/>
    <w:rsid w:val="00A055B3"/>
    <w:rsid w:val="00A15D71"/>
    <w:rsid w:val="00A21BC5"/>
    <w:rsid w:val="00A736FF"/>
    <w:rsid w:val="00A966A1"/>
    <w:rsid w:val="00AA1434"/>
    <w:rsid w:val="00AB5000"/>
    <w:rsid w:val="00AC4310"/>
    <w:rsid w:val="00AC63D9"/>
    <w:rsid w:val="00AE2EF8"/>
    <w:rsid w:val="00AF5881"/>
    <w:rsid w:val="00B0783C"/>
    <w:rsid w:val="00B13BF0"/>
    <w:rsid w:val="00B23160"/>
    <w:rsid w:val="00B267FE"/>
    <w:rsid w:val="00B33C81"/>
    <w:rsid w:val="00B34666"/>
    <w:rsid w:val="00B5685D"/>
    <w:rsid w:val="00B67E5B"/>
    <w:rsid w:val="00BA4894"/>
    <w:rsid w:val="00BA6BE0"/>
    <w:rsid w:val="00BB6D75"/>
    <w:rsid w:val="00BB6DE2"/>
    <w:rsid w:val="00BC4190"/>
    <w:rsid w:val="00BD43A8"/>
    <w:rsid w:val="00C1285C"/>
    <w:rsid w:val="00C27B7D"/>
    <w:rsid w:val="00C32A06"/>
    <w:rsid w:val="00C44394"/>
    <w:rsid w:val="00C45D9C"/>
    <w:rsid w:val="00C533BA"/>
    <w:rsid w:val="00C902E9"/>
    <w:rsid w:val="00C92208"/>
    <w:rsid w:val="00CB5B24"/>
    <w:rsid w:val="00CD4B2B"/>
    <w:rsid w:val="00CE3037"/>
    <w:rsid w:val="00CF21CE"/>
    <w:rsid w:val="00CF7A43"/>
    <w:rsid w:val="00D01775"/>
    <w:rsid w:val="00D10772"/>
    <w:rsid w:val="00D1174F"/>
    <w:rsid w:val="00D1289C"/>
    <w:rsid w:val="00D20658"/>
    <w:rsid w:val="00D44527"/>
    <w:rsid w:val="00D52681"/>
    <w:rsid w:val="00D53D04"/>
    <w:rsid w:val="00D55EF7"/>
    <w:rsid w:val="00DC0DF0"/>
    <w:rsid w:val="00DC40B6"/>
    <w:rsid w:val="00DC6C70"/>
    <w:rsid w:val="00DF5ACD"/>
    <w:rsid w:val="00E22893"/>
    <w:rsid w:val="00E349C2"/>
    <w:rsid w:val="00E360DE"/>
    <w:rsid w:val="00E5074A"/>
    <w:rsid w:val="00E521CB"/>
    <w:rsid w:val="00E728F6"/>
    <w:rsid w:val="00E75D28"/>
    <w:rsid w:val="00E84F25"/>
    <w:rsid w:val="00EA4DB7"/>
    <w:rsid w:val="00EC007B"/>
    <w:rsid w:val="00F21B30"/>
    <w:rsid w:val="00F273EA"/>
    <w:rsid w:val="00F42CB9"/>
    <w:rsid w:val="00F43811"/>
    <w:rsid w:val="00F5083D"/>
    <w:rsid w:val="00F51558"/>
    <w:rsid w:val="00F73E9E"/>
    <w:rsid w:val="00F759CD"/>
    <w:rsid w:val="00F830B5"/>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ABCAF1-CE5C-4519-80C0-D8DC57CB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C65F2"/>
    <w:pPr>
      <w:keepLines/>
      <w:numPr>
        <w:numId w:val="18"/>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6C65F2"/>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8051">
      <w:bodyDiv w:val="1"/>
      <w:marLeft w:val="0"/>
      <w:marRight w:val="0"/>
      <w:marTop w:val="0"/>
      <w:marBottom w:val="0"/>
      <w:divBdr>
        <w:top w:val="none" w:sz="0" w:space="0" w:color="auto"/>
        <w:left w:val="none" w:sz="0" w:space="0" w:color="auto"/>
        <w:bottom w:val="none" w:sz="0" w:space="0" w:color="auto"/>
        <w:right w:val="none" w:sz="0" w:space="0" w:color="auto"/>
      </w:divBdr>
    </w:div>
    <w:div w:id="161975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3057</Words>
  <Characters>17273</Characters>
  <Application>Microsoft Office Word</Application>
  <DocSecurity>4</DocSecurity>
  <Lines>332</Lines>
  <Paragraphs>89</Paragraphs>
  <ScaleCrop>false</ScaleCrop>
  <HeadingPairs>
    <vt:vector size="2" baseType="variant">
      <vt:variant>
        <vt:lpstr>Rubrik</vt:lpstr>
      </vt:variant>
      <vt:variant>
        <vt:i4>1</vt:i4>
      </vt:variant>
    </vt:vector>
  </HeadingPairs>
  <TitlesOfParts>
    <vt:vector size="1" baseType="lpstr">
      <vt:lpstr>fp1401</vt:lpstr>
    </vt:vector>
  </TitlesOfParts>
  <Company>Riksdagen</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fp1401</dc:title>
  <dc:subject>fp1401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2007-01-29T14:55:00Z</cp:lastPrinted>
  <dcterms:created xsi:type="dcterms:W3CDTF">2025-12-17T01:27:00Z</dcterms:created>
  <dcterms:modified xsi:type="dcterms:W3CDTF">2025-12-17T01:27:00Z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mot2000_460_2006-10-17</vt:lpwstr>
  </property>
  <property fmtid="{D5CDD505-2E9C-101B-9397-08002B2CF9AE}" pid="3" name="version">
    <vt:lpwstr>mot2000_460_2006-10-17</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Åtgärder mot negativ särbehandling av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negativ särbehandling av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So201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20062007000001020112000014010069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20062007000001020112000014010069</vt:lpwstr>
  </property>
  <property fmtid="{D5CDD505-2E9C-101B-9397-08002B2CF9AE}" pid="50" name="nummer">
    <vt:lpwstr>201</vt:lpwstr>
  </property>
  <property fmtid="{D5CDD505-2E9C-101B-9397-08002B2CF9AE}" pid="51" name="utskottsbeteckning">
    <vt:lpwstr>So</vt:lpwstr>
  </property>
  <property fmtid="{D5CDD505-2E9C-101B-9397-08002B2CF9AE}" pid="52" name="GlobalUID">
    <vt:lpwstr>{1DA11467-01E9-4F4C-81DF-C8691D918AA0}</vt:lpwstr>
  </property>
  <property fmtid="{D5CDD505-2E9C-101B-9397-08002B2CF9AE}" pid="53" name="Överföringar">
    <vt:i4>0</vt:i4>
  </property>
  <property fmtid="{D5CDD505-2E9C-101B-9397-08002B2CF9AE}" pid="54" name="Checksum">
    <vt:lpwstr>*0008516507983*</vt:lpwstr>
  </property>
  <property fmtid="{D5CDD505-2E9C-101B-9397-08002B2CF9AE}" pid="55" name="urixOrigin">
    <vt:lpwstr>070215 16:32:44.699</vt:lpwstr>
  </property>
  <property fmtid="{D5CDD505-2E9C-101B-9397-08002B2CF9AE}" pid="56" name="skuggnummer">
    <vt:lpwstr>77</vt:lpwstr>
  </property>
  <property fmtid="{D5CDD505-2E9C-101B-9397-08002B2CF9AE}" pid="57" name="urixVersion">
    <vt:lpwstr>3.1.4.4</vt:lpwstr>
  </property>
  <property fmtid="{D5CDD505-2E9C-101B-9397-08002B2CF9AE}" pid="58" name="urixGuid">
    <vt:lpwstr>{1C8292DC-F046-45BC-86F5-16C4BEF54188}</vt:lpwstr>
  </property>
</Properties>
</file>