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CE4902" w:rsidRPr="00005077">
        <w:tc>
          <w:tcPr>
            <w:tcW w:w="2268" w:type="dxa"/>
          </w:tcPr>
          <w:p w:rsidR="00CE4902" w:rsidRPr="00005077" w:rsidRDefault="00CE4902" w:rsidP="007242A3">
            <w:pPr>
              <w:framePr w:w="5035" w:h="1644" w:wrap="notBeside" w:vAnchor="page" w:hAnchor="page" w:x="6573" w:y="721"/>
              <w:rPr>
                <w:rFonts w:ascii="TradeGothic" w:hAnsi="TradeGothic"/>
                <w:i/>
                <w:sz w:val="18"/>
              </w:rPr>
            </w:pPr>
          </w:p>
        </w:tc>
        <w:tc>
          <w:tcPr>
            <w:tcW w:w="2999" w:type="dxa"/>
            <w:gridSpan w:val="2"/>
          </w:tcPr>
          <w:p w:rsidR="00CE4902" w:rsidRPr="00CE4902" w:rsidRDefault="00CE4902" w:rsidP="007242A3">
            <w:pPr>
              <w:framePr w:w="5035" w:h="1644" w:wrap="notBeside" w:vAnchor="page" w:hAnchor="page" w:x="6573" w:y="721"/>
              <w:rPr>
                <w:rFonts w:ascii="Times New Roman" w:hAnsi="Times New Roman"/>
                <w:szCs w:val="24"/>
                <w:rPrChange w:id="0" w:author="ha0808ab" w:date="2012-06-11T13:20:00Z">
                  <w:rPr>
                    <w:rFonts w:ascii="TradeGothic" w:hAnsi="TradeGothic"/>
                    <w:i/>
                    <w:sz w:val="18"/>
                    <w:szCs w:val="24"/>
                  </w:rPr>
                </w:rPrChange>
              </w:rPr>
            </w:pPr>
            <w:r w:rsidRPr="00416088">
              <w:rPr>
                <w:rFonts w:ascii="Times New Roman" w:hAnsi="Times New Roman"/>
                <w:szCs w:val="24"/>
              </w:rPr>
              <w:t xml:space="preserve">                              </w:t>
            </w:r>
          </w:p>
        </w:tc>
      </w:tr>
      <w:tr w:rsidR="00CE4902" w:rsidRPr="00005077">
        <w:tc>
          <w:tcPr>
            <w:tcW w:w="2268" w:type="dxa"/>
          </w:tcPr>
          <w:p w:rsidR="00CE4902" w:rsidRPr="00005077" w:rsidRDefault="00CE4902"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CE4902" w:rsidRPr="00005077" w:rsidRDefault="00CE4902" w:rsidP="007242A3">
            <w:pPr>
              <w:framePr w:w="5035" w:h="1644" w:wrap="notBeside" w:vAnchor="page" w:hAnchor="page" w:x="6573" w:y="721"/>
              <w:rPr>
                <w:rFonts w:ascii="TradeGothic" w:hAnsi="TradeGothic"/>
                <w:b/>
                <w:sz w:val="22"/>
              </w:rPr>
            </w:pPr>
          </w:p>
        </w:tc>
      </w:tr>
      <w:tr w:rsidR="00CE4902" w:rsidRPr="00005077">
        <w:tc>
          <w:tcPr>
            <w:tcW w:w="3402" w:type="dxa"/>
            <w:gridSpan w:val="2"/>
          </w:tcPr>
          <w:p w:rsidR="00CE4902" w:rsidRPr="00005077" w:rsidRDefault="00CE4902" w:rsidP="007242A3">
            <w:pPr>
              <w:framePr w:w="5035" w:h="1644" w:wrap="notBeside" w:vAnchor="page" w:hAnchor="page" w:x="6573" w:y="721"/>
            </w:pPr>
          </w:p>
        </w:tc>
        <w:tc>
          <w:tcPr>
            <w:tcW w:w="1865" w:type="dxa"/>
          </w:tcPr>
          <w:p w:rsidR="00CE4902" w:rsidRPr="00005077" w:rsidRDefault="00CE4902" w:rsidP="007242A3">
            <w:pPr>
              <w:framePr w:w="5035" w:h="1644" w:wrap="notBeside" w:vAnchor="page" w:hAnchor="page" w:x="6573" w:y="721"/>
            </w:pPr>
          </w:p>
        </w:tc>
      </w:tr>
      <w:tr w:rsidR="00CE4902" w:rsidRPr="00005077">
        <w:tc>
          <w:tcPr>
            <w:tcW w:w="2268" w:type="dxa"/>
          </w:tcPr>
          <w:p w:rsidR="00CE4902" w:rsidRPr="00005077" w:rsidRDefault="00CE4902" w:rsidP="007242A3">
            <w:pPr>
              <w:framePr w:w="5035" w:h="1644" w:wrap="notBeside" w:vAnchor="page" w:hAnchor="page" w:x="6573" w:y="721"/>
            </w:pPr>
            <w:r>
              <w:t>2012-06-11</w:t>
            </w:r>
          </w:p>
        </w:tc>
        <w:tc>
          <w:tcPr>
            <w:tcW w:w="2999" w:type="dxa"/>
            <w:gridSpan w:val="2"/>
          </w:tcPr>
          <w:p w:rsidR="00CE4902" w:rsidRPr="00005077" w:rsidRDefault="00CE4902" w:rsidP="007242A3">
            <w:pPr>
              <w:framePr w:w="5035" w:h="1644" w:wrap="notBeside" w:vAnchor="page" w:hAnchor="page" w:x="6573" w:y="721"/>
              <w:rPr>
                <w:sz w:val="20"/>
              </w:rPr>
            </w:pPr>
            <w:r>
              <w:rPr>
                <w:sz w:val="20"/>
              </w:rPr>
              <w:t>Fi 2012/166</w:t>
            </w:r>
          </w:p>
        </w:tc>
      </w:tr>
      <w:tr w:rsidR="00CE4902" w:rsidRPr="00005077">
        <w:tc>
          <w:tcPr>
            <w:tcW w:w="2268" w:type="dxa"/>
          </w:tcPr>
          <w:p w:rsidR="00CE4902" w:rsidRPr="00005077" w:rsidRDefault="00CE4902" w:rsidP="007242A3">
            <w:pPr>
              <w:framePr w:w="5035" w:h="1644" w:wrap="notBeside" w:vAnchor="page" w:hAnchor="page" w:x="6573" w:y="721"/>
            </w:pPr>
          </w:p>
        </w:tc>
        <w:tc>
          <w:tcPr>
            <w:tcW w:w="2999" w:type="dxa"/>
            <w:gridSpan w:val="2"/>
          </w:tcPr>
          <w:p w:rsidR="00CE4902" w:rsidRPr="00005077" w:rsidRDefault="00CE4902" w:rsidP="007242A3">
            <w:pPr>
              <w:framePr w:w="5035" w:h="1644" w:wrap="notBeside" w:vAnchor="page" w:hAnchor="page" w:x="6573" w:y="721"/>
            </w:pPr>
          </w:p>
        </w:tc>
      </w:tr>
    </w:tbl>
    <w:tbl>
      <w:tblPr>
        <w:tblW w:w="0" w:type="auto"/>
        <w:tblLayout w:type="fixed"/>
        <w:tblLook w:val="0000"/>
      </w:tblPr>
      <w:tblGrid>
        <w:gridCol w:w="4911"/>
      </w:tblGrid>
      <w:tr w:rsidR="00CE4902" w:rsidRPr="00005077">
        <w:trPr>
          <w:trHeight w:val="284"/>
        </w:trPr>
        <w:tc>
          <w:tcPr>
            <w:tcW w:w="4911" w:type="dxa"/>
          </w:tcPr>
          <w:p w:rsidR="00CE4902" w:rsidRPr="00005077" w:rsidRDefault="00CE4902">
            <w:pPr>
              <w:pStyle w:val="Avsndare"/>
              <w:framePr w:h="2483" w:wrap="notBeside" w:x="1504"/>
              <w:rPr>
                <w:b/>
                <w:i w:val="0"/>
                <w:sz w:val="22"/>
              </w:rPr>
            </w:pPr>
            <w:r>
              <w:rPr>
                <w:b/>
                <w:i w:val="0"/>
                <w:sz w:val="22"/>
              </w:rPr>
              <w:t>Finansdepartementet</w:t>
            </w:r>
          </w:p>
        </w:tc>
      </w:tr>
      <w:tr w:rsidR="00CE4902" w:rsidRPr="00005077">
        <w:trPr>
          <w:trHeight w:val="284"/>
        </w:trPr>
        <w:tc>
          <w:tcPr>
            <w:tcW w:w="4911" w:type="dxa"/>
          </w:tcPr>
          <w:p w:rsidR="00CE4902" w:rsidRPr="00005077" w:rsidRDefault="00CE4902">
            <w:pPr>
              <w:pStyle w:val="Avsndare"/>
              <w:framePr w:h="2483" w:wrap="notBeside" w:x="1504"/>
              <w:rPr>
                <w:bCs/>
                <w:iCs/>
              </w:rPr>
            </w:pPr>
          </w:p>
        </w:tc>
      </w:tr>
      <w:tr w:rsidR="00CE4902" w:rsidRPr="00005077">
        <w:trPr>
          <w:trHeight w:val="284"/>
        </w:trPr>
        <w:tc>
          <w:tcPr>
            <w:tcW w:w="4911" w:type="dxa"/>
          </w:tcPr>
          <w:p w:rsidR="00CE4902" w:rsidRPr="00005077" w:rsidRDefault="00CE4902">
            <w:pPr>
              <w:pStyle w:val="Avsndare"/>
              <w:framePr w:h="2483" w:wrap="notBeside" w:x="1504"/>
              <w:rPr>
                <w:bCs/>
                <w:iCs/>
              </w:rPr>
            </w:pPr>
          </w:p>
        </w:tc>
      </w:tr>
      <w:tr w:rsidR="00CE4902" w:rsidRPr="00005077">
        <w:trPr>
          <w:trHeight w:val="284"/>
        </w:trPr>
        <w:tc>
          <w:tcPr>
            <w:tcW w:w="4911" w:type="dxa"/>
          </w:tcPr>
          <w:p w:rsidR="00CE4902" w:rsidRPr="00005077" w:rsidRDefault="00CE4902">
            <w:pPr>
              <w:pStyle w:val="Avsndare"/>
              <w:framePr w:h="2483" w:wrap="notBeside" w:x="1504"/>
              <w:rPr>
                <w:bCs/>
                <w:iCs/>
              </w:rPr>
            </w:pPr>
          </w:p>
        </w:tc>
      </w:tr>
      <w:tr w:rsidR="00CE4902" w:rsidRPr="00005077">
        <w:trPr>
          <w:trHeight w:val="284"/>
        </w:trPr>
        <w:tc>
          <w:tcPr>
            <w:tcW w:w="4911" w:type="dxa"/>
          </w:tcPr>
          <w:p w:rsidR="00CE4902" w:rsidRPr="00005077" w:rsidRDefault="00CE4902">
            <w:pPr>
              <w:pStyle w:val="Avsndare"/>
              <w:framePr w:h="2483" w:wrap="notBeside" w:x="1504"/>
              <w:rPr>
                <w:bCs/>
                <w:iCs/>
              </w:rPr>
            </w:pPr>
          </w:p>
        </w:tc>
      </w:tr>
      <w:tr w:rsidR="00CE4902" w:rsidRPr="00005077">
        <w:trPr>
          <w:trHeight w:val="284"/>
        </w:trPr>
        <w:tc>
          <w:tcPr>
            <w:tcW w:w="4911" w:type="dxa"/>
          </w:tcPr>
          <w:p w:rsidR="00CE4902" w:rsidRPr="00005077" w:rsidRDefault="00CE4902">
            <w:pPr>
              <w:pStyle w:val="Avsndare"/>
              <w:framePr w:h="2483" w:wrap="notBeside" w:x="1504"/>
              <w:rPr>
                <w:bCs/>
                <w:iCs/>
              </w:rPr>
            </w:pPr>
          </w:p>
        </w:tc>
      </w:tr>
      <w:tr w:rsidR="00CE4902" w:rsidRPr="00005077">
        <w:trPr>
          <w:trHeight w:val="284"/>
        </w:trPr>
        <w:tc>
          <w:tcPr>
            <w:tcW w:w="4911" w:type="dxa"/>
          </w:tcPr>
          <w:p w:rsidR="00CE4902" w:rsidRPr="00005077" w:rsidRDefault="00CE4902">
            <w:pPr>
              <w:pStyle w:val="Avsndare"/>
              <w:framePr w:h="2483" w:wrap="notBeside" w:x="1504"/>
              <w:rPr>
                <w:bCs/>
                <w:iCs/>
              </w:rPr>
            </w:pPr>
          </w:p>
        </w:tc>
      </w:tr>
    </w:tbl>
    <w:p w:rsidR="00CE4902" w:rsidRDefault="00CE4902">
      <w:pPr>
        <w:framePr w:w="4400" w:h="2523" w:wrap="notBeside" w:vAnchor="page" w:hAnchor="page" w:x="6453" w:y="2445"/>
        <w:ind w:left="142"/>
      </w:pPr>
      <w:r>
        <w:t>Till: Riksdagen</w:t>
      </w:r>
    </w:p>
    <w:p w:rsidR="00CE4902" w:rsidRDefault="00CE4902">
      <w:pPr>
        <w:framePr w:w="4400" w:h="2523" w:wrap="notBeside" w:vAnchor="page" w:hAnchor="page" w:x="6453" w:y="2445"/>
        <w:ind w:left="142"/>
      </w:pPr>
    </w:p>
    <w:p w:rsidR="00CE4902" w:rsidRDefault="00CE4902">
      <w:pPr>
        <w:framePr w:w="4400" w:h="2523" w:wrap="notBeside" w:vAnchor="page" w:hAnchor="page" w:x="6453" w:y="2445"/>
        <w:ind w:left="142"/>
      </w:pPr>
      <w:r>
        <w:t xml:space="preserve">Ekofinrådets möte den </w:t>
      </w:r>
    </w:p>
    <w:p w:rsidR="00CE4902" w:rsidRPr="00005077" w:rsidRDefault="00CE4902">
      <w:pPr>
        <w:framePr w:w="4400" w:h="2523" w:wrap="notBeside" w:vAnchor="page" w:hAnchor="page" w:x="6453" w:y="2445"/>
        <w:ind w:left="142"/>
      </w:pPr>
      <w:r>
        <w:t>22 juni i Luxemburg</w:t>
      </w:r>
    </w:p>
    <w:p w:rsidR="00CE4902" w:rsidRPr="00005077" w:rsidRDefault="00CE4902" w:rsidP="00005077">
      <w:pPr>
        <w:pStyle w:val="RKrubrik"/>
        <w:pBdr>
          <w:bottom w:val="single" w:sz="4" w:space="1" w:color="000000"/>
        </w:pBdr>
        <w:spacing w:before="0" w:after="0"/>
      </w:pPr>
      <w:r>
        <w:t>Kommenterad dagordning</w:t>
      </w:r>
    </w:p>
    <w:p w:rsidR="00CE4902" w:rsidRPr="00005077" w:rsidRDefault="00CE4902">
      <w:pPr>
        <w:pStyle w:val="RKnormal"/>
        <w:rPr>
          <w:sz w:val="20"/>
        </w:rPr>
      </w:pPr>
      <w:r>
        <w:rPr>
          <w:sz w:val="20"/>
        </w:rPr>
        <w:t>- enligt den preliminära dagordning som framkom i Coreper den 6 juni</w:t>
      </w:r>
    </w:p>
    <w:p w:rsidR="00CE4902" w:rsidRDefault="00CE4902" w:rsidP="00B40850">
      <w:pPr>
        <w:pStyle w:val="Heading2"/>
        <w:rPr>
          <w:lang w:eastAsia="sv-SE"/>
        </w:rPr>
      </w:pPr>
      <w:r>
        <w:rPr>
          <w:lang w:eastAsia="sv-SE"/>
        </w:rPr>
        <w:t>1.</w:t>
      </w:r>
      <w:r>
        <w:rPr>
          <w:lang w:eastAsia="sv-SE"/>
        </w:rPr>
        <w:tab/>
        <w:t>Godkännande av den preliminära dagordningen</w:t>
      </w:r>
    </w:p>
    <w:p w:rsidR="00CE4902" w:rsidRPr="00B40850" w:rsidRDefault="00CE4902" w:rsidP="00B40850">
      <w:pPr>
        <w:pStyle w:val="Heading2"/>
        <w:rPr>
          <w:u w:val="single"/>
          <w:lang w:eastAsia="sv-SE"/>
        </w:rPr>
      </w:pPr>
      <w:r>
        <w:rPr>
          <w:u w:val="single"/>
          <w:lang w:eastAsia="sv-SE"/>
        </w:rPr>
        <w:t>Lagstiftningsöverläggningar</w:t>
      </w:r>
    </w:p>
    <w:p w:rsidR="00CE4902" w:rsidRPr="00B40850" w:rsidRDefault="00CE4902" w:rsidP="00B40850">
      <w:pPr>
        <w:pStyle w:val="Heading2"/>
        <w:rPr>
          <w:rStyle w:val="Strong"/>
        </w:rPr>
      </w:pPr>
      <w:r w:rsidRPr="00B40850">
        <w:rPr>
          <w:rStyle w:val="Strong"/>
        </w:rPr>
        <w:t>2.</w:t>
      </w:r>
      <w:r w:rsidRPr="00B40850">
        <w:rPr>
          <w:rStyle w:val="Strong"/>
        </w:rPr>
        <w:tab/>
        <w:t>Godkännande av listorna över A-punkter</w:t>
      </w:r>
    </w:p>
    <w:p w:rsidR="00CE4902" w:rsidRDefault="00CE4902" w:rsidP="003501A4">
      <w:pPr>
        <w:pStyle w:val="Heading2"/>
        <w:ind w:left="1134" w:hanging="1134"/>
        <w:rPr>
          <w:lang w:eastAsia="sv-SE"/>
        </w:rPr>
      </w:pPr>
      <w:r>
        <w:rPr>
          <w:lang w:eastAsia="sv-SE"/>
        </w:rPr>
        <w:t xml:space="preserve">3. </w:t>
      </w:r>
      <w:r>
        <w:rPr>
          <w:lang w:eastAsia="sv-SE"/>
        </w:rPr>
        <w:tab/>
        <w:t>Förslag till direktiv om inrättande av ram för rekonstruktion och avveckling av kreditinstitut och värdepappersföretag</w:t>
      </w:r>
    </w:p>
    <w:p w:rsidR="00CE4902" w:rsidRDefault="00CE4902" w:rsidP="00B40850">
      <w:pPr>
        <w:pStyle w:val="Heading4"/>
        <w:rPr>
          <w:lang w:eastAsia="sv-SE"/>
        </w:rPr>
      </w:pPr>
      <w:r>
        <w:rPr>
          <w:lang w:eastAsia="sv-SE"/>
        </w:rPr>
        <w:tab/>
        <w:t>- Föredragning av kommissionen</w:t>
      </w:r>
    </w:p>
    <w:p w:rsidR="00CE4902" w:rsidRPr="00491300" w:rsidRDefault="00CE4902" w:rsidP="007F10CC">
      <w:pPr>
        <w:pStyle w:val="RKnormal"/>
      </w:pPr>
      <w:r w:rsidRPr="00491300">
        <w:t xml:space="preserve">Kommissionen </w:t>
      </w:r>
      <w:r>
        <w:t xml:space="preserve">ska informera om </w:t>
      </w:r>
      <w:r w:rsidRPr="00491300">
        <w:t>direktiv</w:t>
      </w:r>
      <w:r>
        <w:t>et</w:t>
      </w:r>
      <w:r w:rsidRPr="00491300">
        <w:t xml:space="preserve"> om ett EU-ramverk för hantering av </w:t>
      </w:r>
      <w:r>
        <w:t xml:space="preserve">kreditinstitut </w:t>
      </w:r>
      <w:r w:rsidRPr="00491300">
        <w:t>och värdepappersbolag i kris.</w:t>
      </w:r>
    </w:p>
    <w:p w:rsidR="00CE4902" w:rsidRDefault="00CE4902">
      <w:pPr>
        <w:pStyle w:val="RKnormal"/>
      </w:pPr>
    </w:p>
    <w:p w:rsidR="00CE4902" w:rsidRDefault="00CE4902" w:rsidP="007F10CC">
      <w:pPr>
        <w:rPr>
          <w:i/>
        </w:rPr>
      </w:pPr>
      <w:r>
        <w:t xml:space="preserve">Finansutskottet ska informerats om förslaget den 12 juni 2012. </w:t>
      </w:r>
    </w:p>
    <w:p w:rsidR="00CE4902" w:rsidRDefault="00CE4902">
      <w:pPr>
        <w:pStyle w:val="RKnormal"/>
      </w:pPr>
    </w:p>
    <w:p w:rsidR="00CE4902" w:rsidRPr="00491300" w:rsidRDefault="00CE4902" w:rsidP="007F10CC">
      <w:pPr>
        <w:pStyle w:val="RKnormal"/>
        <w:spacing w:line="240" w:lineRule="auto"/>
        <w:rPr>
          <w:color w:val="000000"/>
        </w:rPr>
      </w:pPr>
      <w:r w:rsidRPr="00491300">
        <w:rPr>
          <w:color w:val="000000"/>
        </w:rPr>
        <w:t xml:space="preserve">Direktivet syftar till att säkerställa att myndigheter har trovärdiga verktyg för att avveckla institut på ett sätt som minimerar spridningsrisker utan att hota tillgången på grundläggande finansiella tjänster. Aktieägarna, vissa borgenärer och bankindustrin i stort </w:t>
      </w:r>
      <w:r>
        <w:rPr>
          <w:color w:val="000000"/>
        </w:rPr>
        <w:t>(</w:t>
      </w:r>
      <w:r w:rsidRPr="00491300">
        <w:rPr>
          <w:color w:val="000000"/>
        </w:rPr>
        <w:t>genom någon form av stabilitetsfond</w:t>
      </w:r>
      <w:r>
        <w:rPr>
          <w:color w:val="000000"/>
        </w:rPr>
        <w:t>)</w:t>
      </w:r>
      <w:r w:rsidRPr="00491300">
        <w:rPr>
          <w:color w:val="000000"/>
        </w:rPr>
        <w:t xml:space="preserve"> ska bära kostnaderna för ett eventuellt omhändertagande av en bank i kris. På så sätt ska incitamenten för ett överdrivet risktagande, s.k. moral hazard, minskas. </w:t>
      </w:r>
    </w:p>
    <w:p w:rsidR="00CE4902" w:rsidRPr="00491300" w:rsidRDefault="00CE4902" w:rsidP="007F10CC">
      <w:pPr>
        <w:pStyle w:val="RKnormal"/>
        <w:spacing w:line="240" w:lineRule="auto"/>
        <w:rPr>
          <w:color w:val="000000"/>
        </w:rPr>
      </w:pPr>
    </w:p>
    <w:p w:rsidR="00CE4902" w:rsidRDefault="00CE4902" w:rsidP="007F10CC">
      <w:pPr>
        <w:pStyle w:val="RKnormal"/>
        <w:spacing w:line="240" w:lineRule="auto"/>
        <w:rPr>
          <w:color w:val="000000"/>
        </w:rPr>
      </w:pPr>
      <w:r w:rsidRPr="00491300">
        <w:rPr>
          <w:color w:val="000000"/>
        </w:rPr>
        <w:t>Genom direktivet föreslår kommissionen åtgärder inom följande områden: förberedande och förebyggande åtgärder, åtgärder för tidigt ingripande, avvecklingsåtgärder, samordning av gränsöverskridande krishantering, finansiering av kostnaderna för avveckling och sanktioner.</w:t>
      </w:r>
    </w:p>
    <w:p w:rsidR="00CE4902" w:rsidRPr="00491300" w:rsidRDefault="00CE4902" w:rsidP="007F10CC">
      <w:pPr>
        <w:pStyle w:val="RKnormal"/>
        <w:spacing w:line="240" w:lineRule="auto"/>
        <w:rPr>
          <w:color w:val="000000"/>
        </w:rPr>
      </w:pPr>
    </w:p>
    <w:p w:rsidR="00CE4902" w:rsidRDefault="00CE4902" w:rsidP="007F10CC">
      <w:pPr>
        <w:pStyle w:val="RKnormal"/>
        <w:spacing w:line="240" w:lineRule="auto"/>
      </w:pPr>
      <w:r>
        <w:rPr>
          <w:color w:val="000000"/>
        </w:rPr>
        <w:t>Regeringen anser att s</w:t>
      </w:r>
      <w:r w:rsidRPr="00491300">
        <w:rPr>
          <w:color w:val="000000"/>
        </w:rPr>
        <w:t xml:space="preserve">taten måste ha möjlighet att agera snabbt och kraftfullt för att återställa förtroendet för banksystemet, även med finansiella medel. </w:t>
      </w:r>
      <w:r>
        <w:rPr>
          <w:color w:val="000000"/>
        </w:rPr>
        <w:t>Regeringen</w:t>
      </w:r>
      <w:r w:rsidRPr="00491300">
        <w:rPr>
          <w:color w:val="000000"/>
        </w:rPr>
        <w:t xml:space="preserve"> välkomnar därför KOM:s förslag till ramverk och att en minimiharmonisering av krishantering av banker sker inom EU.</w:t>
      </w:r>
      <w:r>
        <w:rPr>
          <w:color w:val="000000"/>
        </w:rPr>
        <w:t xml:space="preserve"> </w:t>
      </w:r>
    </w:p>
    <w:p w:rsidR="00CE4902" w:rsidRPr="00451C5D" w:rsidRDefault="00CE4902" w:rsidP="00B40850">
      <w:pPr>
        <w:pStyle w:val="Heading2"/>
      </w:pPr>
      <w:r>
        <w:t>4</w:t>
      </w:r>
      <w:r w:rsidRPr="0008297A">
        <w:t>.</w:t>
      </w:r>
      <w:r w:rsidRPr="0008297A">
        <w:tab/>
      </w:r>
      <w:r>
        <w:t>Energiskattedirektivet</w:t>
      </w:r>
    </w:p>
    <w:p w:rsidR="00CE4902" w:rsidRPr="00451C5D" w:rsidRDefault="00CE4902" w:rsidP="00B40850">
      <w:pPr>
        <w:pStyle w:val="Heading4"/>
      </w:pPr>
      <w:r w:rsidRPr="00451C5D">
        <w:tab/>
        <w:t xml:space="preserve">- </w:t>
      </w:r>
      <w:r>
        <w:t>Riktlinjedebatt</w:t>
      </w:r>
    </w:p>
    <w:p w:rsidR="00CE4902" w:rsidRDefault="00CE4902">
      <w:pPr>
        <w:pStyle w:val="RKnormal"/>
      </w:pPr>
      <w:r>
        <w:t>Ekofin ska ha en orienteringsdebatt om Energiskattedirektivet. Ordförandeskapets syfte med diskussionen är att ge vägledning för det fortsatta arbetet.</w:t>
      </w:r>
    </w:p>
    <w:p w:rsidR="00CE4902" w:rsidRDefault="00CE4902">
      <w:pPr>
        <w:pStyle w:val="RKnormal"/>
      </w:pPr>
    </w:p>
    <w:p w:rsidR="00CE4902" w:rsidRPr="00E95A50" w:rsidRDefault="00CE4902" w:rsidP="00BE0F0A">
      <w:pPr>
        <w:pStyle w:val="RKnormal"/>
        <w:spacing w:line="240" w:lineRule="auto"/>
        <w:rPr>
          <w:color w:val="000000"/>
        </w:rPr>
      </w:pPr>
      <w:r w:rsidRPr="00E95A50">
        <w:rPr>
          <w:color w:val="000000"/>
        </w:rPr>
        <w:t xml:space="preserve">Kommissionen har i april 2011 lagt fram ett förslag till ändringar av energiskattedirektivet. Det nuvarande direktivet är föråldrat och behöver ändras så att det i högre grad stämmer överens med EU:s energi- och klimatpolitiska mål och underlättar för medlemsstaterna att nå dessa mål. En av huvuddelarna i förslaget är att en uppdelning av beskattningen av bränslen i en energiskatt och en CO2-skatt (se vidare faktapromemoria 2010/11:FPM113). Förslaget har diskuterats vid </w:t>
      </w:r>
      <w:r>
        <w:rPr>
          <w:color w:val="000000"/>
        </w:rPr>
        <w:t>tolv</w:t>
      </w:r>
      <w:r w:rsidRPr="00E95A50">
        <w:rPr>
          <w:color w:val="000000"/>
        </w:rPr>
        <w:t xml:space="preserve"> rådsarbetsgruppsmöten varvid diskussionerna har visat på två läger bland medlemsstaterna avseende </w:t>
      </w:r>
      <w:r>
        <w:rPr>
          <w:color w:val="000000"/>
        </w:rPr>
        <w:t>huruvida en uppd</w:t>
      </w:r>
      <w:r w:rsidRPr="00E95A50">
        <w:rPr>
          <w:color w:val="000000"/>
        </w:rPr>
        <w:t>elning i en energiskatt och koldioxidskatt</w:t>
      </w:r>
      <w:r>
        <w:rPr>
          <w:color w:val="000000"/>
        </w:rPr>
        <w:t xml:space="preserve"> kan accepteras eller inte</w:t>
      </w:r>
      <w:r w:rsidRPr="00E95A50">
        <w:rPr>
          <w:color w:val="000000"/>
        </w:rPr>
        <w:t>.</w:t>
      </w:r>
    </w:p>
    <w:p w:rsidR="00CE4902" w:rsidRDefault="00CE4902">
      <w:pPr>
        <w:pStyle w:val="RKnormal"/>
      </w:pPr>
    </w:p>
    <w:p w:rsidR="00CE4902" w:rsidRDefault="00CE4902" w:rsidP="00BE0F0A">
      <w:pPr>
        <w:pStyle w:val="RKnormal"/>
        <w:spacing w:line="240" w:lineRule="auto"/>
        <w:rPr>
          <w:color w:val="000000"/>
        </w:rPr>
      </w:pPr>
      <w:r w:rsidRPr="008B2739">
        <w:rPr>
          <w:color w:val="000000"/>
        </w:rPr>
        <w:t xml:space="preserve">Regeringen välkomnar kommissionens förslag och verkar för att direktivet antas så snart som möjligt. </w:t>
      </w:r>
      <w:r w:rsidRPr="000249D4">
        <w:rPr>
          <w:color w:val="000000"/>
        </w:rPr>
        <w:t xml:space="preserve">Principen om en uppdelning i beskattningen i en energiskatt och en CO2-skatt stöds. Denna princip ligger redan till grund för vårt nationella arbete med att utveckla de ekonomiska styrmedlen. </w:t>
      </w:r>
      <w:r>
        <w:rPr>
          <w:color w:val="000000"/>
        </w:rPr>
        <w:t xml:space="preserve">Kompromisser kommer emellertid att behöva göras. Regeringen verkar tillsammans med likasinnade MS för att försvara principen om att i direktivet införa minimiskattenivåer som motsvarar dels en energiskatt utifrån energiinnehåll, dels en koldioxidskatt på fossila bränslen utifrån innehåll av fossilt kol. </w:t>
      </w:r>
    </w:p>
    <w:p w:rsidR="00CE4902" w:rsidRDefault="00CE4902" w:rsidP="00BE0F0A">
      <w:pPr>
        <w:pStyle w:val="RKnormal"/>
        <w:spacing w:line="240" w:lineRule="auto"/>
        <w:rPr>
          <w:color w:val="000000"/>
        </w:rPr>
      </w:pPr>
    </w:p>
    <w:p w:rsidR="00CE4902" w:rsidRDefault="00CE4902" w:rsidP="00BE0F0A">
      <w:pPr>
        <w:pStyle w:val="RKnormal"/>
        <w:spacing w:line="240" w:lineRule="auto"/>
        <w:rPr>
          <w:color w:val="000000"/>
        </w:rPr>
      </w:pPr>
      <w:r w:rsidRPr="008B2739">
        <w:rPr>
          <w:color w:val="000000"/>
        </w:rPr>
        <w:t xml:space="preserve">Regeringen </w:t>
      </w:r>
      <w:r>
        <w:rPr>
          <w:color w:val="000000"/>
        </w:rPr>
        <w:t xml:space="preserve">har </w:t>
      </w:r>
      <w:r w:rsidRPr="008B2739">
        <w:rPr>
          <w:color w:val="000000"/>
        </w:rPr>
        <w:t>verka</w:t>
      </w:r>
      <w:r>
        <w:rPr>
          <w:color w:val="000000"/>
        </w:rPr>
        <w:t>t</w:t>
      </w:r>
      <w:r w:rsidRPr="008B2739">
        <w:rPr>
          <w:color w:val="000000"/>
        </w:rPr>
        <w:t xml:space="preserve"> för att förslaget noggrant i alla delar analyseras och diskuteras i rådsarbetsgruppen, i syfte att skapa underlag för en bred överenskommelse, där grundläggande delar av förslaget bevaras. </w:t>
      </w:r>
    </w:p>
    <w:p w:rsidR="00CE4902" w:rsidRDefault="00CE4902" w:rsidP="00BE0F0A">
      <w:pPr>
        <w:pStyle w:val="RKnormal"/>
        <w:spacing w:line="240" w:lineRule="auto"/>
        <w:rPr>
          <w:color w:val="000000"/>
        </w:rPr>
      </w:pPr>
    </w:p>
    <w:p w:rsidR="00CE4902" w:rsidRPr="00425952" w:rsidRDefault="00CE4902" w:rsidP="00BE0F0A">
      <w:pPr>
        <w:pStyle w:val="RKnormal"/>
        <w:spacing w:line="240" w:lineRule="auto"/>
        <w:rPr>
          <w:color w:val="000000"/>
        </w:rPr>
      </w:pPr>
      <w:r w:rsidRPr="000249D4">
        <w:rPr>
          <w:color w:val="000000"/>
        </w:rPr>
        <w:t>Det är angeläget att förändringar av beskattningen sker varsamt och stegvis. Härigenom säkerställs att övergångseffekterna blir rimliga för berörda hushåll och företag. Regeringen välkomnar därför</w:t>
      </w:r>
      <w:r w:rsidRPr="008B2739">
        <w:rPr>
          <w:color w:val="000000"/>
        </w:rPr>
        <w:t xml:space="preserve"> att vissa övergångsbestämmelser föreslagits. Dessa får dock inte äventyra möjligheterna att nå de klimat- och energipolitiska målen. </w:t>
      </w:r>
    </w:p>
    <w:p w:rsidR="00CE4902" w:rsidRPr="00451C5D" w:rsidRDefault="00CE4902" w:rsidP="00B40850">
      <w:pPr>
        <w:pStyle w:val="Heading2"/>
      </w:pPr>
      <w:r>
        <w:t>5</w:t>
      </w:r>
      <w:r w:rsidRPr="0008297A">
        <w:t>.</w:t>
      </w:r>
      <w:r w:rsidRPr="0008297A">
        <w:tab/>
      </w:r>
      <w:r>
        <w:t>Skatt på finansiella transaktioner</w:t>
      </w:r>
      <w:r w:rsidRPr="0008297A">
        <w:rPr>
          <w:i/>
        </w:rPr>
        <w:t xml:space="preserve"> </w:t>
      </w:r>
    </w:p>
    <w:p w:rsidR="00CE4902" w:rsidRDefault="00CE4902" w:rsidP="00B40850">
      <w:pPr>
        <w:pStyle w:val="Heading4"/>
      </w:pPr>
      <w:r w:rsidRPr="00451C5D">
        <w:tab/>
        <w:t xml:space="preserve">- </w:t>
      </w:r>
      <w:r>
        <w:t>Riktlinjedebatt</w:t>
      </w:r>
    </w:p>
    <w:p w:rsidR="00CE4902" w:rsidRDefault="00CE4902" w:rsidP="00BE0F0A">
      <w:pPr>
        <w:pStyle w:val="RKnormal"/>
        <w:rPr>
          <w:highlight w:val="yellow"/>
        </w:rPr>
      </w:pPr>
      <w:r>
        <w:t>Ekofinrådet ska hålla en o</w:t>
      </w:r>
      <w:r w:rsidRPr="00106142">
        <w:t>rienteringsdebatt om skatt på finansiella transaktioner</w:t>
      </w:r>
      <w:r>
        <w:t xml:space="preserve"> (Financial Transaction Tax, FTT).</w:t>
      </w:r>
      <w:r w:rsidRPr="00106142">
        <w:t xml:space="preserve"> Det danska ordförandeskapet </w:t>
      </w:r>
      <w:r>
        <w:t xml:space="preserve">kommer att </w:t>
      </w:r>
      <w:r w:rsidRPr="00106142">
        <w:t>presentera en rapport avseende arbetet med förslaget</w:t>
      </w:r>
      <w:r>
        <w:t>.</w:t>
      </w:r>
    </w:p>
    <w:p w:rsidR="00CE4902" w:rsidRDefault="00CE4902" w:rsidP="00005077">
      <w:pPr>
        <w:rPr>
          <w:i/>
        </w:rPr>
      </w:pPr>
    </w:p>
    <w:p w:rsidR="00CE4902" w:rsidRDefault="00CE4902" w:rsidP="00886D94">
      <w:pPr>
        <w:pStyle w:val="RKnormal"/>
      </w:pPr>
      <w:r w:rsidRPr="00981D09">
        <w:t>Regeringen har samrått med EU-nämnden den 19 oktober 2011 och den 9 mars 2012 samt haft överläggningar med Skatteutskottet den 27</w:t>
      </w:r>
      <w:r>
        <w:t> </w:t>
      </w:r>
      <w:r w:rsidRPr="00981D09">
        <w:t xml:space="preserve">oktober 2011 samt 29 mars 2012 i frågan. FTT har även behandlats den 22 november 2011 vid för skatte- och finansutskotten gemensam överläggning om EU:s framtida budget eftersom FTT föreslås utgöra en intäktspost i densamma. </w:t>
      </w:r>
    </w:p>
    <w:p w:rsidR="00CE4902" w:rsidRDefault="00CE4902" w:rsidP="00005077">
      <w:pPr>
        <w:rPr>
          <w:i/>
        </w:rPr>
      </w:pPr>
    </w:p>
    <w:p w:rsidR="00CE4902" w:rsidRDefault="00CE4902" w:rsidP="00BE0F0A">
      <w:pPr>
        <w:pStyle w:val="RKnormal"/>
        <w:spacing w:line="240" w:lineRule="auto"/>
        <w:rPr>
          <w:color w:val="000000"/>
        </w:rPr>
      </w:pPr>
      <w:r w:rsidRPr="00E74CA0">
        <w:rPr>
          <w:color w:val="000000"/>
        </w:rPr>
        <w:t xml:space="preserve">EU-kommissionens förslag </w:t>
      </w:r>
      <w:r>
        <w:rPr>
          <w:color w:val="000000"/>
        </w:rPr>
        <w:t xml:space="preserve">om skatt på finansiella transaktioner </w:t>
      </w:r>
      <w:r w:rsidRPr="00E74CA0">
        <w:rPr>
          <w:color w:val="000000"/>
        </w:rPr>
        <w:t>presenterades den 28 september 2011.</w:t>
      </w:r>
      <w:r>
        <w:rPr>
          <w:color w:val="000000"/>
        </w:rPr>
        <w:t xml:space="preserve"> Förslaget har diskuterats vid flera Ekofinmöten, senast vid informella Ekofin 30–31 mars 2012.</w:t>
      </w:r>
    </w:p>
    <w:p w:rsidR="00CE4902" w:rsidRDefault="00CE4902" w:rsidP="00BE0F0A">
      <w:pPr>
        <w:pStyle w:val="RKnormal"/>
        <w:spacing w:line="240" w:lineRule="auto"/>
        <w:rPr>
          <w:color w:val="000000"/>
        </w:rPr>
      </w:pPr>
    </w:p>
    <w:p w:rsidR="00CE4902" w:rsidRPr="00E74CA0" w:rsidDel="004B195E" w:rsidRDefault="00CE4902" w:rsidP="00BE0F0A">
      <w:pPr>
        <w:pStyle w:val="RKnormal"/>
        <w:spacing w:line="240" w:lineRule="auto"/>
        <w:rPr>
          <w:color w:val="000000"/>
        </w:rPr>
      </w:pPr>
      <w:r w:rsidRPr="00E74CA0" w:rsidDel="004B195E">
        <w:rPr>
          <w:color w:val="000000"/>
        </w:rPr>
        <w:t>I förslaget till EU:s budgetram för perioden 2014</w:t>
      </w:r>
      <w:r w:rsidDel="004B195E">
        <w:rPr>
          <w:color w:val="000000"/>
        </w:rPr>
        <w:t>–</w:t>
      </w:r>
      <w:r w:rsidRPr="00E74CA0" w:rsidDel="004B195E">
        <w:rPr>
          <w:color w:val="000000"/>
        </w:rPr>
        <w:t>20</w:t>
      </w:r>
      <w:r w:rsidDel="004B195E">
        <w:rPr>
          <w:color w:val="000000"/>
        </w:rPr>
        <w:t>20</w:t>
      </w:r>
      <w:r w:rsidRPr="00E74CA0" w:rsidDel="004B195E">
        <w:rPr>
          <w:color w:val="000000"/>
        </w:rPr>
        <w:t xml:space="preserve"> har kommissionen föreslagit att två tredjedelar av intäkterna från en FTT ska utgöra EU:s egna medel. </w:t>
      </w:r>
    </w:p>
    <w:p w:rsidR="00CE4902" w:rsidRPr="00E74CA0" w:rsidRDefault="00CE4902" w:rsidP="00BE0F0A">
      <w:pPr>
        <w:pStyle w:val="RKnormal"/>
        <w:spacing w:line="240" w:lineRule="auto"/>
        <w:rPr>
          <w:color w:val="000000"/>
        </w:rPr>
      </w:pPr>
    </w:p>
    <w:p w:rsidR="00CE4902" w:rsidRDefault="00CE4902" w:rsidP="00BE0F0A">
      <w:pPr>
        <w:pStyle w:val="RKnormal"/>
        <w:spacing w:line="240" w:lineRule="auto"/>
        <w:rPr>
          <w:color w:val="000000"/>
        </w:rPr>
      </w:pPr>
      <w:r w:rsidRPr="00E74CA0">
        <w:rPr>
          <w:color w:val="000000"/>
        </w:rPr>
        <w:t xml:space="preserve">Kommissionens förslag till en FTT innebär i korthet att både det köpande och säljande finansinstitutet ska betala en skatt vid överlåtelsen av ett finansiellt instrument, t.ex. aktier eller obligationer, på 0,1 procent av instrumentets värde (0,01 procent när det avser derivat). Även finansinstitut i tredje land ska betala FTT, om motparten finns i EU. Enligt kommissionen ska förslaget framför allt ge medlemsstaterna skatteintäkter och leda till minskad spekulation i finansiella instrument (se vidare Fakta-PM 2011/12:FPM20). </w:t>
      </w:r>
    </w:p>
    <w:p w:rsidR="00CE4902" w:rsidRDefault="00CE4902" w:rsidP="00BE0F0A">
      <w:pPr>
        <w:pStyle w:val="RKnormal"/>
        <w:spacing w:line="240" w:lineRule="auto"/>
        <w:rPr>
          <w:color w:val="000000"/>
        </w:rPr>
      </w:pPr>
    </w:p>
    <w:p w:rsidR="00CE4902" w:rsidRPr="00425952" w:rsidRDefault="00CE4902" w:rsidP="00BE0F0A">
      <w:pPr>
        <w:pStyle w:val="RKnormal"/>
        <w:spacing w:line="240" w:lineRule="auto"/>
        <w:rPr>
          <w:color w:val="000000"/>
        </w:rPr>
      </w:pPr>
      <w:r w:rsidRPr="00D164C3">
        <w:rPr>
          <w:color w:val="000000"/>
        </w:rPr>
        <w:t xml:space="preserve">I samband med det informella Ekofin den </w:t>
      </w:r>
      <w:r>
        <w:rPr>
          <w:color w:val="000000"/>
        </w:rPr>
        <w:t>30–</w:t>
      </w:r>
      <w:r w:rsidRPr="00D164C3">
        <w:rPr>
          <w:color w:val="000000"/>
        </w:rPr>
        <w:t>31 mars tog Tysklands finansminister initiativ till en</w:t>
      </w:r>
      <w:r>
        <w:rPr>
          <w:color w:val="000000"/>
        </w:rPr>
        <w:t xml:space="preserve"> </w:t>
      </w:r>
      <w:r w:rsidRPr="00D164C3">
        <w:rPr>
          <w:color w:val="000000"/>
        </w:rPr>
        <w:t xml:space="preserve">arbetsgrupp </w:t>
      </w:r>
      <w:r>
        <w:rPr>
          <w:color w:val="000000"/>
        </w:rPr>
        <w:t xml:space="preserve">med tjänstemän som skulle diskutera </w:t>
      </w:r>
      <w:r w:rsidRPr="00D164C3">
        <w:rPr>
          <w:color w:val="000000"/>
        </w:rPr>
        <w:t xml:space="preserve">möjligheter till beskattning av finanssektorn. </w:t>
      </w:r>
      <w:r>
        <w:rPr>
          <w:color w:val="000000"/>
        </w:rPr>
        <w:t>Sverige deltar i arbetsgruppen.</w:t>
      </w:r>
      <w:r w:rsidRPr="00D164C3">
        <w:rPr>
          <w:color w:val="000000"/>
        </w:rPr>
        <w:t xml:space="preserve"> Ännu finns inget konkret resultat av arbetsgruppens arbete. </w:t>
      </w:r>
    </w:p>
    <w:p w:rsidR="00CE4902" w:rsidRDefault="00CE4902" w:rsidP="00005077">
      <w:pPr>
        <w:rPr>
          <w:i/>
        </w:rPr>
      </w:pPr>
    </w:p>
    <w:p w:rsidR="00CE4902" w:rsidRDefault="00CE4902" w:rsidP="00BE0F0A">
      <w:pPr>
        <w:pStyle w:val="RKnormal"/>
      </w:pPr>
      <w:r>
        <w:t>Regeringen</w:t>
      </w:r>
      <w:r w:rsidRPr="00A26023">
        <w:t xml:space="preserve"> motsätter sig nya egna medel, inklusive FTT som egna medel. </w:t>
      </w:r>
      <w:r>
        <w:t xml:space="preserve">Regeringen </w:t>
      </w:r>
      <w:r w:rsidRPr="00A26023">
        <w:t xml:space="preserve">ställer sig inte bakom en FTT i EU, </w:t>
      </w:r>
      <w:r>
        <w:t>i enlighet med k</w:t>
      </w:r>
      <w:r w:rsidRPr="00A26023">
        <w:t>ommissionens direktivförslag</w:t>
      </w:r>
      <w:r>
        <w:t>.</w:t>
      </w:r>
      <w:r w:rsidRPr="00A26023">
        <w:t xml:space="preserve"> </w:t>
      </w:r>
      <w:r>
        <w:t xml:space="preserve">Regeringen </w:t>
      </w:r>
      <w:r w:rsidRPr="00A26023">
        <w:t>anser att det finns bättre sätt att påverka finanssektorns agerande såsom stabilitetsavgifter och kapitaltäckningsregler och att det finns bättre sätt att få in skatteintäkter än att införa en harmoniserad FTT.</w:t>
      </w:r>
    </w:p>
    <w:p w:rsidR="00CE4902" w:rsidRPr="003501A4" w:rsidRDefault="00CE4902" w:rsidP="003501A4">
      <w:pPr>
        <w:pStyle w:val="Heading2"/>
        <w:rPr>
          <w:u w:val="single"/>
        </w:rPr>
      </w:pPr>
      <w:r>
        <w:rPr>
          <w:u w:val="single"/>
        </w:rPr>
        <w:t>Icke-lagstiftande verksamhet</w:t>
      </w:r>
    </w:p>
    <w:p w:rsidR="00CE4902" w:rsidRPr="00B40850" w:rsidRDefault="00CE4902" w:rsidP="003501A4">
      <w:pPr>
        <w:pStyle w:val="Heading2"/>
        <w:rPr>
          <w:rStyle w:val="Strong"/>
        </w:rPr>
      </w:pPr>
      <w:r>
        <w:rPr>
          <w:rStyle w:val="Strong"/>
        </w:rPr>
        <w:t>6</w:t>
      </w:r>
      <w:r w:rsidRPr="00B40850">
        <w:rPr>
          <w:rStyle w:val="Strong"/>
        </w:rPr>
        <w:t>.</w:t>
      </w:r>
      <w:r w:rsidRPr="00B40850">
        <w:rPr>
          <w:rStyle w:val="Strong"/>
        </w:rPr>
        <w:tab/>
        <w:t>Godkännande av listorna över A-punkter</w:t>
      </w:r>
    </w:p>
    <w:p w:rsidR="00CE4902" w:rsidRPr="00451C5D" w:rsidRDefault="00CE4902" w:rsidP="00B40850">
      <w:pPr>
        <w:pStyle w:val="Heading2"/>
      </w:pPr>
      <w:r>
        <w:t>7</w:t>
      </w:r>
      <w:r w:rsidRPr="0008297A">
        <w:t>.</w:t>
      </w:r>
      <w:r w:rsidRPr="0008297A">
        <w:tab/>
      </w:r>
      <w:r>
        <w:t>(ev.) Uppförandekod (företagsbeskattning)</w:t>
      </w:r>
      <w:r w:rsidRPr="0008297A">
        <w:rPr>
          <w:i/>
        </w:rPr>
        <w:t xml:space="preserve"> </w:t>
      </w:r>
    </w:p>
    <w:p w:rsidR="00CE4902" w:rsidRDefault="00CE4902" w:rsidP="00B40850">
      <w:pPr>
        <w:pStyle w:val="Heading4"/>
      </w:pPr>
      <w:r w:rsidRPr="00451C5D">
        <w:tab/>
        <w:t xml:space="preserve">- </w:t>
      </w:r>
      <w:r>
        <w:t>Antagande av slutsatser samt rapport till rådet</w:t>
      </w:r>
    </w:p>
    <w:p w:rsidR="00CE4902" w:rsidRPr="00425952" w:rsidRDefault="00CE4902" w:rsidP="00240AB6">
      <w:pPr>
        <w:pStyle w:val="RKnormal"/>
        <w:rPr>
          <w:i/>
        </w:rPr>
      </w:pPr>
      <w:r>
        <w:t>Rådet ska anta slutsatser om den rapport som uppförandekodgruppen ska lämna till rådet om sitt arbete under det danska ordförandeskapet.</w:t>
      </w:r>
      <w:r>
        <w:rPr>
          <w:i/>
        </w:rPr>
        <w:t xml:space="preserve"> </w:t>
      </w:r>
    </w:p>
    <w:p w:rsidR="00CE4902" w:rsidRDefault="00CE4902" w:rsidP="00240AB6"/>
    <w:p w:rsidR="00CE4902" w:rsidRDefault="00CE4902" w:rsidP="00240AB6">
      <w:pPr>
        <w:rPr>
          <w:i/>
        </w:rPr>
      </w:pPr>
      <w:r>
        <w:t>Samråd skedde senast med EU-nämnden 25 november 2011 i samband med att uppförandekodgruppen lämnade sin rapport till rådet om sitt arbete under det polska ordförandeskapet.</w:t>
      </w:r>
      <w:r>
        <w:rPr>
          <w:i/>
        </w:rPr>
        <w:t xml:space="preserve"> </w:t>
      </w:r>
    </w:p>
    <w:p w:rsidR="00CE4902" w:rsidRDefault="00CE4902" w:rsidP="00240AB6">
      <w:pPr>
        <w:pStyle w:val="RKnormal"/>
        <w:spacing w:line="240" w:lineRule="auto"/>
        <w:rPr>
          <w:color w:val="000000"/>
        </w:rPr>
      </w:pPr>
    </w:p>
    <w:p w:rsidR="00CE4902" w:rsidRDefault="00CE4902" w:rsidP="00240AB6">
      <w:pPr>
        <w:pStyle w:val="RKnormal"/>
        <w:spacing w:line="240" w:lineRule="auto"/>
        <w:rPr>
          <w:color w:val="000000"/>
        </w:rPr>
      </w:pPr>
      <w:r>
        <w:rPr>
          <w:color w:val="000000"/>
        </w:rPr>
        <w:t>I december 1997 antog rådet en resolution om en uppförandekod för företagsbeskattning. S</w:t>
      </w:r>
      <w:r w:rsidRPr="004F176C">
        <w:rPr>
          <w:color w:val="000000"/>
        </w:rPr>
        <w:t xml:space="preserve">yftet med koden är att motverka skadlig skattekonkurrens. En särskild högnivågrupp inom rådet har inrättats för att genomföra uppförandekodens principer. </w:t>
      </w:r>
    </w:p>
    <w:p w:rsidR="00CE4902" w:rsidRDefault="00CE4902" w:rsidP="00240AB6">
      <w:pPr>
        <w:pStyle w:val="RKnormal"/>
        <w:spacing w:line="240" w:lineRule="auto"/>
        <w:rPr>
          <w:color w:val="000000"/>
        </w:rPr>
      </w:pPr>
    </w:p>
    <w:p w:rsidR="00CE4902" w:rsidRPr="00425952" w:rsidRDefault="00CE4902" w:rsidP="00240AB6">
      <w:pPr>
        <w:pStyle w:val="RKnormal"/>
        <w:spacing w:line="240" w:lineRule="auto"/>
        <w:rPr>
          <w:color w:val="000000"/>
        </w:rPr>
      </w:pPr>
      <w:r>
        <w:rPr>
          <w:color w:val="000000"/>
        </w:rPr>
        <w:t>U</w:t>
      </w:r>
      <w:r w:rsidRPr="004F176C">
        <w:rPr>
          <w:color w:val="000000"/>
        </w:rPr>
        <w:t xml:space="preserve">ppförandekodgruppen ska lämna en rapport till Ekofinrådet om sitt arbete under </w:t>
      </w:r>
      <w:r>
        <w:rPr>
          <w:color w:val="000000"/>
        </w:rPr>
        <w:t>det danska ordförandeskapet</w:t>
      </w:r>
      <w:r w:rsidRPr="004F176C">
        <w:rPr>
          <w:color w:val="000000"/>
        </w:rPr>
        <w:t xml:space="preserve">. Gruppen har fortsatt sitt arbete med att granska nya skatteåtgärder (frysning) och avveckling av skatteåtgärder som bedömts vara skadliga. Vidare har gruppen arbetat med </w:t>
      </w:r>
      <w:r>
        <w:rPr>
          <w:color w:val="000000"/>
        </w:rPr>
        <w:t>de</w:t>
      </w:r>
      <w:r w:rsidRPr="004F176C">
        <w:rPr>
          <w:color w:val="000000"/>
        </w:rPr>
        <w:t xml:space="preserve"> frågor som ingår i det arbetspaket som beslutades av </w:t>
      </w:r>
      <w:r>
        <w:rPr>
          <w:color w:val="000000"/>
        </w:rPr>
        <w:t xml:space="preserve">rådet i december 2011, bl.a. frågor om </w:t>
      </w:r>
      <w:r w:rsidRPr="004F176C">
        <w:rPr>
          <w:color w:val="000000"/>
        </w:rPr>
        <w:t>förhållandet till tredje länder</w:t>
      </w:r>
      <w:r>
        <w:rPr>
          <w:color w:val="000000"/>
        </w:rPr>
        <w:t xml:space="preserve"> och</w:t>
      </w:r>
      <w:r w:rsidRPr="004F176C">
        <w:rPr>
          <w:color w:val="000000"/>
        </w:rPr>
        <w:t xml:space="preserve"> åtgärder för att motverka missbruk. </w:t>
      </w:r>
    </w:p>
    <w:p w:rsidR="00CE4902" w:rsidRDefault="00CE4902" w:rsidP="00240AB6">
      <w:pPr>
        <w:rPr>
          <w:color w:val="000000"/>
        </w:rPr>
      </w:pPr>
    </w:p>
    <w:p w:rsidR="00CE4902" w:rsidRDefault="00CE4902" w:rsidP="00240AB6">
      <w:r>
        <w:rPr>
          <w:color w:val="000000"/>
        </w:rPr>
        <w:t>Regeringen kan ställa sig bakom utkastet till slutsatser.</w:t>
      </w:r>
    </w:p>
    <w:p w:rsidR="00CE4902" w:rsidRPr="003525C1" w:rsidRDefault="00CE4902" w:rsidP="007F10CC">
      <w:pPr>
        <w:pStyle w:val="Heading2"/>
        <w:rPr>
          <w:i/>
        </w:rPr>
      </w:pPr>
      <w:r w:rsidRPr="003525C1">
        <w:rPr>
          <w:i/>
        </w:rPr>
        <w:t>8. Bidrag till Europeiska rådets möte den 28-29 juni</w:t>
      </w:r>
    </w:p>
    <w:p w:rsidR="00CE4902" w:rsidRPr="00451C5D" w:rsidRDefault="00CE4902" w:rsidP="003501A4">
      <w:pPr>
        <w:pStyle w:val="Heading2"/>
        <w:ind w:left="1134" w:hanging="1134"/>
      </w:pPr>
      <w:r>
        <w:t>8 (a)</w:t>
      </w:r>
      <w:r w:rsidRPr="0008297A">
        <w:t>.</w:t>
      </w:r>
      <w:r w:rsidRPr="0008297A">
        <w:tab/>
      </w:r>
      <w:r>
        <w:t>Ekofinrådets rapport om skattefrågor</w:t>
      </w:r>
    </w:p>
    <w:p w:rsidR="00CE4902" w:rsidRDefault="00CE4902" w:rsidP="00B40850">
      <w:pPr>
        <w:pStyle w:val="Heading4"/>
      </w:pPr>
      <w:r w:rsidRPr="00451C5D">
        <w:tab/>
        <w:t xml:space="preserve">- </w:t>
      </w:r>
      <w:r>
        <w:t>Godkännande</w:t>
      </w:r>
    </w:p>
    <w:p w:rsidR="00CE4902" w:rsidRPr="00451C5D" w:rsidRDefault="00CE4902" w:rsidP="003501A4">
      <w:pPr>
        <w:pStyle w:val="Heading2"/>
        <w:ind w:left="1134" w:hanging="1134"/>
      </w:pPr>
      <w:r>
        <w:t>8 (b)</w:t>
      </w:r>
      <w:r w:rsidRPr="0008297A">
        <w:t>.</w:t>
      </w:r>
      <w:r w:rsidRPr="0008297A">
        <w:tab/>
      </w:r>
      <w:r>
        <w:t>Finansministrarnas rapport om skattefrågor i samband med europluspakten</w:t>
      </w:r>
      <w:r w:rsidRPr="0008297A">
        <w:rPr>
          <w:i/>
        </w:rPr>
        <w:t xml:space="preserve"> </w:t>
      </w:r>
    </w:p>
    <w:p w:rsidR="00CE4902" w:rsidRDefault="00CE4902" w:rsidP="00B40850">
      <w:pPr>
        <w:pStyle w:val="Heading4"/>
      </w:pPr>
      <w:r w:rsidRPr="00451C5D">
        <w:tab/>
        <w:t xml:space="preserve">- </w:t>
      </w:r>
      <w:r>
        <w:t>Godkännande</w:t>
      </w:r>
    </w:p>
    <w:p w:rsidR="00CE4902" w:rsidRPr="00EA320A" w:rsidRDefault="00CE4902" w:rsidP="00BE0F0A">
      <w:pPr>
        <w:pStyle w:val="RKnormal"/>
        <w:rPr>
          <w:i/>
          <w:szCs w:val="24"/>
        </w:rPr>
      </w:pPr>
      <w:r>
        <w:rPr>
          <w:szCs w:val="24"/>
        </w:rPr>
        <w:t>Ekofin</w:t>
      </w:r>
      <w:r w:rsidRPr="00EA320A">
        <w:rPr>
          <w:szCs w:val="24"/>
        </w:rPr>
        <w:t xml:space="preserve"> ska godkänna en rapport om skattefrågor samt en rapport från finansministrarna om skattefrågor inom ramen för </w:t>
      </w:r>
      <w:r>
        <w:rPr>
          <w:szCs w:val="24"/>
        </w:rPr>
        <w:t>e</w:t>
      </w:r>
      <w:r w:rsidRPr="00EA320A">
        <w:rPr>
          <w:szCs w:val="24"/>
        </w:rPr>
        <w:t xml:space="preserve">uropluspakten </w:t>
      </w:r>
      <w:r>
        <w:rPr>
          <w:szCs w:val="24"/>
        </w:rPr>
        <w:t xml:space="preserve">som ska överlämnas </w:t>
      </w:r>
      <w:r w:rsidRPr="00EA320A">
        <w:rPr>
          <w:szCs w:val="24"/>
        </w:rPr>
        <w:t>till Europeiska rådet den 28 – 29 juni.</w:t>
      </w:r>
    </w:p>
    <w:p w:rsidR="00CE4902" w:rsidRDefault="00CE4902" w:rsidP="00BE0F0A">
      <w:r w:rsidRPr="003525C1">
        <w:t xml:space="preserve"> </w:t>
      </w:r>
    </w:p>
    <w:p w:rsidR="00CE4902" w:rsidRDefault="00CE4902" w:rsidP="00BE0F0A">
      <w:pPr>
        <w:pStyle w:val="RKnormal"/>
      </w:pPr>
      <w:r>
        <w:t xml:space="preserve">De i europluspakten deltagande finansministrarna rapporterade i december 2011 om framstegen som gjorts i de strukturerade diskussionerna om skattepolitisk samordning. Finansministrarna uppmanades av Europeiska rådet att fortsätta detta arbete och återrapportera om framsteg </w:t>
      </w:r>
      <w:r w:rsidRPr="00E0614A">
        <w:t xml:space="preserve">till </w:t>
      </w:r>
      <w:r>
        <w:t>Europeiska rådet</w:t>
      </w:r>
      <w:r w:rsidRPr="00E0614A">
        <w:t xml:space="preserve"> i juni 2012. </w:t>
      </w:r>
      <w:r>
        <w:t xml:space="preserve">De deltagande finansministrarna ombads inrikta arbetet på områden där mer ambitiösa insatser är tänkbara, med fokus på hur skattepolitiken kan stödja samordningen av den ekonomiska politiken och bidra till finanspolitisk samordning och tillväxt. </w:t>
      </w:r>
    </w:p>
    <w:p w:rsidR="00CE4902" w:rsidRDefault="00CE4902" w:rsidP="00BE0F0A">
      <w:pPr>
        <w:pStyle w:val="RKnormal"/>
      </w:pPr>
    </w:p>
    <w:p w:rsidR="00CE4902" w:rsidRDefault="00CE4902" w:rsidP="00BE0F0A">
      <w:pPr>
        <w:pStyle w:val="RKnormal"/>
      </w:pPr>
      <w:r>
        <w:t>Även i uttalandet från Europeiska rådet den 30 januari 2012 finns en uppmaning om framsteg i strukturerade diskussioner om samordning i skattepolitiska frågor och förebyggande av skadliga skatteförfaranden inom ramen för europluspakten.</w:t>
      </w:r>
    </w:p>
    <w:p w:rsidR="00CE4902" w:rsidRDefault="00CE4902" w:rsidP="00BE0F0A">
      <w:pPr>
        <w:pStyle w:val="RKnormal"/>
      </w:pPr>
    </w:p>
    <w:p w:rsidR="00CE4902" w:rsidRDefault="00CE4902" w:rsidP="00BE0F0A">
      <w:pPr>
        <w:pStyle w:val="RKnormal"/>
        <w:tabs>
          <w:tab w:val="clear" w:pos="2835"/>
          <w:tab w:val="left" w:pos="284"/>
        </w:tabs>
        <w:spacing w:line="240" w:lineRule="auto"/>
        <w:rPr>
          <w:szCs w:val="24"/>
        </w:rPr>
      </w:pPr>
      <w:r>
        <w:rPr>
          <w:szCs w:val="24"/>
        </w:rPr>
        <w:t>I slutsatserna från Europeiska rådet från den 1-2 mars i år fanns också ett uppdrag till kommissionen och rådet att återrapportera dels om konkreta metoder för att stärka kampen mot skattebedrägeri och skatteundandragande, dels om det pågående arbetet med vissa skatteförslag i rådet: Energiskattedirektiv, gemensam konsoliderad bolagsskattebas (CCCTB), transaktionsskatt, sparandedirektivet och förhandlingsmandaten för sparandeavtal med tredje länder. Den första återrapporteringen enligt detta uppdrag ska ske i juni 2012.</w:t>
      </w:r>
    </w:p>
    <w:p w:rsidR="00CE4902" w:rsidRDefault="00CE4902" w:rsidP="00BE0F0A">
      <w:pPr>
        <w:pStyle w:val="RKnormal"/>
        <w:tabs>
          <w:tab w:val="clear" w:pos="2835"/>
          <w:tab w:val="left" w:pos="284"/>
        </w:tabs>
        <w:spacing w:line="240" w:lineRule="auto"/>
        <w:rPr>
          <w:szCs w:val="24"/>
        </w:rPr>
      </w:pPr>
    </w:p>
    <w:p w:rsidR="00CE4902" w:rsidRDefault="00CE4902" w:rsidP="00BE0F0A">
      <w:pPr>
        <w:pStyle w:val="RKnormal"/>
        <w:spacing w:line="240" w:lineRule="auto"/>
        <w:rPr>
          <w:color w:val="000000"/>
          <w:szCs w:val="24"/>
        </w:rPr>
      </w:pPr>
      <w:r>
        <w:rPr>
          <w:color w:val="000000"/>
          <w:szCs w:val="24"/>
        </w:rPr>
        <w:t>Innehållet i de båda rapporterna</w:t>
      </w:r>
      <w:r w:rsidRPr="00EA320A">
        <w:rPr>
          <w:color w:val="000000"/>
          <w:szCs w:val="24"/>
        </w:rPr>
        <w:t xml:space="preserve"> har behandlats i rådets högnivågrupp för skattefrågor den 30 maj 2012.</w:t>
      </w:r>
    </w:p>
    <w:p w:rsidR="00CE4902" w:rsidRDefault="00CE4902" w:rsidP="00BE0F0A">
      <w:pPr>
        <w:pStyle w:val="RKnormal"/>
        <w:spacing w:line="240" w:lineRule="auto"/>
        <w:rPr>
          <w:color w:val="000000"/>
          <w:szCs w:val="24"/>
        </w:rPr>
      </w:pPr>
    </w:p>
    <w:p w:rsidR="00CE4902" w:rsidRPr="00EA320A" w:rsidRDefault="00CE4902" w:rsidP="00FF7062">
      <w:pPr>
        <w:spacing w:line="240" w:lineRule="auto"/>
        <w:rPr>
          <w:color w:val="000000"/>
          <w:szCs w:val="24"/>
        </w:rPr>
      </w:pPr>
      <w:r w:rsidRPr="00EA320A">
        <w:rPr>
          <w:color w:val="000000"/>
          <w:szCs w:val="24"/>
        </w:rPr>
        <w:t xml:space="preserve">Regeringen </w:t>
      </w:r>
      <w:r>
        <w:rPr>
          <w:color w:val="000000"/>
          <w:szCs w:val="24"/>
        </w:rPr>
        <w:t>har inga invändningar emot utkasten</w:t>
      </w:r>
      <w:r w:rsidRPr="00EA320A">
        <w:rPr>
          <w:color w:val="000000"/>
          <w:szCs w:val="24"/>
        </w:rPr>
        <w:t xml:space="preserve"> till rapporter.</w:t>
      </w:r>
    </w:p>
    <w:p w:rsidR="00CE4902" w:rsidRPr="00451C5D" w:rsidRDefault="00CE4902" w:rsidP="00B40850">
      <w:pPr>
        <w:pStyle w:val="Heading2"/>
      </w:pPr>
      <w:r>
        <w:t>8 (c)</w:t>
      </w:r>
      <w:r w:rsidRPr="0008297A">
        <w:t>.</w:t>
      </w:r>
      <w:r w:rsidRPr="0008297A">
        <w:tab/>
      </w:r>
      <w:r>
        <w:t>Europa2020-strategin</w:t>
      </w:r>
      <w:r w:rsidRPr="0008297A">
        <w:rPr>
          <w:i/>
        </w:rPr>
        <w:t xml:space="preserve"> </w:t>
      </w:r>
    </w:p>
    <w:p w:rsidR="00CE4902" w:rsidRDefault="00CE4902" w:rsidP="00B40850">
      <w:pPr>
        <w:pStyle w:val="Heading4"/>
      </w:pPr>
      <w:r w:rsidRPr="00451C5D">
        <w:tab/>
        <w:t xml:space="preserve">- </w:t>
      </w:r>
      <w:r>
        <w:t xml:space="preserve">Godkännande av rådets rekommendationer och yttranden. </w:t>
      </w:r>
    </w:p>
    <w:p w:rsidR="00CE4902" w:rsidRPr="001111DB" w:rsidRDefault="00CE4902" w:rsidP="00886D94">
      <w:pPr>
        <w:pStyle w:val="RKnormal"/>
      </w:pPr>
      <w:r>
        <w:t>Rådet ska anta landspecifika rekommendationer och yttranden till medlemsstaterna samt en rekommendation riktad till euroländerna</w:t>
      </w:r>
      <w:r w:rsidRPr="00EE5A76">
        <w:t xml:space="preserve"> </w:t>
      </w:r>
      <w:r>
        <w:t xml:space="preserve">inom ramen för den europeiska terminen. </w:t>
      </w:r>
    </w:p>
    <w:p w:rsidR="00CE4902" w:rsidRDefault="00CE4902" w:rsidP="00005077"/>
    <w:p w:rsidR="00CE4902" w:rsidRDefault="00CE4902" w:rsidP="00886D94">
      <w:pPr>
        <w:pStyle w:val="RKnormal"/>
        <w:spacing w:line="240" w:lineRule="auto"/>
        <w:rPr>
          <w:color w:val="000000"/>
        </w:rPr>
      </w:pPr>
      <w:r>
        <w:rPr>
          <w:color w:val="000000"/>
        </w:rPr>
        <w:t xml:space="preserve">Rekommendationerna och yttrandena baseras på de allmänna riktlinjerna för den ekonomiska politiken och sysselsättningsriktlinjerna samt ländernas nationella reformprogram och stabilitets- eller konvergensprogram. Rådet antar även en rekommendation som riktar sig till de medlemsstater som har euron som valuta. Endast euroländer har rösträtt avseende denna rekommendation. </w:t>
      </w:r>
    </w:p>
    <w:p w:rsidR="00CE4902" w:rsidRDefault="00CE4902" w:rsidP="00886D94">
      <w:pPr>
        <w:pStyle w:val="RKnormal"/>
        <w:spacing w:line="240" w:lineRule="auto"/>
        <w:rPr>
          <w:color w:val="000000"/>
        </w:rPr>
      </w:pPr>
    </w:p>
    <w:p w:rsidR="00CE4902" w:rsidRPr="00495864" w:rsidRDefault="00CE4902" w:rsidP="00886D94">
      <w:pPr>
        <w:pStyle w:val="RKnormal"/>
        <w:spacing w:line="240" w:lineRule="auto"/>
        <w:rPr>
          <w:color w:val="000000"/>
        </w:rPr>
      </w:pPr>
      <w:r w:rsidRPr="00495864">
        <w:rPr>
          <w:color w:val="000000"/>
        </w:rPr>
        <w:t xml:space="preserve">Rekommendationerna </w:t>
      </w:r>
      <w:r>
        <w:rPr>
          <w:color w:val="000000"/>
        </w:rPr>
        <w:t>ska behandlas av EPSCO-rådet (de delar som rör sysselsättningsriktlinjerna) och Ekofinrådet (de delar som rör de allmänna riktlinjerna för den ekonomiska politiken)</w:t>
      </w:r>
      <w:r w:rsidRPr="00495864">
        <w:rPr>
          <w:color w:val="000000"/>
        </w:rPr>
        <w:t xml:space="preserve"> </w:t>
      </w:r>
      <w:r>
        <w:rPr>
          <w:color w:val="000000"/>
        </w:rPr>
        <w:t xml:space="preserve">godkännas </w:t>
      </w:r>
      <w:r w:rsidRPr="00495864">
        <w:rPr>
          <w:color w:val="000000"/>
        </w:rPr>
        <w:t xml:space="preserve">vid Europeiska rådet den 28-29 juni och slutligen antas av rådet i juli. </w:t>
      </w:r>
    </w:p>
    <w:p w:rsidR="00CE4902" w:rsidRPr="00886D94" w:rsidRDefault="00CE4902" w:rsidP="00005077">
      <w:pPr>
        <w:rPr>
          <w:color w:val="000000"/>
        </w:rPr>
      </w:pPr>
    </w:p>
    <w:p w:rsidR="00CE4902" w:rsidRPr="00886D94" w:rsidRDefault="00CE4902" w:rsidP="00886D94">
      <w:pPr>
        <w:rPr>
          <w:color w:val="000000"/>
        </w:rPr>
      </w:pPr>
      <w:r w:rsidRPr="00886D94">
        <w:rPr>
          <w:color w:val="000000"/>
        </w:rPr>
        <w:t xml:space="preserve">Sverige har ställt sig bakom EU:s regler för den ekonomisk-politiska samordningen, där det bland annat framgår att medlemsstaterna ska betrakta den ekonomiska politiken som en fråga av gemensamt intresse och samordna denna inom rådet.  </w:t>
      </w:r>
    </w:p>
    <w:p w:rsidR="00CE4902" w:rsidRDefault="00CE4902" w:rsidP="00886D94">
      <w:pPr>
        <w:rPr>
          <w:color w:val="000000"/>
        </w:rPr>
      </w:pPr>
    </w:p>
    <w:p w:rsidR="00CE4902" w:rsidRPr="00886D94" w:rsidRDefault="00CE4902" w:rsidP="00886D94">
      <w:pPr>
        <w:rPr>
          <w:color w:val="000000"/>
        </w:rPr>
      </w:pPr>
      <w:r w:rsidRPr="00886D94">
        <w:rPr>
          <w:color w:val="000000"/>
        </w:rPr>
        <w:t xml:space="preserve">Inom ramen för den ekonomisk-politiska samordningen riktas rekommendationer till medlemsstaterna. </w:t>
      </w:r>
      <w:r>
        <w:rPr>
          <w:color w:val="000000"/>
        </w:rPr>
        <w:t>Regeringen</w:t>
      </w:r>
      <w:r w:rsidRPr="00886D94">
        <w:rPr>
          <w:color w:val="000000"/>
        </w:rPr>
        <w:t xml:space="preserve"> ser rekommendationerna som ett instrument för att uppmuntra till en ansvarfull ekonomisk politik och uppfyllelse av de mål som sätts upp inom ramen för samordningen av den ekonomiska politiken. Rekommendationerna ska samtidigt respektera nationell praxis och de nationella systemen för lönebildning.</w:t>
      </w:r>
    </w:p>
    <w:p w:rsidR="00CE4902" w:rsidRDefault="00CE4902" w:rsidP="00886D94">
      <w:pPr>
        <w:rPr>
          <w:color w:val="000000"/>
        </w:rPr>
      </w:pPr>
    </w:p>
    <w:p w:rsidR="00CE4902" w:rsidRPr="00886D94" w:rsidRDefault="00CE4902" w:rsidP="00886D94">
      <w:pPr>
        <w:rPr>
          <w:color w:val="000000"/>
        </w:rPr>
      </w:pPr>
      <w:r w:rsidRPr="00886D94">
        <w:rPr>
          <w:color w:val="000000"/>
        </w:rPr>
        <w:t>En rekommendation är en uppmaning till lämplig handling och är inte bindande. Vad som är lämplig handling är ett politiskt vägval och det är parlamenten i varje medlemsstat som ytterst beslutar om utformningen av den nationella ekonomiska politiken. I Sverige är det riksdagen som avgör detta.</w:t>
      </w:r>
    </w:p>
    <w:p w:rsidR="00CE4902" w:rsidRDefault="00CE4902" w:rsidP="00886D94">
      <w:pPr>
        <w:rPr>
          <w:color w:val="000000"/>
        </w:rPr>
      </w:pPr>
    </w:p>
    <w:p w:rsidR="00CE4902" w:rsidRPr="00886D94" w:rsidRDefault="00CE4902" w:rsidP="00886D94">
      <w:pPr>
        <w:rPr>
          <w:color w:val="000000"/>
        </w:rPr>
      </w:pPr>
      <w:r w:rsidRPr="00886D94">
        <w:rPr>
          <w:color w:val="000000"/>
        </w:rPr>
        <w:t>Samarbete och granskning av den ekonomiska politiken förekommer inte bara i EU utan även i IMF och OECD samt nationellt genom t.ex. Riksrevisionen och Finanspolitiska rådet. Sverige har under många år deltagit i och uppmuntrat till nationell och internationell granskning och samarbete med denna inriktning, med syftet att utbyta erfarenheter och i icke bindande former lämna synpunkter på den ekonomiska politiken.</w:t>
      </w:r>
    </w:p>
    <w:p w:rsidR="00CE4902" w:rsidRDefault="00CE4902" w:rsidP="00886D94">
      <w:pPr>
        <w:rPr>
          <w:color w:val="000000"/>
        </w:rPr>
      </w:pPr>
    </w:p>
    <w:p w:rsidR="00CE4902" w:rsidRPr="00886D94" w:rsidRDefault="00CE4902" w:rsidP="00886D94">
      <w:pPr>
        <w:rPr>
          <w:color w:val="000000"/>
        </w:rPr>
      </w:pPr>
      <w:r w:rsidRPr="00886D94">
        <w:rPr>
          <w:color w:val="000000"/>
        </w:rPr>
        <w:t>Regeringen ställer sig bakom att rekommendationer läggs fram till andra medlemsländer utan att ta ställning till enskilda rekommendationer i sak.</w:t>
      </w:r>
    </w:p>
    <w:p w:rsidR="00CE4902" w:rsidRPr="003525C1" w:rsidRDefault="00CE4902" w:rsidP="007F10CC">
      <w:pPr>
        <w:pStyle w:val="Heading2"/>
        <w:ind w:left="1134" w:hanging="1134"/>
        <w:rPr>
          <w:i/>
        </w:rPr>
      </w:pPr>
      <w:r w:rsidRPr="003525C1">
        <w:rPr>
          <w:i/>
        </w:rPr>
        <w:t>9.</w:t>
      </w:r>
      <w:r>
        <w:rPr>
          <w:i/>
        </w:rPr>
        <w:t xml:space="preserve"> </w:t>
      </w:r>
      <w:r w:rsidRPr="003525C1">
        <w:rPr>
          <w:i/>
        </w:rPr>
        <w:t>Genomförande av stabilitets- och tillväxtpakten</w:t>
      </w:r>
    </w:p>
    <w:p w:rsidR="00CE4902" w:rsidRPr="00451C5D" w:rsidRDefault="00CE4902" w:rsidP="007F10CC">
      <w:pPr>
        <w:pStyle w:val="Heading2"/>
        <w:ind w:left="1134" w:hanging="1134"/>
      </w:pPr>
      <w:r>
        <w:t>9 (a)</w:t>
      </w:r>
      <w:r w:rsidRPr="0008297A">
        <w:t>.</w:t>
      </w:r>
      <w:r w:rsidRPr="0008297A">
        <w:tab/>
      </w:r>
      <w:r>
        <w:t>B</w:t>
      </w:r>
      <w:r w:rsidRPr="007F10CC">
        <w:t xml:space="preserve">eslut om upphävande av </w:t>
      </w:r>
      <w:r>
        <w:t>underskottsförfarande</w:t>
      </w:r>
    </w:p>
    <w:p w:rsidR="00CE4902" w:rsidRDefault="00CE4902" w:rsidP="007F10CC">
      <w:pPr>
        <w:pStyle w:val="Heading4"/>
      </w:pPr>
      <w:r w:rsidRPr="00451C5D">
        <w:tab/>
        <w:t xml:space="preserve">- </w:t>
      </w:r>
      <w:r>
        <w:t>Antagande</w:t>
      </w:r>
    </w:p>
    <w:p w:rsidR="00CE4902" w:rsidRDefault="00CE4902" w:rsidP="003525C1">
      <w:r>
        <w:t>Rådet ska ta ställning ett beslut om att avbryta underskottsförfarandet mot Bulgarien och Tyskland. Beslutet tas med kvalificerad majoritet, när det gäller beslutet om Tyskland har endast euroländer rösträtt.</w:t>
      </w:r>
    </w:p>
    <w:p w:rsidR="00CE4902" w:rsidRDefault="00CE4902" w:rsidP="003525C1"/>
    <w:p w:rsidR="00CE4902" w:rsidRDefault="00CE4902" w:rsidP="003525C1">
      <w:r>
        <w:t>K</w:t>
      </w:r>
      <w:r w:rsidRPr="00891E17">
        <w:t xml:space="preserve">ommissionen </w:t>
      </w:r>
      <w:r>
        <w:t>bedömde i sin vårprognos att Bulgariens och Tysklands budgetunderskott hade korrigerats på ett hållbart sätt så att underskottsförfarandet för de båda länderna kunde avbrytas i enlighet med artikel 126(12) i fördraget.</w:t>
      </w:r>
      <w:r w:rsidRPr="003F12E5">
        <w:t xml:space="preserve"> </w:t>
      </w:r>
    </w:p>
    <w:p w:rsidR="00CE4902" w:rsidRDefault="00CE4902" w:rsidP="003525C1"/>
    <w:p w:rsidR="00CE4902" w:rsidRDefault="00CE4902" w:rsidP="003525C1">
      <w:r>
        <w:t>Rådet beslutade i juli 2010 att ett alltför stort underskott förelåg i Bulgarien. I mars 2012 notifierade Bulgarien att underskottet låg under 2,2 procent av BNP 2011. Detta bekräftades av Eurostat i april 2012. Vidare visar kommissionens vårprognos att underskottet på ett hållbart sätt kommer att ligga under 3 procent av BNP. Bulgarien har också en låg skuldkvot.</w:t>
      </w:r>
    </w:p>
    <w:p w:rsidR="00CE4902" w:rsidRDefault="00CE4902" w:rsidP="003525C1"/>
    <w:p w:rsidR="00CE4902" w:rsidRDefault="00CE4902" w:rsidP="003525C1">
      <w:r>
        <w:t>Rådet beslutade i december 2009 att ett alltför stort underskott existerade i Tyskland. I mars notifierade Tysklands att underskottet var 1 procent av BNP 2011. Detta bekräftades också av Eurostat och kommissionens vårprognos visade att underskottet på ett hållbart sätt framöver kommer att ligga under 3 procent av BNP.</w:t>
      </w:r>
    </w:p>
    <w:p w:rsidR="00CE4902" w:rsidRDefault="00CE4902" w:rsidP="003525C1"/>
    <w:p w:rsidR="00CE4902" w:rsidRDefault="00CE4902" w:rsidP="003525C1">
      <w:pPr>
        <w:pStyle w:val="RKnormal"/>
      </w:pPr>
      <w:r>
        <w:t>Regeringen stödjer förslaget att avbryta underskottsförfarandet för Bulgarien oc</w:t>
      </w:r>
      <w:bookmarkStart w:id="1" w:name="_GoBack"/>
      <w:bookmarkEnd w:id="1"/>
      <w:r>
        <w:t>h Tyskland.</w:t>
      </w:r>
    </w:p>
    <w:p w:rsidR="00CE4902" w:rsidRPr="00451C5D" w:rsidRDefault="00CE4902" w:rsidP="007F10CC">
      <w:pPr>
        <w:pStyle w:val="Heading2"/>
        <w:ind w:left="1134" w:hanging="1134"/>
      </w:pPr>
      <w:r>
        <w:t>9 (b)</w:t>
      </w:r>
      <w:r w:rsidRPr="0008297A">
        <w:t>.</w:t>
      </w:r>
      <w:r w:rsidRPr="0008297A">
        <w:tab/>
      </w:r>
      <w:r>
        <w:t>B</w:t>
      </w:r>
      <w:r w:rsidRPr="007F10CC">
        <w:t xml:space="preserve">eslut om upphävande av </w:t>
      </w:r>
      <w:r>
        <w:t>indragning av sammanhållningsfondens åtagande mot Ungern</w:t>
      </w:r>
    </w:p>
    <w:p w:rsidR="00CE4902" w:rsidRDefault="00CE4902" w:rsidP="007F10CC">
      <w:pPr>
        <w:pStyle w:val="Heading4"/>
      </w:pPr>
      <w:r w:rsidRPr="00451C5D">
        <w:tab/>
        <w:t xml:space="preserve">- </w:t>
      </w:r>
      <w:r>
        <w:t>Antagande</w:t>
      </w:r>
    </w:p>
    <w:p w:rsidR="00CE4902" w:rsidRDefault="00CE4902" w:rsidP="003525C1">
      <w:r>
        <w:t>Rådet ska ta ställning om ett beslut om att upphäva indragningen av sammanhållningens åtaganden mot Ungern.</w:t>
      </w:r>
    </w:p>
    <w:p w:rsidR="00CE4902" w:rsidRDefault="00CE4902" w:rsidP="003525C1"/>
    <w:p w:rsidR="00CE4902" w:rsidRDefault="00CE4902" w:rsidP="003525C1">
      <w:r>
        <w:t xml:space="preserve">Vid Ekofinrådets möte den 13 mars 2012 fattades beslut om att suspendera åtaganden i sammanhållningsfonden för Ungern från 1 januari 2013 eftersom det bedömdes att Ungern inte vidtagit tillräckliga åtgärder för att korrigera sitt alltför stora underskott. </w:t>
      </w:r>
    </w:p>
    <w:p w:rsidR="00CE4902" w:rsidRDefault="00CE4902" w:rsidP="003525C1"/>
    <w:p w:rsidR="00CE4902" w:rsidRDefault="00CE4902" w:rsidP="003525C1">
      <w:r w:rsidRPr="00005B84">
        <w:t>K</w:t>
      </w:r>
      <w:r>
        <w:t>ommissionen föreslår att rådet ska upphäva beslutet om suspendering</w:t>
      </w:r>
      <w:r w:rsidRPr="00005B84">
        <w:t xml:space="preserve"> av åtaganden, efter att ha dragit slutsatsen att Ungern har vidtagit nödvändiga åtgärder </w:t>
      </w:r>
      <w:r>
        <w:t xml:space="preserve">för att korrigera sitt alltför stora underskott i linje med rådets rekommendation från i mars. </w:t>
      </w:r>
    </w:p>
    <w:p w:rsidR="00CE4902" w:rsidRDefault="00CE4902" w:rsidP="003525C1"/>
    <w:p w:rsidR="00CE4902" w:rsidRDefault="00CE4902" w:rsidP="003525C1">
      <w:r>
        <w:t>Kommissionen rekommenderar däremot inte att avbryta underskottsförfarandet för Ungern med motiveringen att underskottet ännu ligger nära 3 % av BNP och att de förbättrade offentliga finanserna till stor del beror av engångsåtgärder. Ungerns offentliga finanser ska även fortsättningsvis övervakas noga.</w:t>
      </w:r>
    </w:p>
    <w:p w:rsidR="00CE4902" w:rsidRDefault="00CE4902" w:rsidP="003525C1"/>
    <w:p w:rsidR="00CE4902" w:rsidRPr="00005B84" w:rsidRDefault="00CE4902" w:rsidP="003525C1">
      <w:r>
        <w:t xml:space="preserve">Regeringen avser att återkommer med sin ståndpunkt vid senare tidpunkt. </w:t>
      </w:r>
    </w:p>
    <w:p w:rsidR="00CE4902" w:rsidRPr="00451C5D" w:rsidRDefault="00CE4902" w:rsidP="007F10CC">
      <w:pPr>
        <w:pStyle w:val="Heading2"/>
      </w:pPr>
      <w:r>
        <w:t>10</w:t>
      </w:r>
      <w:r w:rsidRPr="0008297A">
        <w:t>.</w:t>
      </w:r>
      <w:r w:rsidRPr="0008297A">
        <w:tab/>
      </w:r>
      <w:r>
        <w:t>Konvergensrapport från kommissionen och ECB</w:t>
      </w:r>
      <w:r w:rsidRPr="0008297A">
        <w:rPr>
          <w:i/>
        </w:rPr>
        <w:t xml:space="preserve"> </w:t>
      </w:r>
    </w:p>
    <w:p w:rsidR="00CE4902" w:rsidRDefault="00CE4902" w:rsidP="007F10CC">
      <w:pPr>
        <w:pStyle w:val="Heading4"/>
      </w:pPr>
      <w:r w:rsidRPr="00451C5D">
        <w:tab/>
        <w:t xml:space="preserve">- </w:t>
      </w:r>
      <w:r>
        <w:t>Diskussion</w:t>
      </w:r>
    </w:p>
    <w:p w:rsidR="00CE4902" w:rsidRDefault="00CE4902" w:rsidP="003525C1">
      <w:pPr>
        <w:pStyle w:val="RKnormal"/>
      </w:pPr>
      <w:r>
        <w:t>Rådet ska diskutera konvergensrapporterna för 2012, framtagna av ECB och kommissionen.</w:t>
      </w:r>
    </w:p>
    <w:p w:rsidR="00CE4902" w:rsidRDefault="00CE4902" w:rsidP="003525C1">
      <w:pPr>
        <w:pStyle w:val="RKnormal"/>
      </w:pPr>
    </w:p>
    <w:p w:rsidR="00CE4902" w:rsidRPr="00425952" w:rsidRDefault="00CE4902" w:rsidP="003525C1">
      <w:pPr>
        <w:pStyle w:val="RKnormal"/>
        <w:spacing w:line="240" w:lineRule="auto"/>
        <w:rPr>
          <w:color w:val="000000"/>
        </w:rPr>
      </w:pPr>
      <w:r>
        <w:rPr>
          <w:color w:val="000000"/>
        </w:rPr>
        <w:t>Minst vartannat år ska kommissionen och ECB presentera varsin konvergensrapport och rapportera till rådet hur medlemsstaterna med undantag från att införa euron som valuta uppfyller konvergenskraven. De länder som har undantag 2012 är Bulgarien, Lettland, Litauen, Polen, Rumänien, Sverige, Tjeckien</w:t>
      </w:r>
      <w:r w:rsidRPr="00073510">
        <w:rPr>
          <w:color w:val="000000"/>
        </w:rPr>
        <w:t xml:space="preserve"> </w:t>
      </w:r>
      <w:r>
        <w:rPr>
          <w:color w:val="000000"/>
        </w:rPr>
        <w:t>och Ungern. Danmark och UK prövas inte.</w:t>
      </w:r>
    </w:p>
    <w:p w:rsidR="00CE4902" w:rsidRDefault="00CE4902" w:rsidP="003525C1">
      <w:pPr>
        <w:pStyle w:val="RKnormal"/>
        <w:spacing w:line="240" w:lineRule="auto"/>
        <w:rPr>
          <w:color w:val="000000"/>
        </w:rPr>
      </w:pPr>
    </w:p>
    <w:p w:rsidR="00CE4902" w:rsidRDefault="00CE4902" w:rsidP="003525C1">
      <w:pPr>
        <w:pStyle w:val="RKnormal"/>
      </w:pPr>
      <w:r>
        <w:rPr>
          <w:rFonts w:cs="Helv"/>
          <w:color w:val="000000"/>
          <w:szCs w:val="24"/>
          <w:lang w:eastAsia="sv-SE"/>
        </w:rPr>
        <w:t xml:space="preserve">De ekonomiska kriterier som ska prövas är </w:t>
      </w:r>
      <w:r>
        <w:t>prisstabilitet, sunda offentliga finanser, växelkurs</w:t>
      </w:r>
      <w:r>
        <w:softHyphen/>
        <w:t>stabilitet samt att den långa räntan inte avviker alltför mycket från räntan i euro</w:t>
      </w:r>
      <w:r>
        <w:softHyphen/>
        <w:t xml:space="preserve">länderna. Rapporterna tittar också på om medlemsstaternas nationella lagstiftning </w:t>
      </w:r>
      <w:r w:rsidRPr="00A81B0E">
        <w:t>överens</w:t>
      </w:r>
      <w:r>
        <w:softHyphen/>
      </w:r>
      <w:r w:rsidRPr="00A81B0E">
        <w:t xml:space="preserve">stämmer med </w:t>
      </w:r>
      <w:r>
        <w:t>EU-</w:t>
      </w:r>
      <w:r w:rsidRPr="00A81B0E">
        <w:t>rätten</w:t>
      </w:r>
      <w:r>
        <w:t xml:space="preserve">. Först när en medlemsstat uppfyller konvergenskraven kan rådet fatta beslut om att upphäva undantaget från euron. </w:t>
      </w:r>
    </w:p>
    <w:p w:rsidR="00CE4902" w:rsidRDefault="00CE4902" w:rsidP="003525C1">
      <w:pPr>
        <w:pStyle w:val="RKnormal"/>
      </w:pPr>
    </w:p>
    <w:p w:rsidR="00CE4902" w:rsidRDefault="00CE4902" w:rsidP="003525C1">
      <w:pPr>
        <w:pStyle w:val="RKnormal"/>
      </w:pPr>
      <w:r>
        <w:t xml:space="preserve">I konvergensrapporterna för 2012 uppfyller ingen av de åtta medlemsstaterna samtliga konvergenskrav. </w:t>
      </w:r>
    </w:p>
    <w:p w:rsidR="00CE4902" w:rsidRDefault="00CE4902" w:rsidP="003525C1">
      <w:pPr>
        <w:pStyle w:val="RKnormal"/>
        <w:spacing w:line="240" w:lineRule="auto"/>
        <w:rPr>
          <w:color w:val="000000"/>
        </w:rPr>
      </w:pPr>
    </w:p>
    <w:p w:rsidR="00CE4902" w:rsidRPr="003525C1" w:rsidRDefault="00CE4902" w:rsidP="003525C1">
      <w:pPr>
        <w:pStyle w:val="RKnormal"/>
      </w:pPr>
      <w:r>
        <w:rPr>
          <w:color w:val="000000"/>
        </w:rPr>
        <w:t xml:space="preserve">Sverige uppfyller kriterierna för </w:t>
      </w:r>
      <w:r>
        <w:t>prisstabilitet, sunda offentliga finanser och den långa räntan. Dock uppfyller Sverige inte kriterierna för växelkursstabilitet samt överensstämmande nationell lagstiftning.</w:t>
      </w:r>
    </w:p>
    <w:p w:rsidR="00CE4902" w:rsidRPr="00451C5D" w:rsidRDefault="00CE4902" w:rsidP="007F10CC">
      <w:pPr>
        <w:pStyle w:val="Heading2"/>
      </w:pPr>
      <w:r>
        <w:t>11</w:t>
      </w:r>
      <w:r w:rsidRPr="0008297A">
        <w:t>.</w:t>
      </w:r>
      <w:r w:rsidRPr="0008297A">
        <w:tab/>
      </w:r>
      <w:r>
        <w:t>Uppföljning av G20-mötet 18-19 juni 2012</w:t>
      </w:r>
    </w:p>
    <w:p w:rsidR="00CE4902" w:rsidRPr="00451C5D" w:rsidRDefault="00CE4902" w:rsidP="007F10CC">
      <w:pPr>
        <w:pStyle w:val="Heading4"/>
      </w:pPr>
      <w:r w:rsidRPr="00451C5D">
        <w:tab/>
        <w:t xml:space="preserve">- </w:t>
      </w:r>
      <w:r>
        <w:t>Information från kommissionen</w:t>
      </w:r>
    </w:p>
    <w:p w:rsidR="00CE4902" w:rsidRDefault="00CE4902" w:rsidP="00886D94">
      <w:pPr>
        <w:keepNext/>
      </w:pPr>
      <w:r>
        <w:t>Kommissionen förväntas avrapportera från G20:s toppmöte i Mexiko den 18-19 juni.</w:t>
      </w:r>
    </w:p>
    <w:p w:rsidR="00CE4902" w:rsidRDefault="00CE4902" w:rsidP="00886D94">
      <w:pPr>
        <w:keepNext/>
      </w:pPr>
      <w:r>
        <w:t> </w:t>
      </w:r>
    </w:p>
    <w:p w:rsidR="00CE4902" w:rsidRDefault="00CE4902" w:rsidP="00886D94">
      <w:r>
        <w:t>Vid G20-mötet väntas läget i den globala ekonomin diskuteras, i synnerhet i de europeiska krisekonomierna. G20-länderna kommer också utvärdera implementeringen av tidigare åtaganden inom finansmarknadsreglering och G20:s tillväxtramverk. Andra frågor på dagordningen är grön tillväxt, råvarupriser och IMF:s styrning.</w:t>
      </w:r>
    </w:p>
    <w:p w:rsidR="00CE4902" w:rsidRPr="007F10CC" w:rsidRDefault="00CE4902" w:rsidP="007F10CC">
      <w:pPr>
        <w:pStyle w:val="Heading2"/>
      </w:pPr>
      <w:r w:rsidRPr="007F10CC">
        <w:t>12.</w:t>
      </w:r>
      <w:r w:rsidRPr="007F10CC">
        <w:tab/>
      </w:r>
      <w:r w:rsidRPr="007F10CC">
        <w:tab/>
        <w:t xml:space="preserve">(ev.) Övriga frågor </w:t>
      </w:r>
    </w:p>
    <w:p w:rsidR="00CE4902" w:rsidRDefault="00CE4902" w:rsidP="007F10CC">
      <w:pPr>
        <w:pStyle w:val="RKnormal"/>
        <w:rPr>
          <w:rFonts w:cs="OrigGarmnd BT"/>
          <w:color w:val="000000"/>
          <w:szCs w:val="24"/>
          <w:lang w:eastAsia="sv-SE"/>
        </w:rPr>
      </w:pPr>
    </w:p>
    <w:p w:rsidR="00CE4902" w:rsidRPr="00005077" w:rsidRDefault="00CE4902" w:rsidP="007F10CC">
      <w:pPr>
        <w:pStyle w:val="RKnormal"/>
      </w:pPr>
      <w:r w:rsidRPr="00451C5D">
        <w:rPr>
          <w:rFonts w:cs="OrigGarmnd BT"/>
          <w:color w:val="000000"/>
          <w:szCs w:val="24"/>
          <w:lang w:eastAsia="sv-SE"/>
        </w:rPr>
        <w:t>De</w:t>
      </w:r>
      <w:r>
        <w:rPr>
          <w:rFonts w:cs="OrigGarmnd BT"/>
          <w:color w:val="000000"/>
          <w:szCs w:val="24"/>
          <w:lang w:eastAsia="sv-SE"/>
        </w:rPr>
        <w:t>t</w:t>
      </w:r>
      <w:r w:rsidRPr="00451C5D">
        <w:rPr>
          <w:rFonts w:cs="OrigGarmnd BT"/>
          <w:color w:val="000000"/>
          <w:szCs w:val="24"/>
          <w:lang w:eastAsia="sv-SE"/>
        </w:rPr>
        <w:t xml:space="preserve"> </w:t>
      </w:r>
      <w:r>
        <w:rPr>
          <w:rFonts w:cs="OrigGarmnd BT"/>
          <w:color w:val="000000"/>
          <w:szCs w:val="24"/>
          <w:lang w:eastAsia="sv-SE"/>
        </w:rPr>
        <w:t xml:space="preserve">har </w:t>
      </w:r>
      <w:r w:rsidRPr="00451C5D">
        <w:rPr>
          <w:rFonts w:cs="OrigGarmnd BT"/>
          <w:color w:val="000000"/>
          <w:szCs w:val="24"/>
          <w:lang w:eastAsia="sv-SE"/>
        </w:rPr>
        <w:t>i skrivande stund in</w:t>
      </w:r>
      <w:r>
        <w:rPr>
          <w:rFonts w:cs="OrigGarmnd BT"/>
          <w:color w:val="000000"/>
          <w:szCs w:val="24"/>
          <w:lang w:eastAsia="sv-SE"/>
        </w:rPr>
        <w:t>te presenterats några övriga ärenden.</w:t>
      </w:r>
    </w:p>
    <w:p w:rsidR="00CE4902" w:rsidRPr="007F10CC" w:rsidRDefault="00CE4902" w:rsidP="007F10CC">
      <w:pPr>
        <w:pStyle w:val="Heading2"/>
        <w:rPr>
          <w:u w:val="single"/>
        </w:rPr>
      </w:pPr>
      <w:r w:rsidRPr="007F10CC">
        <w:rPr>
          <w:u w:val="single"/>
        </w:rPr>
        <w:t>Lagstiftningsöverläggningar</w:t>
      </w:r>
    </w:p>
    <w:p w:rsidR="00CE4902" w:rsidRPr="00451C5D" w:rsidRDefault="00CE4902" w:rsidP="00B40850">
      <w:pPr>
        <w:pStyle w:val="Heading2"/>
      </w:pPr>
      <w:r>
        <w:t>13</w:t>
      </w:r>
      <w:r w:rsidRPr="0008297A">
        <w:t>.</w:t>
      </w:r>
      <w:r>
        <w:tab/>
      </w:r>
      <w:r>
        <w:tab/>
        <w:t>(ev.) Övriga frågor</w:t>
      </w:r>
      <w:r w:rsidRPr="0008297A">
        <w:rPr>
          <w:i/>
        </w:rPr>
        <w:tab/>
      </w:r>
      <w:r w:rsidRPr="0008297A">
        <w:rPr>
          <w:i/>
        </w:rPr>
        <w:tab/>
        <w:t xml:space="preserve">    </w:t>
      </w:r>
    </w:p>
    <w:p w:rsidR="00CE4902" w:rsidRPr="00451C5D" w:rsidRDefault="00CE4902" w:rsidP="00B40850">
      <w:pPr>
        <w:pStyle w:val="Heading4"/>
      </w:pPr>
      <w:r w:rsidRPr="00451C5D">
        <w:tab/>
      </w:r>
      <w:r w:rsidRPr="00451C5D">
        <w:tab/>
        <w:t xml:space="preserve">- </w:t>
      </w:r>
      <w:r>
        <w:t>kommissionens presentation</w:t>
      </w:r>
    </w:p>
    <w:p w:rsidR="00CE4902" w:rsidRPr="00BE618E" w:rsidRDefault="00CE4902" w:rsidP="007F10CC">
      <w:pPr>
        <w:keepNext/>
        <w:keepLines/>
      </w:pPr>
      <w:r>
        <w:t>Ordförandeskapet kommer eventuellt att informera om förhandlingarna kring några aktuella lagstiftningsförslag. Ordförandeskapet har klargjort att s</w:t>
      </w:r>
      <w:r w:rsidRPr="00BE618E">
        <w:t xml:space="preserve">yftet </w:t>
      </w:r>
      <w:r>
        <w:t xml:space="preserve">är </w:t>
      </w:r>
      <w:r w:rsidRPr="00BE618E">
        <w:t xml:space="preserve">att följa upp beslut som fattats av ministrarna – i en allmän inriktning - och som sedan blivit föremål för förhandlingar med </w:t>
      </w:r>
      <w:r>
        <w:t>Europaparlamentet</w:t>
      </w:r>
      <w:r w:rsidRPr="00BE618E">
        <w:t xml:space="preserve">.  </w:t>
      </w:r>
    </w:p>
    <w:p w:rsidR="00CE4902" w:rsidRDefault="00CE4902">
      <w:pPr>
        <w:pStyle w:val="RKnormal"/>
      </w:pPr>
    </w:p>
    <w:sectPr w:rsidR="00CE4902"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902" w:rsidRDefault="00CE4902">
      <w:r>
        <w:separator/>
      </w:r>
    </w:p>
  </w:endnote>
  <w:endnote w:type="continuationSeparator" w:id="0">
    <w:p w:rsidR="00CE4902" w:rsidRDefault="00CE49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902" w:rsidRDefault="00CE4902">
      <w:r>
        <w:separator/>
      </w:r>
    </w:p>
  </w:footnote>
  <w:footnote w:type="continuationSeparator" w:id="0">
    <w:p w:rsidR="00CE4902" w:rsidRDefault="00CE4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902" w:rsidRDefault="00CE4902"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W w:w="0" w:type="auto"/>
      <w:tblInd w:w="-1168" w:type="dxa"/>
      <w:tblLook w:val="0000"/>
    </w:tblPr>
    <w:tblGrid>
      <w:gridCol w:w="3119"/>
      <w:gridCol w:w="4111"/>
      <w:gridCol w:w="1525"/>
    </w:tblGrid>
    <w:tr w:rsidR="00CE4902">
      <w:trPr>
        <w:cantSplit/>
      </w:trPr>
      <w:tc>
        <w:tcPr>
          <w:tcW w:w="3119" w:type="dxa"/>
        </w:tcPr>
        <w:p w:rsidR="00CE4902" w:rsidRDefault="00CE4902" w:rsidP="00005077">
          <w:pPr>
            <w:pStyle w:val="Header"/>
            <w:spacing w:line="200" w:lineRule="atLeast"/>
            <w:ind w:right="360" w:firstLine="360"/>
            <w:rPr>
              <w:rFonts w:ascii="TradeGothic" w:hAnsi="TradeGothic"/>
              <w:b/>
              <w:bCs/>
              <w:sz w:val="16"/>
            </w:rPr>
          </w:pPr>
        </w:p>
      </w:tc>
      <w:tc>
        <w:tcPr>
          <w:tcW w:w="4111" w:type="dxa"/>
          <w:tcMar>
            <w:left w:w="567" w:type="dxa"/>
          </w:tcMar>
        </w:tcPr>
        <w:p w:rsidR="00CE4902" w:rsidRDefault="00CE4902">
          <w:pPr>
            <w:pStyle w:val="Header"/>
            <w:ind w:right="360"/>
          </w:pPr>
        </w:p>
      </w:tc>
      <w:tc>
        <w:tcPr>
          <w:tcW w:w="1525" w:type="dxa"/>
        </w:tcPr>
        <w:p w:rsidR="00CE4902" w:rsidRDefault="00CE4902">
          <w:pPr>
            <w:pStyle w:val="Header"/>
            <w:ind w:right="360"/>
          </w:pPr>
        </w:p>
      </w:tc>
    </w:tr>
  </w:tbl>
  <w:p w:rsidR="00CE4902" w:rsidRDefault="00CE490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902" w:rsidRDefault="00CE4902"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tbl>
    <w:tblPr>
      <w:tblW w:w="0" w:type="auto"/>
      <w:tblInd w:w="-1168" w:type="dxa"/>
      <w:tblLook w:val="0000"/>
    </w:tblPr>
    <w:tblGrid>
      <w:gridCol w:w="3119"/>
      <w:gridCol w:w="4111"/>
      <w:gridCol w:w="1525"/>
    </w:tblGrid>
    <w:tr w:rsidR="00CE4902">
      <w:trPr>
        <w:cantSplit/>
      </w:trPr>
      <w:tc>
        <w:tcPr>
          <w:tcW w:w="3119" w:type="dxa"/>
        </w:tcPr>
        <w:p w:rsidR="00CE4902" w:rsidRDefault="00CE4902" w:rsidP="00005077">
          <w:pPr>
            <w:pStyle w:val="Header"/>
            <w:spacing w:line="200" w:lineRule="atLeast"/>
            <w:ind w:right="360" w:firstLine="360"/>
            <w:rPr>
              <w:rFonts w:ascii="TradeGothic" w:hAnsi="TradeGothic"/>
              <w:b/>
              <w:bCs/>
              <w:sz w:val="16"/>
            </w:rPr>
          </w:pPr>
        </w:p>
      </w:tc>
      <w:tc>
        <w:tcPr>
          <w:tcW w:w="4111" w:type="dxa"/>
          <w:tcMar>
            <w:left w:w="567" w:type="dxa"/>
          </w:tcMar>
        </w:tcPr>
        <w:p w:rsidR="00CE4902" w:rsidRDefault="00CE4902">
          <w:pPr>
            <w:pStyle w:val="Header"/>
            <w:ind w:right="360"/>
          </w:pPr>
        </w:p>
      </w:tc>
      <w:tc>
        <w:tcPr>
          <w:tcW w:w="1525" w:type="dxa"/>
        </w:tcPr>
        <w:p w:rsidR="00CE4902" w:rsidRDefault="00CE4902">
          <w:pPr>
            <w:pStyle w:val="Header"/>
            <w:ind w:right="360"/>
          </w:pPr>
        </w:p>
      </w:tc>
    </w:tr>
  </w:tbl>
  <w:p w:rsidR="00CE4902" w:rsidRDefault="00CE490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902" w:rsidRDefault="00CE4902">
    <w:pPr>
      <w:framePr w:w="2948" w:h="1321" w:hRule="exact" w:wrap="notBeside" w:vAnchor="page" w:hAnchor="page" w:x="1362" w:y="653"/>
    </w:pPr>
    <w:r w:rsidRPr="008D73C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CE4902" w:rsidRPr="00005077" w:rsidRDefault="00CE4902">
    <w:pPr>
      <w:pStyle w:val="RKrubrik"/>
      <w:keepNext w:val="0"/>
      <w:tabs>
        <w:tab w:val="clear" w:pos="1134"/>
        <w:tab w:val="clear" w:pos="2835"/>
      </w:tabs>
      <w:spacing w:before="0" w:after="0" w:line="320" w:lineRule="atLeast"/>
      <w:rPr>
        <w:bCs/>
      </w:rPr>
    </w:pPr>
  </w:p>
  <w:p w:rsidR="00CE4902" w:rsidRPr="00005077" w:rsidRDefault="00CE4902">
    <w:pPr>
      <w:rPr>
        <w:rFonts w:ascii="TradeGothic" w:hAnsi="TradeGothic"/>
        <w:b/>
        <w:bCs/>
        <w:spacing w:val="12"/>
        <w:sz w:val="22"/>
      </w:rPr>
    </w:pPr>
  </w:p>
  <w:p w:rsidR="00CE4902" w:rsidRPr="00005077" w:rsidRDefault="00CE4902">
    <w:pPr>
      <w:pStyle w:val="RKrubrik"/>
      <w:keepNext w:val="0"/>
      <w:tabs>
        <w:tab w:val="clear" w:pos="1134"/>
        <w:tab w:val="clear" w:pos="2835"/>
      </w:tabs>
      <w:spacing w:before="0" w:after="0" w:line="320" w:lineRule="atLeast"/>
      <w:rPr>
        <w:bCs/>
      </w:rPr>
    </w:pPr>
  </w:p>
  <w:p w:rsidR="00CE4902" w:rsidRPr="00005077" w:rsidRDefault="00CE4902">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02A6"/>
    <w:multiLevelType w:val="hybridMultilevel"/>
    <w:tmpl w:val="71C88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0743934"/>
    <w:multiLevelType w:val="hybridMultilevel"/>
    <w:tmpl w:val="77487C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0B849D6"/>
    <w:multiLevelType w:val="hybridMultilevel"/>
    <w:tmpl w:val="42B224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05B84"/>
    <w:rsid w:val="00023614"/>
    <w:rsid w:val="000249D4"/>
    <w:rsid w:val="00045EAE"/>
    <w:rsid w:val="00073510"/>
    <w:rsid w:val="0008297A"/>
    <w:rsid w:val="00106142"/>
    <w:rsid w:val="001111DB"/>
    <w:rsid w:val="00150384"/>
    <w:rsid w:val="001805B7"/>
    <w:rsid w:val="0022002D"/>
    <w:rsid w:val="00240AB6"/>
    <w:rsid w:val="003501A4"/>
    <w:rsid w:val="003525C1"/>
    <w:rsid w:val="00366260"/>
    <w:rsid w:val="003F12E5"/>
    <w:rsid w:val="00416088"/>
    <w:rsid w:val="00425952"/>
    <w:rsid w:val="00451C5D"/>
    <w:rsid w:val="00491300"/>
    <w:rsid w:val="00495864"/>
    <w:rsid w:val="004A328D"/>
    <w:rsid w:val="004B195E"/>
    <w:rsid w:val="004F176C"/>
    <w:rsid w:val="005052E8"/>
    <w:rsid w:val="0058762B"/>
    <w:rsid w:val="00685C99"/>
    <w:rsid w:val="006E4E11"/>
    <w:rsid w:val="007242A3"/>
    <w:rsid w:val="00727A57"/>
    <w:rsid w:val="007A6855"/>
    <w:rsid w:val="007B78C9"/>
    <w:rsid w:val="007F10CC"/>
    <w:rsid w:val="008446C3"/>
    <w:rsid w:val="00886D94"/>
    <w:rsid w:val="00891E17"/>
    <w:rsid w:val="008B2739"/>
    <w:rsid w:val="008D73C3"/>
    <w:rsid w:val="00981D09"/>
    <w:rsid w:val="00A26023"/>
    <w:rsid w:val="00A33BCE"/>
    <w:rsid w:val="00A81B0E"/>
    <w:rsid w:val="00B40850"/>
    <w:rsid w:val="00BE0F0A"/>
    <w:rsid w:val="00BE618E"/>
    <w:rsid w:val="00C47ECF"/>
    <w:rsid w:val="00CE4902"/>
    <w:rsid w:val="00D133D7"/>
    <w:rsid w:val="00D164C3"/>
    <w:rsid w:val="00E0614A"/>
    <w:rsid w:val="00E74CA0"/>
    <w:rsid w:val="00E95A50"/>
    <w:rsid w:val="00EA320A"/>
    <w:rsid w:val="00EC25F9"/>
    <w:rsid w:val="00ED583F"/>
    <w:rsid w:val="00EE5A76"/>
    <w:rsid w:val="00FA4E61"/>
    <w:rsid w:val="00FF706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C99"/>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685C99"/>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685C99"/>
    <w:pPr>
      <w:spacing w:after="120" w:line="240" w:lineRule="atLeast"/>
      <w:outlineLvl w:val="2"/>
    </w:pPr>
    <w:rPr>
      <w:b w:val="0"/>
    </w:rPr>
  </w:style>
  <w:style w:type="paragraph" w:styleId="Heading4">
    <w:name w:val="heading 4"/>
    <w:basedOn w:val="Heading3"/>
    <w:next w:val="RKnormal"/>
    <w:link w:val="Heading4Char"/>
    <w:uiPriority w:val="99"/>
    <w:qFormat/>
    <w:rsid w:val="003501A4"/>
    <w:pPr>
      <w:spacing w:before="120" w:after="2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1A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E71A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E71A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E71AA"/>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685C9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685C9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E71AA"/>
    <w:rPr>
      <w:rFonts w:ascii="OrigGarmnd BT" w:hAnsi="OrigGarmnd BT"/>
      <w:sz w:val="24"/>
      <w:szCs w:val="20"/>
      <w:lang w:eastAsia="en-US"/>
    </w:rPr>
  </w:style>
  <w:style w:type="paragraph" w:styleId="Header">
    <w:name w:val="header"/>
    <w:basedOn w:val="Normal"/>
    <w:link w:val="HeaderChar"/>
    <w:uiPriority w:val="99"/>
    <w:rsid w:val="00685C99"/>
    <w:pPr>
      <w:tabs>
        <w:tab w:val="center" w:pos="4153"/>
        <w:tab w:val="right" w:pos="8306"/>
      </w:tabs>
    </w:pPr>
  </w:style>
  <w:style w:type="character" w:customStyle="1" w:styleId="HeaderChar">
    <w:name w:val="Header Char"/>
    <w:basedOn w:val="DefaultParagraphFont"/>
    <w:link w:val="Header"/>
    <w:uiPriority w:val="99"/>
    <w:semiHidden/>
    <w:rsid w:val="00AE71AA"/>
    <w:rPr>
      <w:rFonts w:ascii="OrigGarmnd BT" w:hAnsi="OrigGarmnd BT"/>
      <w:sz w:val="24"/>
      <w:szCs w:val="20"/>
      <w:lang w:eastAsia="en-US"/>
    </w:rPr>
  </w:style>
  <w:style w:type="paragraph" w:customStyle="1" w:styleId="RKnormal">
    <w:name w:val="RKnormal"/>
    <w:basedOn w:val="Normal"/>
    <w:link w:val="RKnormalChar"/>
    <w:uiPriority w:val="99"/>
    <w:rsid w:val="00685C99"/>
    <w:pPr>
      <w:tabs>
        <w:tab w:val="left" w:pos="2835"/>
      </w:tabs>
      <w:spacing w:line="240" w:lineRule="atLeast"/>
    </w:pPr>
  </w:style>
  <w:style w:type="paragraph" w:customStyle="1" w:styleId="RKrubrik">
    <w:name w:val="RKrubrik"/>
    <w:basedOn w:val="RKnormal"/>
    <w:next w:val="RKnormal"/>
    <w:uiPriority w:val="99"/>
    <w:rsid w:val="00685C9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85C99"/>
    <w:rPr>
      <w:rFonts w:cs="Times New Roman"/>
    </w:rPr>
  </w:style>
  <w:style w:type="character" w:styleId="Strong">
    <w:name w:val="Strong"/>
    <w:basedOn w:val="DefaultParagraphFont"/>
    <w:uiPriority w:val="99"/>
    <w:qFormat/>
    <w:rsid w:val="00B40850"/>
    <w:rPr>
      <w:rFonts w:cs="Times New Roman"/>
      <w:b/>
      <w:bCs/>
    </w:rPr>
  </w:style>
  <w:style w:type="paragraph" w:styleId="BalloonText">
    <w:name w:val="Balloon Text"/>
    <w:basedOn w:val="Normal"/>
    <w:link w:val="BalloonTextChar"/>
    <w:uiPriority w:val="99"/>
    <w:rsid w:val="003501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501A4"/>
    <w:rPr>
      <w:rFonts w:ascii="Tahoma" w:hAnsi="Tahoma" w:cs="Tahoma"/>
      <w:sz w:val="16"/>
      <w:szCs w:val="16"/>
      <w:lang w:eastAsia="en-US"/>
    </w:rPr>
  </w:style>
  <w:style w:type="character" w:customStyle="1" w:styleId="RKnormalChar">
    <w:name w:val="RKnormal Char"/>
    <w:link w:val="RKnormal"/>
    <w:uiPriority w:val="99"/>
    <w:locked/>
    <w:rsid w:val="007F10CC"/>
    <w:rPr>
      <w:rFonts w:ascii="OrigGarmnd BT" w:hAnsi="OrigGarmnd BT"/>
      <w:sz w:val="24"/>
      <w:lang w:eastAsia="en-US"/>
    </w:rPr>
  </w:style>
  <w:style w:type="paragraph" w:styleId="ListParagraph">
    <w:name w:val="List Paragraph"/>
    <w:basedOn w:val="Normal"/>
    <w:uiPriority w:val="99"/>
    <w:qFormat/>
    <w:rsid w:val="00886D94"/>
    <w:pPr>
      <w:overflowPunct/>
      <w:autoSpaceDE/>
      <w:autoSpaceDN/>
      <w:adjustRightInd/>
      <w:spacing w:after="200" w:line="276" w:lineRule="auto"/>
      <w:ind w:left="720"/>
      <w:contextualSpacing/>
      <w:textAlignment w:val="auto"/>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191143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2194</Words>
  <Characters>13894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Emil Antonsson</dc:creator>
  <cp:keywords/>
  <dc:description/>
  <cp:lastModifiedBy>ha0808ab</cp:lastModifiedBy>
  <cp:revision>2</cp:revision>
  <cp:lastPrinted>2012-06-11T11:21:00Z</cp:lastPrinted>
  <dcterms:created xsi:type="dcterms:W3CDTF">2012-06-11T11:22:00Z</dcterms:created>
  <dcterms:modified xsi:type="dcterms:W3CDTF">2012-06-11T11:22:00Z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0x010100D4E2D80DC721422ABBDF033BB3857F490300F3A28BB3F1538D4DAAE118357DD18F96</vt:lpwstr>
  </property>
  <property fmtid="{D5CDD505-2E9C-101B-9397-08002B2CF9AE}" pid="6" name="RKOrdnaDepartement2">
    <vt:lpwstr>Finansdepartementet</vt:lpwstr>
  </property>
  <property fmtid="{D5CDD505-2E9C-101B-9397-08002B2CF9AE}" pid="7" name="RKOrdnaSarskildSkyddsvard">
    <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 Europeiska unionen</vt:lpwstr>
  </property>
  <property fmtid="{D5CDD505-2E9C-101B-9397-08002B2CF9AE}" pid="11" name="RKOrdnaDiarienummer">
    <vt:lpwstr/>
  </property>
  <property fmtid="{D5CDD505-2E9C-101B-9397-08002B2CF9AE}" pid="12" name="RKOrdnaClass">
    <vt:lpwstr/>
  </property>
</Properties>
</file>