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FC5" w:rsidRPr="00C52755" w:rsidRDefault="00420FC5">
      <w:pPr>
        <w:framePr w:w="4400" w:h="1644" w:wrap="notBeside" w:vAnchor="page" w:hAnchor="page" w:x="6573" w:y="721"/>
        <w:rPr>
          <w:rFonts w:ascii="OrigGarmnd BT" w:hAnsi="OrigGarmnd BT"/>
        </w:rPr>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C52755">
        <w:tblPrEx>
          <w:tblCellMar>
            <w:top w:w="0" w:type="dxa"/>
            <w:bottom w:w="0" w:type="dxa"/>
          </w:tblCellMar>
        </w:tblPrEx>
        <w:tc>
          <w:tcPr>
            <w:tcW w:w="2268" w:type="dxa"/>
          </w:tcPr>
          <w:p w:rsidR="00420FC5" w:rsidRPr="00C52755" w:rsidRDefault="00420FC5">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420FC5" w:rsidRPr="00C52755" w:rsidRDefault="00420FC5">
            <w:pPr>
              <w:framePr w:w="4400" w:h="1644" w:wrap="notBeside" w:vAnchor="page" w:hAnchor="page" w:x="6573" w:y="721"/>
              <w:rPr>
                <w:rFonts w:ascii="OrigGarmnd BT" w:hAnsi="OrigGarmnd BT"/>
                <w:i/>
                <w:sz w:val="18"/>
              </w:rPr>
            </w:pPr>
          </w:p>
        </w:tc>
      </w:tr>
      <w:tr w:rsidR="00000000" w:rsidRPr="00C52755">
        <w:tblPrEx>
          <w:tblCellMar>
            <w:top w:w="0" w:type="dxa"/>
            <w:bottom w:w="0" w:type="dxa"/>
          </w:tblCellMar>
        </w:tblPrEx>
        <w:tc>
          <w:tcPr>
            <w:tcW w:w="2268" w:type="dxa"/>
          </w:tcPr>
          <w:p w:rsidR="00420FC5" w:rsidRPr="00C52755" w:rsidRDefault="00420FC5">
            <w:pPr>
              <w:framePr w:w="4400" w:h="1644" w:wrap="notBeside" w:vAnchor="page" w:hAnchor="page" w:x="6573" w:y="721"/>
              <w:rPr>
                <w:rFonts w:ascii="OrigGarmnd BT" w:hAnsi="OrigGarmnd BT"/>
                <w:b/>
                <w:sz w:val="22"/>
              </w:rPr>
            </w:pPr>
            <w:r w:rsidRPr="00C52755">
              <w:rPr>
                <w:rFonts w:ascii="OrigGarmnd BT" w:hAnsi="OrigGarmnd BT"/>
                <w:b/>
                <w:sz w:val="22"/>
              </w:rPr>
              <w:t>Kommenterad</w:t>
            </w:r>
          </w:p>
          <w:p w:rsidR="00420FC5" w:rsidRPr="00C52755" w:rsidRDefault="00420FC5">
            <w:pPr>
              <w:framePr w:w="4400" w:h="1644" w:wrap="notBeside" w:vAnchor="page" w:hAnchor="page" w:x="6573" w:y="721"/>
              <w:rPr>
                <w:rFonts w:ascii="OrigGarmnd BT" w:hAnsi="OrigGarmnd BT"/>
                <w:b/>
                <w:sz w:val="22"/>
              </w:rPr>
            </w:pPr>
            <w:r w:rsidRPr="00C52755">
              <w:rPr>
                <w:rFonts w:ascii="OrigGarmnd BT" w:hAnsi="OrigGarmnd BT"/>
                <w:b/>
                <w:sz w:val="22"/>
              </w:rPr>
              <w:t>dagordning</w:t>
            </w:r>
          </w:p>
        </w:tc>
        <w:tc>
          <w:tcPr>
            <w:tcW w:w="2347" w:type="dxa"/>
            <w:gridSpan w:val="2"/>
          </w:tcPr>
          <w:p w:rsidR="00420FC5" w:rsidRPr="00C52755" w:rsidRDefault="00420FC5">
            <w:pPr>
              <w:framePr w:w="4400" w:h="1644" w:wrap="notBeside" w:vAnchor="page" w:hAnchor="page" w:x="6573" w:y="721"/>
              <w:rPr>
                <w:rFonts w:ascii="OrigGarmnd BT" w:hAnsi="OrigGarmnd BT"/>
                <w:b/>
                <w:sz w:val="22"/>
              </w:rPr>
            </w:pPr>
            <w:r w:rsidRPr="00C52755">
              <w:rPr>
                <w:rFonts w:ascii="OrigGarmnd BT" w:hAnsi="OrigGarmnd BT"/>
                <w:color w:val="000000"/>
                <w:sz w:val="20"/>
              </w:rPr>
              <w:t>Ju2006/444/EU</w:t>
            </w:r>
          </w:p>
        </w:tc>
      </w:tr>
      <w:tr w:rsidR="00000000" w:rsidRPr="00C52755">
        <w:tblPrEx>
          <w:tblCellMar>
            <w:top w:w="0" w:type="dxa"/>
            <w:bottom w:w="0" w:type="dxa"/>
          </w:tblCellMar>
        </w:tblPrEx>
        <w:tc>
          <w:tcPr>
            <w:tcW w:w="3402" w:type="dxa"/>
            <w:gridSpan w:val="2"/>
          </w:tcPr>
          <w:p w:rsidR="00420FC5" w:rsidRPr="00C52755" w:rsidRDefault="00420FC5">
            <w:pPr>
              <w:framePr w:w="4400" w:h="1644" w:wrap="notBeside" w:vAnchor="page" w:hAnchor="page" w:x="6573" w:y="721"/>
              <w:rPr>
                <w:rFonts w:ascii="OrigGarmnd BT" w:hAnsi="OrigGarmnd BT"/>
              </w:rPr>
            </w:pPr>
          </w:p>
        </w:tc>
        <w:tc>
          <w:tcPr>
            <w:tcW w:w="1213" w:type="dxa"/>
          </w:tcPr>
          <w:p w:rsidR="00420FC5" w:rsidRPr="00C52755" w:rsidRDefault="00420FC5">
            <w:pPr>
              <w:framePr w:w="4400" w:h="1644" w:wrap="notBeside" w:vAnchor="page" w:hAnchor="page" w:x="6573" w:y="721"/>
              <w:rPr>
                <w:rFonts w:ascii="OrigGarmnd BT" w:hAnsi="OrigGarmnd BT"/>
              </w:rPr>
            </w:pPr>
          </w:p>
        </w:tc>
      </w:tr>
      <w:tr w:rsidR="00000000" w:rsidRPr="00C52755">
        <w:tblPrEx>
          <w:tblCellMar>
            <w:top w:w="0" w:type="dxa"/>
            <w:bottom w:w="0" w:type="dxa"/>
          </w:tblCellMar>
        </w:tblPrEx>
        <w:tc>
          <w:tcPr>
            <w:tcW w:w="2268" w:type="dxa"/>
          </w:tcPr>
          <w:p w:rsidR="00420FC5" w:rsidRPr="00C52755" w:rsidRDefault="00420FC5">
            <w:pPr>
              <w:framePr w:w="4400" w:h="1644" w:wrap="notBeside" w:vAnchor="page" w:hAnchor="page" w:x="6573" w:y="721"/>
              <w:rPr>
                <w:rFonts w:ascii="OrigGarmnd BT" w:hAnsi="OrigGarmnd BT"/>
              </w:rPr>
            </w:pPr>
            <w:r w:rsidRPr="00C52755">
              <w:rPr>
                <w:rFonts w:ascii="OrigGarmnd BT" w:hAnsi="OrigGarmnd BT"/>
              </w:rPr>
              <w:t>2006-11-27</w:t>
            </w:r>
          </w:p>
        </w:tc>
        <w:tc>
          <w:tcPr>
            <w:tcW w:w="2347" w:type="dxa"/>
            <w:gridSpan w:val="2"/>
          </w:tcPr>
          <w:p w:rsidR="00420FC5" w:rsidRPr="00C52755" w:rsidRDefault="00420FC5">
            <w:pPr>
              <w:framePr w:w="4400" w:h="1644" w:wrap="notBeside" w:vAnchor="page" w:hAnchor="page" w:x="6573" w:y="721"/>
              <w:rPr>
                <w:rFonts w:ascii="OrigGarmnd BT" w:hAnsi="OrigGarmnd BT"/>
              </w:rPr>
            </w:pPr>
          </w:p>
        </w:tc>
      </w:tr>
      <w:tr w:rsidR="00000000" w:rsidRPr="00C52755">
        <w:tblPrEx>
          <w:tblCellMar>
            <w:top w:w="0" w:type="dxa"/>
            <w:bottom w:w="0" w:type="dxa"/>
          </w:tblCellMar>
        </w:tblPrEx>
        <w:tc>
          <w:tcPr>
            <w:tcW w:w="2268" w:type="dxa"/>
          </w:tcPr>
          <w:p w:rsidR="00420FC5" w:rsidRPr="00C52755" w:rsidRDefault="00420FC5">
            <w:pPr>
              <w:framePr w:w="4400" w:h="1644" w:wrap="notBeside" w:vAnchor="page" w:hAnchor="page" w:x="6573" w:y="721"/>
              <w:rPr>
                <w:rFonts w:ascii="OrigGarmnd BT" w:hAnsi="OrigGarmnd BT"/>
              </w:rPr>
            </w:pPr>
          </w:p>
        </w:tc>
        <w:tc>
          <w:tcPr>
            <w:tcW w:w="2347" w:type="dxa"/>
            <w:gridSpan w:val="2"/>
          </w:tcPr>
          <w:p w:rsidR="00420FC5" w:rsidRPr="00C52755" w:rsidRDefault="00420FC5">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000000" w:rsidRPr="00C52755">
        <w:tblPrEx>
          <w:tblCellMar>
            <w:top w:w="0" w:type="dxa"/>
            <w:bottom w:w="0" w:type="dxa"/>
          </w:tblCellMar>
        </w:tblPrEx>
        <w:trPr>
          <w:trHeight w:val="2400"/>
        </w:trPr>
        <w:tc>
          <w:tcPr>
            <w:tcW w:w="4911" w:type="dxa"/>
          </w:tcPr>
          <w:p w:rsidR="00420FC5" w:rsidRPr="00C52755" w:rsidRDefault="00420FC5">
            <w:pPr>
              <w:pStyle w:val="Avsndare"/>
              <w:framePr w:h="2483" w:wrap="notBeside" w:x="1504"/>
              <w:rPr>
                <w:rFonts w:ascii="OrigGarmnd BT" w:hAnsi="OrigGarmnd BT"/>
                <w:b/>
                <w:i w:val="0"/>
                <w:sz w:val="22"/>
              </w:rPr>
            </w:pPr>
            <w:r w:rsidRPr="00C52755">
              <w:rPr>
                <w:rFonts w:ascii="OrigGarmnd BT" w:hAnsi="OrigGarmnd BT"/>
                <w:b/>
                <w:i w:val="0"/>
                <w:sz w:val="22"/>
              </w:rPr>
              <w:t>Justitiedepartementet/</w:t>
            </w:r>
          </w:p>
          <w:p w:rsidR="00420FC5" w:rsidRPr="00C52755" w:rsidRDefault="00420FC5">
            <w:pPr>
              <w:pStyle w:val="Avsndare"/>
              <w:framePr w:h="2483" w:wrap="notBeside" w:x="1504"/>
              <w:rPr>
                <w:rFonts w:ascii="OrigGarmnd BT" w:hAnsi="OrigGarmnd BT"/>
                <w:b/>
                <w:i w:val="0"/>
                <w:sz w:val="22"/>
              </w:rPr>
            </w:pPr>
            <w:r w:rsidRPr="00C52755">
              <w:rPr>
                <w:rFonts w:ascii="OrigGarmnd BT" w:hAnsi="OrigGarmnd BT"/>
                <w:b/>
                <w:i w:val="0"/>
                <w:sz w:val="22"/>
              </w:rPr>
              <w:t>Utrikesdepartementet</w:t>
            </w:r>
          </w:p>
          <w:p w:rsidR="00420FC5" w:rsidRPr="00C52755" w:rsidRDefault="00420FC5">
            <w:pPr>
              <w:pStyle w:val="Avsndare"/>
              <w:framePr w:h="2483" w:wrap="notBeside" w:x="1504"/>
              <w:rPr>
                <w:rFonts w:ascii="OrigGarmnd BT" w:hAnsi="OrigGarmnd BT"/>
              </w:rPr>
            </w:pPr>
          </w:p>
          <w:p w:rsidR="00420FC5" w:rsidRPr="00C52755" w:rsidRDefault="00420FC5">
            <w:pPr>
              <w:pStyle w:val="Avsndare"/>
              <w:framePr w:h="2483" w:wrap="notBeside" w:x="1504"/>
              <w:rPr>
                <w:rFonts w:ascii="OrigGarmnd BT" w:hAnsi="OrigGarmnd BT"/>
              </w:rPr>
            </w:pPr>
          </w:p>
          <w:p w:rsidR="00420FC5" w:rsidRPr="00C52755" w:rsidRDefault="00420FC5">
            <w:pPr>
              <w:pStyle w:val="Avsndare"/>
              <w:framePr w:h="2483" w:wrap="notBeside" w:x="1504"/>
              <w:rPr>
                <w:rFonts w:ascii="OrigGarmnd BT" w:hAnsi="OrigGarmnd BT"/>
                <w:b/>
                <w:i w:val="0"/>
                <w:sz w:val="22"/>
              </w:rPr>
            </w:pPr>
          </w:p>
        </w:tc>
      </w:tr>
    </w:tbl>
    <w:p w:rsidR="00420FC5" w:rsidRPr="00C52755" w:rsidRDefault="00420FC5">
      <w:pPr>
        <w:framePr w:w="4400" w:h="2523" w:wrap="notBeside" w:vAnchor="page" w:hAnchor="page" w:x="6453" w:y="2445"/>
        <w:ind w:left="142"/>
        <w:rPr>
          <w:rFonts w:ascii="OrigGarmnd BT" w:hAnsi="OrigGarmnd BT"/>
        </w:rPr>
      </w:pPr>
    </w:p>
    <w:p w:rsidR="00420FC5" w:rsidRPr="00C52755" w:rsidRDefault="00420FC5">
      <w:pPr>
        <w:framePr w:w="4400" w:h="2523" w:wrap="notBeside" w:vAnchor="page" w:hAnchor="page" w:x="6453" w:y="2445"/>
        <w:ind w:left="142"/>
        <w:rPr>
          <w:rFonts w:ascii="OrigGarmnd BT" w:hAnsi="OrigGarmnd BT"/>
        </w:rPr>
      </w:pPr>
      <w:r w:rsidRPr="00C52755">
        <w:rPr>
          <w:rFonts w:ascii="OrigGarmnd BT" w:hAnsi="OrigGarmnd BT"/>
        </w:rPr>
        <w:t>EU-nämnden</w:t>
      </w:r>
    </w:p>
    <w:p w:rsidR="00420FC5" w:rsidRPr="00C52755" w:rsidRDefault="00420FC5">
      <w:pPr>
        <w:framePr w:w="4400" w:h="2523" w:wrap="notBeside" w:vAnchor="page" w:hAnchor="page" w:x="6453" w:y="2445"/>
        <w:ind w:left="142"/>
        <w:rPr>
          <w:rFonts w:ascii="OrigGarmnd BT" w:hAnsi="OrigGarmnd BT"/>
        </w:rPr>
      </w:pPr>
      <w:r w:rsidRPr="00C52755">
        <w:rPr>
          <w:rFonts w:ascii="OrigGarmnd BT" w:hAnsi="OrigGarmnd BT"/>
        </w:rPr>
        <w:t>Riksdagen</w:t>
      </w:r>
    </w:p>
    <w:p w:rsidR="00420FC5" w:rsidRPr="00C52755" w:rsidRDefault="00420FC5">
      <w:pPr>
        <w:pStyle w:val="RKrubrik"/>
        <w:pBdr>
          <w:bottom w:val="single" w:sz="6" w:space="1" w:color="auto"/>
        </w:pBdr>
        <w:spacing w:before="0" w:after="0"/>
        <w:rPr>
          <w:rFonts w:ascii="OrigGarmnd BT" w:hAnsi="OrigGarmnd BT"/>
          <w:sz w:val="24"/>
        </w:rPr>
      </w:pPr>
      <w:r w:rsidRPr="00C52755">
        <w:rPr>
          <w:rFonts w:ascii="OrigGarmnd BT" w:hAnsi="OrigGarmnd BT"/>
          <w:sz w:val="24"/>
        </w:rPr>
        <w:t>Kommenterad dagordning för ministerrådsmötet för rättsliga och inrikes frågor samt räddningstjänsten (RIF-rådet) i Bryssel</w:t>
      </w:r>
    </w:p>
    <w:p w:rsidR="00420FC5" w:rsidRPr="00C52755" w:rsidRDefault="00420FC5">
      <w:pPr>
        <w:pStyle w:val="RKrubrik"/>
        <w:pBdr>
          <w:bottom w:val="single" w:sz="6" w:space="1" w:color="auto"/>
        </w:pBdr>
        <w:spacing w:before="0" w:after="0"/>
        <w:rPr>
          <w:rFonts w:ascii="OrigGarmnd BT" w:hAnsi="OrigGarmnd BT"/>
          <w:sz w:val="24"/>
        </w:rPr>
      </w:pPr>
      <w:r w:rsidRPr="00C52755">
        <w:rPr>
          <w:rFonts w:ascii="OrigGarmnd BT" w:hAnsi="OrigGarmnd BT"/>
          <w:sz w:val="24"/>
        </w:rPr>
        <w:t>den 4-5 december 2006</w:t>
      </w:r>
    </w:p>
    <w:p w:rsidR="00420FC5" w:rsidRPr="00C52755" w:rsidRDefault="00420FC5">
      <w:pPr>
        <w:pStyle w:val="RKnormal"/>
      </w:pPr>
    </w:p>
    <w:p w:rsidR="00420FC5" w:rsidRPr="00C52755" w:rsidRDefault="00420FC5">
      <w:pPr>
        <w:pStyle w:val="RKnormal"/>
      </w:pPr>
    </w:p>
    <w:p w:rsidR="00420FC5" w:rsidRPr="00C52755" w:rsidRDefault="00420FC5">
      <w:pPr>
        <w:pStyle w:val="RKnormal"/>
        <w:rPr>
          <w:b/>
        </w:rPr>
      </w:pPr>
      <w:r w:rsidRPr="00C52755">
        <w:rPr>
          <w:b/>
        </w:rPr>
        <w:t>1. Godkännande av den preliminära dagordningen</w:t>
      </w:r>
    </w:p>
    <w:p w:rsidR="00420FC5" w:rsidRPr="00C52755" w:rsidRDefault="00420FC5">
      <w:pPr>
        <w:pStyle w:val="RKnormal"/>
      </w:pPr>
    </w:p>
    <w:p w:rsidR="00420FC5" w:rsidRPr="00C52755" w:rsidRDefault="00420FC5">
      <w:pPr>
        <w:pStyle w:val="RKnormal"/>
      </w:pPr>
      <w:r w:rsidRPr="00C52755">
        <w:t>Se bifogad preliminär dagordning.</w:t>
      </w:r>
    </w:p>
    <w:p w:rsidR="00420FC5" w:rsidRPr="00C52755" w:rsidRDefault="00420FC5">
      <w:pPr>
        <w:pStyle w:val="RKnormal"/>
        <w:rPr>
          <w:b/>
        </w:rPr>
      </w:pPr>
    </w:p>
    <w:p w:rsidR="00420FC5" w:rsidRPr="00C52755" w:rsidRDefault="00420FC5">
      <w:pPr>
        <w:pStyle w:val="RKnormal"/>
        <w:rPr>
          <w:b/>
        </w:rPr>
      </w:pPr>
    </w:p>
    <w:p w:rsidR="00420FC5" w:rsidRPr="00C52755" w:rsidRDefault="00420FC5">
      <w:pPr>
        <w:pStyle w:val="RKnormal"/>
        <w:rPr>
          <w:b/>
        </w:rPr>
      </w:pPr>
      <w:r w:rsidRPr="00C52755">
        <w:rPr>
          <w:b/>
        </w:rPr>
        <w:t>2. Godkännande av A-punktslistan</w:t>
      </w:r>
    </w:p>
    <w:p w:rsidR="00420FC5" w:rsidRPr="00C52755" w:rsidRDefault="00420FC5">
      <w:pPr>
        <w:pStyle w:val="RKnormal"/>
        <w:rPr>
          <w:b/>
        </w:rPr>
      </w:pPr>
    </w:p>
    <w:p w:rsidR="00420FC5" w:rsidRPr="00C52755" w:rsidRDefault="00420FC5">
      <w:pPr>
        <w:pStyle w:val="RKnormal"/>
      </w:pPr>
      <w:r w:rsidRPr="00C52755">
        <w:t xml:space="preserve">Det föreligger ännu inte någon A-punktslista. </w:t>
      </w:r>
    </w:p>
    <w:p w:rsidR="00420FC5" w:rsidRPr="00C52755" w:rsidRDefault="00420FC5">
      <w:pPr>
        <w:pStyle w:val="RKnormal"/>
      </w:pPr>
    </w:p>
    <w:p w:rsidR="00420FC5" w:rsidRPr="00C52755" w:rsidRDefault="00420FC5">
      <w:pPr>
        <w:pStyle w:val="RKnormal"/>
      </w:pPr>
    </w:p>
    <w:p w:rsidR="00420FC5" w:rsidRPr="00C52755" w:rsidRDefault="00420FC5">
      <w:pPr>
        <w:rPr>
          <w:rFonts w:ascii="OrigGarmnd BT" w:hAnsi="OrigGarmnd BT"/>
          <w:b/>
          <w:bCs/>
        </w:rPr>
      </w:pPr>
      <w:r w:rsidRPr="00C52755">
        <w:rPr>
          <w:rFonts w:ascii="OrigGarmnd BT" w:hAnsi="OrigGarmnd BT"/>
          <w:b/>
          <w:bCs/>
        </w:rPr>
        <w:t>3. Halvtidsutvärdering av Haagprogrammet (BA)</w:t>
      </w:r>
    </w:p>
    <w:p w:rsidR="00420FC5" w:rsidRPr="00C52755" w:rsidRDefault="00420FC5">
      <w:pPr>
        <w:rPr>
          <w:rFonts w:ascii="OrigGarmnd BT" w:hAnsi="OrigGarmnd BT"/>
          <w:i/>
          <w:iCs/>
        </w:rPr>
      </w:pPr>
    </w:p>
    <w:p w:rsidR="00420FC5" w:rsidRPr="00C52755" w:rsidRDefault="00420FC5">
      <w:pPr>
        <w:rPr>
          <w:rFonts w:ascii="OrigGarmnd BT" w:hAnsi="OrigGarmnd BT"/>
          <w:i/>
          <w:iCs/>
        </w:rPr>
      </w:pPr>
      <w:r w:rsidRPr="00C52755">
        <w:rPr>
          <w:rFonts w:ascii="OrigGarmnd BT" w:hAnsi="OrigGarmnd BT"/>
          <w:i/>
          <w:iCs/>
        </w:rPr>
        <w:t>Avsikten med behandlingen i rådet</w:t>
      </w:r>
    </w:p>
    <w:p w:rsidR="00420FC5" w:rsidRPr="00C52755" w:rsidRDefault="00420FC5">
      <w:pPr>
        <w:pStyle w:val="RKnormal"/>
      </w:pPr>
      <w:r w:rsidRPr="00C52755">
        <w:t>Antagande av rådsslutsatser</w:t>
      </w:r>
    </w:p>
    <w:p w:rsidR="00420FC5" w:rsidRPr="00C52755" w:rsidRDefault="00420FC5">
      <w:pPr>
        <w:pStyle w:val="RKnormal"/>
      </w:pPr>
    </w:p>
    <w:p w:rsidR="00420FC5" w:rsidRPr="00C52755" w:rsidRDefault="00420FC5">
      <w:pPr>
        <w:rPr>
          <w:rFonts w:ascii="OrigGarmnd BT" w:hAnsi="OrigGarmnd BT"/>
          <w:bCs/>
          <w:i/>
          <w:iCs/>
        </w:rPr>
      </w:pPr>
      <w:r w:rsidRPr="00C52755">
        <w:rPr>
          <w:rFonts w:ascii="OrigGarmnd BT" w:hAnsi="OrigGarmnd BT"/>
          <w:bCs/>
          <w:i/>
          <w:iCs/>
        </w:rPr>
        <w:t>Bakgrund</w:t>
      </w:r>
    </w:p>
    <w:p w:rsidR="00420FC5" w:rsidRPr="00C52755" w:rsidRDefault="00420FC5">
      <w:pPr>
        <w:pStyle w:val="RKnormal"/>
      </w:pPr>
      <w:r w:rsidRPr="00C52755">
        <w:t xml:space="preserve">Europeiska rådet antog den 5 november 2004 det nya femåriga arbetsprogrammet för genomförande av ett område med frihet, säkerhet och rättvisa – det så kallade Haagprogrammet. En handlingsplan för programmets konkreta genomförande antogs av rådet för rättsliga och inrikes frågor i juni 2005. Haagprogrammets handlingsplan anknyter mycket nära till programmets struktur och innehåller cirka 280 konkreta åtgärder. </w:t>
      </w:r>
    </w:p>
    <w:p w:rsidR="00420FC5" w:rsidRPr="00C52755" w:rsidRDefault="00420FC5">
      <w:pPr>
        <w:pStyle w:val="RKnormal"/>
      </w:pPr>
    </w:p>
    <w:p w:rsidR="00420FC5" w:rsidRPr="00C52755" w:rsidRDefault="00420FC5">
      <w:pPr>
        <w:pStyle w:val="RKnormal"/>
      </w:pPr>
      <w:r w:rsidRPr="00C52755">
        <w:t xml:space="preserve">Under det finländska ordförandeskapet skall en halvtidsutvärdering av Haagprogrammet göras.  Halvtidsutvärderingen synes bli övergripande och kommer troligen inte beröra konkreta åtgärder i programmet och handlingsplanen. Centrala frågor gäller </w:t>
      </w:r>
      <w:r w:rsidRPr="00C52755">
        <w:rPr>
          <w:i/>
          <w:iCs/>
        </w:rPr>
        <w:t>ett effektivare beslutsfattande på tredjepelarområdet</w:t>
      </w:r>
      <w:r w:rsidRPr="00C52755">
        <w:t xml:space="preserve"> samt </w:t>
      </w:r>
      <w:r w:rsidRPr="00C52755">
        <w:rPr>
          <w:i/>
        </w:rPr>
        <w:t>förbättrad utvärdering och uppföljning</w:t>
      </w:r>
      <w:r w:rsidRPr="00C52755">
        <w:t>.</w:t>
      </w:r>
    </w:p>
    <w:p w:rsidR="00420FC5" w:rsidRPr="00C52755" w:rsidRDefault="00420FC5">
      <w:pPr>
        <w:rPr>
          <w:rFonts w:ascii="OrigGarmnd BT" w:hAnsi="OrigGarmnd BT"/>
          <w:bCs/>
          <w:iCs/>
        </w:rPr>
      </w:pPr>
    </w:p>
    <w:p w:rsidR="00420FC5" w:rsidRPr="00C52755" w:rsidRDefault="00420FC5">
      <w:pPr>
        <w:pStyle w:val="RKnormal"/>
      </w:pPr>
      <w:r w:rsidRPr="00C52755">
        <w:t xml:space="preserve">En första informell diskussion ägde rum vid det informella ministerrådsmötet för rättsliga och inrikes frågor (RIF-rådet) i Tammerfors den 21-22 september 2006. Vid det formella RIF-rådet den 5-6 oktober 2006 återkom frågan i en offentlig debatt. Det blir ytterligare en offentlig debatt </w:t>
      </w:r>
      <w:r w:rsidRPr="00C52755">
        <w:rPr>
          <w:i/>
        </w:rPr>
        <w:t>samt anta</w:t>
      </w:r>
      <w:r w:rsidRPr="00C52755">
        <w:rPr>
          <w:i/>
        </w:rPr>
        <w:lastRenderedPageBreak/>
        <w:t>gande av slutsatser</w:t>
      </w:r>
      <w:r w:rsidRPr="00C52755">
        <w:t xml:space="preserve"> vid RIF-rådet den 4-5 december, varefter frågan går vidare till  Europeiska rådets möte den 14-15 december. </w:t>
      </w:r>
    </w:p>
    <w:p w:rsidR="00420FC5" w:rsidRPr="00C52755" w:rsidRDefault="00420FC5">
      <w:pPr>
        <w:rPr>
          <w:rFonts w:ascii="OrigGarmnd BT" w:hAnsi="OrigGarmnd BT"/>
          <w:bCs/>
          <w:i/>
          <w:iCs/>
        </w:rPr>
      </w:pPr>
    </w:p>
    <w:p w:rsidR="00420FC5" w:rsidRPr="00C52755" w:rsidRDefault="00420FC5">
      <w:pPr>
        <w:rPr>
          <w:rFonts w:ascii="OrigGarmnd BT" w:hAnsi="OrigGarmnd BT"/>
          <w:bCs/>
          <w:i/>
          <w:iCs/>
        </w:rPr>
      </w:pPr>
      <w:r w:rsidRPr="00C52755">
        <w:rPr>
          <w:rFonts w:ascii="OrigGarmnd BT" w:hAnsi="OrigGarmnd BT"/>
          <w:bCs/>
          <w:i/>
          <w:iCs/>
        </w:rPr>
        <w:t>Svensk ståndpunkt</w:t>
      </w:r>
    </w:p>
    <w:p w:rsidR="00420FC5" w:rsidRPr="00C52755" w:rsidRDefault="00420FC5">
      <w:pPr>
        <w:pStyle w:val="RKnormal"/>
      </w:pPr>
      <w:r w:rsidRPr="00C52755">
        <w:t xml:space="preserve">Sverige välkomnar en diskussion om framtiden för samarbetet på området för rättsliga och inrikes frågor. </w:t>
      </w:r>
    </w:p>
    <w:p w:rsidR="00420FC5" w:rsidRPr="00C52755" w:rsidRDefault="00420FC5">
      <w:pPr>
        <w:rPr>
          <w:rFonts w:ascii="OrigGarmnd BT" w:hAnsi="OrigGarmnd BT" w:cs="OrigGarmnd BT"/>
          <w:color w:val="000000"/>
          <w:szCs w:val="24"/>
          <w:lang w:eastAsia="sv-SE"/>
        </w:rPr>
      </w:pPr>
    </w:p>
    <w:p w:rsidR="00420FC5" w:rsidRPr="00C52755" w:rsidRDefault="00420FC5">
      <w:r w:rsidRPr="00C52755">
        <w:rPr>
          <w:rFonts w:ascii="OrigGarmnd BT" w:hAnsi="OrigGarmnd BT" w:cs="OrigGarmnd BT"/>
          <w:color w:val="000000"/>
          <w:szCs w:val="24"/>
          <w:lang w:eastAsia="sv-SE"/>
        </w:rPr>
        <w:t>Sverige anser att man i de slutliga rådsslutsatserna bör teckna en tydlig bild av de svårigheter som finns i beslutsfattandet på det mellanstatliga tredjepelarområdet, och ange lämpliga vägar framåt. Det skulle t.ex. handla om vilka åtgärder som kan vidtas i avsaknad av ett ikraftträdande av det konstitutionella fördraget för att effektivisera arbetet i RIF-rådet.</w:t>
      </w:r>
    </w:p>
    <w:p w:rsidR="00420FC5" w:rsidRPr="00C52755" w:rsidRDefault="00420FC5">
      <w:pPr>
        <w:rPr>
          <w:rFonts w:ascii="OrigGarmnd BT" w:hAnsi="OrigGarmnd BT"/>
        </w:rPr>
      </w:pPr>
    </w:p>
    <w:p w:rsidR="00420FC5" w:rsidRPr="00C52755" w:rsidRDefault="00420FC5">
      <w:pPr>
        <w:rPr>
          <w:rFonts w:ascii="OrigGarmnd BT" w:hAnsi="OrigGarmnd BT"/>
        </w:rPr>
      </w:pPr>
    </w:p>
    <w:p w:rsidR="00420FC5" w:rsidRPr="00C52755" w:rsidRDefault="00420FC5">
      <w:pPr>
        <w:rPr>
          <w:rFonts w:ascii="OrigGarmnd BT" w:hAnsi="OrigGarmnd BT"/>
          <w:b/>
          <w:bCs/>
        </w:rPr>
      </w:pPr>
      <w:r w:rsidRPr="00C52755">
        <w:rPr>
          <w:rFonts w:ascii="OrigGarmnd BT" w:hAnsi="OrigGarmnd BT"/>
          <w:b/>
          <w:bCs/>
        </w:rPr>
        <w:t>4. Eventuellt: Förslag till förordning om tillämplig lag för avtalsförpliktelser</w:t>
      </w:r>
    </w:p>
    <w:p w:rsidR="00420FC5" w:rsidRPr="00C52755" w:rsidRDefault="00420FC5">
      <w:pPr>
        <w:rPr>
          <w:rFonts w:ascii="OrigGarmnd BT" w:hAnsi="OrigGarmnd BT"/>
          <w:b/>
          <w:bCs/>
        </w:rPr>
      </w:pPr>
      <w:r w:rsidRPr="00C52755">
        <w:rPr>
          <w:rFonts w:ascii="OrigGarmnd BT" w:hAnsi="OrigGarmnd BT"/>
          <w:b/>
          <w:bCs/>
        </w:rPr>
        <w:tab/>
      </w:r>
    </w:p>
    <w:p w:rsidR="00420FC5" w:rsidRPr="00C52755" w:rsidRDefault="00420FC5">
      <w:pPr>
        <w:rPr>
          <w:rFonts w:ascii="OrigGarmnd BT" w:hAnsi="OrigGarmnd BT"/>
          <w:bCs/>
        </w:rPr>
      </w:pPr>
      <w:r w:rsidRPr="00C52755">
        <w:rPr>
          <w:rFonts w:ascii="OrigGarmnd BT" w:hAnsi="OrigGarmnd BT"/>
        </w:rPr>
        <w:t>Punkten har strukits från dagordningen.</w:t>
      </w:r>
    </w:p>
    <w:p w:rsidR="00420FC5" w:rsidRPr="00C52755" w:rsidRDefault="00420FC5">
      <w:pPr>
        <w:rPr>
          <w:rFonts w:ascii="OrigGarmnd BT" w:hAnsi="OrigGarmnd BT"/>
          <w:bCs/>
        </w:rPr>
      </w:pPr>
    </w:p>
    <w:p w:rsidR="00420FC5" w:rsidRPr="00C52755" w:rsidRDefault="00420FC5">
      <w:pPr>
        <w:pStyle w:val="RKnormal"/>
        <w:rPr>
          <w:b/>
          <w:bCs/>
        </w:rPr>
      </w:pPr>
    </w:p>
    <w:p w:rsidR="00420FC5" w:rsidRPr="00C52755" w:rsidRDefault="00420FC5">
      <w:pPr>
        <w:rPr>
          <w:rFonts w:ascii="OrigGarmnd BT" w:hAnsi="OrigGarmnd BT"/>
        </w:rPr>
      </w:pPr>
    </w:p>
    <w:p w:rsidR="00420FC5" w:rsidRPr="00C52755" w:rsidRDefault="00420FC5">
      <w:pPr>
        <w:ind w:left="567" w:hanging="567"/>
      </w:pPr>
      <w:r w:rsidRPr="00C52755">
        <w:rPr>
          <w:rFonts w:ascii="OrigGarmnd BT" w:hAnsi="OrigGarmnd BT"/>
          <w:b/>
          <w:bCs/>
        </w:rPr>
        <w:t>5.</w:t>
      </w:r>
      <w:r w:rsidRPr="00C52755">
        <w:rPr>
          <w:rFonts w:ascii="OrigGarmnd BT" w:hAnsi="OrigGarmnd BT"/>
        </w:rPr>
        <w:t xml:space="preserve"> </w:t>
      </w:r>
      <w:r w:rsidRPr="00C52755">
        <w:rPr>
          <w:rFonts w:ascii="OrigGarmnd BT" w:hAnsi="OrigGarmnd BT"/>
          <w:b/>
          <w:bCs/>
        </w:rPr>
        <w:t>Rambeslut om beaktande av utländska domar (BA)</w:t>
      </w:r>
    </w:p>
    <w:p w:rsidR="00420FC5" w:rsidRPr="00C52755" w:rsidRDefault="00420FC5">
      <w:pPr>
        <w:ind w:left="567" w:hanging="567"/>
        <w:rPr>
          <w:rFonts w:ascii="OrigGarmnd BT" w:hAnsi="OrigGarmnd BT"/>
        </w:rPr>
      </w:pPr>
    </w:p>
    <w:p w:rsidR="00420FC5" w:rsidRPr="00C52755" w:rsidRDefault="00420FC5">
      <w:pPr>
        <w:ind w:left="567" w:hanging="567"/>
        <w:rPr>
          <w:rFonts w:ascii="OrigGarmnd BT" w:hAnsi="OrigGarmnd BT"/>
          <w:i/>
          <w:iCs/>
        </w:rPr>
      </w:pPr>
      <w:r w:rsidRPr="00C52755">
        <w:rPr>
          <w:rFonts w:ascii="OrigGarmnd BT" w:hAnsi="OrigGarmnd BT"/>
          <w:i/>
          <w:iCs/>
        </w:rPr>
        <w:t>Avsikten med behandlingen i rådet</w:t>
      </w:r>
    </w:p>
    <w:p w:rsidR="00420FC5" w:rsidRPr="00C52755" w:rsidRDefault="00420FC5">
      <w:pPr>
        <w:pStyle w:val="Brdtext"/>
        <w:rPr>
          <w:rFonts w:ascii="OrigGarmnd BT" w:hAnsi="OrigGarmnd BT"/>
          <w:szCs w:val="24"/>
        </w:rPr>
      </w:pPr>
      <w:r w:rsidRPr="00C52755">
        <w:rPr>
          <w:rFonts w:ascii="OrigGarmnd BT" w:hAnsi="OrigGarmnd BT"/>
          <w:szCs w:val="24"/>
        </w:rPr>
        <w:t>Diskussionspunkt</w:t>
      </w:r>
    </w:p>
    <w:p w:rsidR="00420FC5" w:rsidRPr="00C52755" w:rsidRDefault="00420FC5">
      <w:pPr>
        <w:pStyle w:val="Brdtext"/>
        <w:rPr>
          <w:rFonts w:ascii="OrigGarmnd BT" w:hAnsi="OrigGarmnd BT"/>
          <w:szCs w:val="24"/>
        </w:rPr>
      </w:pPr>
    </w:p>
    <w:p w:rsidR="00420FC5" w:rsidRPr="00C52755" w:rsidRDefault="00420FC5">
      <w:pPr>
        <w:pStyle w:val="Brdtext"/>
        <w:rPr>
          <w:rFonts w:ascii="OrigGarmnd BT" w:hAnsi="OrigGarmnd BT"/>
          <w:i/>
          <w:iCs/>
          <w:szCs w:val="24"/>
        </w:rPr>
      </w:pPr>
      <w:r w:rsidRPr="00C52755">
        <w:rPr>
          <w:rFonts w:ascii="OrigGarmnd BT" w:hAnsi="OrigGarmnd BT"/>
          <w:i/>
          <w:iCs/>
          <w:szCs w:val="24"/>
        </w:rPr>
        <w:t>Bakgrund</w:t>
      </w:r>
    </w:p>
    <w:p w:rsidR="00420FC5" w:rsidRPr="00C52755" w:rsidRDefault="00420FC5">
      <w:pPr>
        <w:pStyle w:val="RKnormal"/>
      </w:pPr>
      <w:r w:rsidRPr="00C52755">
        <w:t xml:space="preserve">Europeiska rådet antog år 2000 ett åtgärdsprogram för genomförande av principen om ömsesidigt erkännande av domar i brottmål. I programmet föreskrivs ”antagande av ett eller flera instrument med fastställande av principen att en domare i en medlemsstat bör kunna beakta lagakraftvunna brottmålsdomar avkunnade i andra medlemsstater när han gör en bedömning av brottslingens förflutna, inbegripet återfall, och för att fastställa vilken typ av straff som skall utmätas och hur det skall avtjänas”. </w:t>
      </w:r>
    </w:p>
    <w:p w:rsidR="00420FC5" w:rsidRPr="00C52755" w:rsidRDefault="00420FC5">
      <w:pPr>
        <w:pStyle w:val="RKnormal"/>
      </w:pPr>
    </w:p>
    <w:p w:rsidR="00420FC5" w:rsidRPr="00C52755" w:rsidRDefault="00420FC5">
      <w:pPr>
        <w:pStyle w:val="Brdtext"/>
      </w:pPr>
      <w:r w:rsidRPr="00C52755">
        <w:t>Förslaget till rambeslut, som kommissionen presenterade den 17 mars 2005, innebär att varje medlemsstat vid ett nytt straffrättsligt förfarande avseende en annan gärning skall tillerkänna tidigare fällande domar som avkunnats i andra medlemsstater motsvarande rättsliga verkningar som inhemska domar.</w:t>
      </w:r>
    </w:p>
    <w:p w:rsidR="00420FC5" w:rsidRPr="00C52755" w:rsidRDefault="00420FC5">
      <w:pPr>
        <w:pStyle w:val="Brdtext"/>
      </w:pPr>
    </w:p>
    <w:p w:rsidR="00420FC5" w:rsidRPr="00C52755" w:rsidRDefault="00420FC5">
      <w:pPr>
        <w:pStyle w:val="RKnormal"/>
      </w:pPr>
      <w:r w:rsidRPr="00C52755">
        <w:t>Förslaget har visst samband med ett annat förslag till rambeslut, nämligen rambeslutet om utbyte av information ur kriminalregister som också förhandlas (Fakta-PM 2005/06: FPM74).</w:t>
      </w:r>
    </w:p>
    <w:p w:rsidR="00420FC5" w:rsidRPr="00C52755" w:rsidRDefault="00420FC5">
      <w:pPr>
        <w:pStyle w:val="Brdtext"/>
        <w:rPr>
          <w:rFonts w:ascii="OrigGarmnd BT" w:hAnsi="OrigGarmnd BT"/>
          <w:szCs w:val="24"/>
          <w:u w:val="single"/>
        </w:rPr>
      </w:pPr>
    </w:p>
    <w:p w:rsidR="00420FC5" w:rsidRPr="00C52755" w:rsidRDefault="00420FC5">
      <w:pPr>
        <w:pStyle w:val="Brdtext"/>
        <w:rPr>
          <w:rFonts w:ascii="OrigGarmnd BT" w:hAnsi="OrigGarmnd BT"/>
          <w:i/>
          <w:iCs/>
          <w:szCs w:val="24"/>
        </w:rPr>
      </w:pPr>
      <w:r w:rsidRPr="00C52755">
        <w:rPr>
          <w:rFonts w:ascii="OrigGarmnd BT" w:hAnsi="OrigGarmnd BT"/>
          <w:i/>
          <w:iCs/>
          <w:szCs w:val="24"/>
        </w:rPr>
        <w:t>Svensk ståndpunkt</w:t>
      </w:r>
    </w:p>
    <w:p w:rsidR="00420FC5" w:rsidRPr="00C52755" w:rsidRDefault="00420FC5">
      <w:pPr>
        <w:pStyle w:val="RKnormal"/>
      </w:pPr>
      <w:r w:rsidRPr="00C52755">
        <w:t xml:space="preserve">Sverige stöder förslaget till rambeslut. Förslaget främjar en mer rättvis ordning eftersom det leder till att tidigare domar kan beaktas på ett mer enhetligt sätt och att förutsättningarna för likabehandling förbättras. </w:t>
      </w:r>
    </w:p>
    <w:p w:rsidR="00420FC5" w:rsidRPr="00C52755" w:rsidRDefault="00420FC5">
      <w:pPr>
        <w:pStyle w:val="RKnormal"/>
      </w:pPr>
    </w:p>
    <w:p w:rsidR="00420FC5" w:rsidRPr="00C52755" w:rsidRDefault="00420FC5">
      <w:pPr>
        <w:pStyle w:val="RKnormal"/>
      </w:pPr>
      <w:r w:rsidRPr="00C52755">
        <w:t xml:space="preserve">Se vidare i </w:t>
      </w:r>
      <w:r w:rsidRPr="00C52755">
        <w:rPr>
          <w:u w:val="single"/>
        </w:rPr>
        <w:t>bifogad promemoria.</w:t>
      </w:r>
    </w:p>
    <w:p w:rsidR="00420FC5" w:rsidRPr="00C52755" w:rsidRDefault="00420FC5">
      <w:pPr>
        <w:pStyle w:val="Brdtext"/>
        <w:rPr>
          <w:rFonts w:ascii="OrigGarmnd BT" w:hAnsi="OrigGarmnd BT"/>
          <w:i/>
          <w:iCs/>
          <w:szCs w:val="24"/>
        </w:rPr>
      </w:pPr>
    </w:p>
    <w:p w:rsidR="00420FC5" w:rsidRPr="00C52755" w:rsidRDefault="00420FC5">
      <w:pPr>
        <w:pStyle w:val="Brdtext"/>
        <w:rPr>
          <w:rFonts w:ascii="OrigGarmnd BT" w:hAnsi="OrigGarmnd BT"/>
          <w:szCs w:val="24"/>
        </w:rPr>
      </w:pPr>
    </w:p>
    <w:p w:rsidR="00420FC5" w:rsidRPr="00C52755" w:rsidRDefault="00420FC5">
      <w:pPr>
        <w:pStyle w:val="RKnormal"/>
        <w:rPr>
          <w:b/>
          <w:bCs/>
        </w:rPr>
      </w:pPr>
      <w:r w:rsidRPr="00C52755">
        <w:rPr>
          <w:b/>
          <w:bCs/>
        </w:rPr>
        <w:t>6. Rambeslut om överförande av dömda (BA)</w:t>
      </w:r>
    </w:p>
    <w:p w:rsidR="00420FC5" w:rsidRPr="00C52755" w:rsidRDefault="00420FC5">
      <w:pPr>
        <w:rPr>
          <w:rFonts w:ascii="OrigGarmnd BT" w:hAnsi="OrigGarmnd BT"/>
        </w:rPr>
      </w:pPr>
    </w:p>
    <w:p w:rsidR="00420FC5" w:rsidRPr="00C52755" w:rsidRDefault="00420FC5">
      <w:pPr>
        <w:pStyle w:val="Brdtext"/>
        <w:rPr>
          <w:rFonts w:ascii="OrigGarmnd BT" w:hAnsi="OrigGarmnd BT"/>
          <w:i/>
          <w:iCs/>
        </w:rPr>
      </w:pPr>
      <w:r w:rsidRPr="00C52755">
        <w:rPr>
          <w:rFonts w:ascii="OrigGarmnd BT" w:hAnsi="OrigGarmnd BT"/>
          <w:i/>
          <w:iCs/>
        </w:rPr>
        <w:t>Avsikten med behandling i rådet</w:t>
      </w:r>
    </w:p>
    <w:p w:rsidR="00420FC5" w:rsidRPr="00C52755" w:rsidRDefault="00420FC5">
      <w:pPr>
        <w:pStyle w:val="RKnormal"/>
      </w:pPr>
      <w:r w:rsidRPr="00C52755">
        <w:t>Diskussionspunkt. Syftet är att nå en politisk överenskommelse om hela ram</w:t>
      </w:r>
      <w:r w:rsidRPr="00C52755">
        <w:softHyphen/>
        <w:t>be</w:t>
      </w:r>
      <w:r w:rsidRPr="00C52755">
        <w:softHyphen/>
        <w:t>slutet. Diskussionen kommer att fokuseras på några utestående frågor, bl.a. tillämpningsområdet och övergångsbestämmelser, som inte lösts på tjänstemannanivå.</w:t>
      </w:r>
    </w:p>
    <w:p w:rsidR="00420FC5" w:rsidRPr="00C52755" w:rsidRDefault="00420FC5">
      <w:pPr>
        <w:pStyle w:val="Brdtext"/>
        <w:rPr>
          <w:rFonts w:ascii="OrigGarmnd BT" w:hAnsi="OrigGarmnd BT"/>
          <w:szCs w:val="24"/>
        </w:rPr>
      </w:pPr>
    </w:p>
    <w:p w:rsidR="00420FC5" w:rsidRPr="00C52755" w:rsidRDefault="00420FC5">
      <w:pPr>
        <w:pStyle w:val="Brdtext"/>
        <w:rPr>
          <w:rFonts w:ascii="OrigGarmnd BT" w:hAnsi="OrigGarmnd BT"/>
          <w:szCs w:val="24"/>
        </w:rPr>
      </w:pPr>
      <w:r w:rsidRPr="00C52755">
        <w:rPr>
          <w:rFonts w:ascii="OrigGarmnd BT" w:hAnsi="OrigGarmnd BT"/>
          <w:i/>
          <w:iCs/>
          <w:szCs w:val="24"/>
        </w:rPr>
        <w:t>Bakgrund</w:t>
      </w:r>
    </w:p>
    <w:p w:rsidR="00420FC5" w:rsidRPr="00C52755" w:rsidRDefault="00420FC5">
      <w:pPr>
        <w:pStyle w:val="RKnormal"/>
      </w:pPr>
      <w:r w:rsidRPr="00C52755">
        <w:t>Österrike, Finland och Sverige presenterade i januari 2005 ett förslag till rambeslut om överförande av dömda personer mellan EU:s medlems</w:t>
      </w:r>
      <w:r w:rsidRPr="00C52755">
        <w:softHyphen/>
        <w:t>stater. Förslaget syftar till att underlätta och effektivisera dagens sam</w:t>
      </w:r>
      <w:r w:rsidRPr="00C52755">
        <w:softHyphen/>
        <w:t xml:space="preserve">arbete enligt 1983 års Europarådskonvention när det gäller överförande av dömda personer. Rambeslutet bygger på principen om ömsesidigt erkännande och innebär att en dom med ett frihetsberövande straff (för svensk del fängelse, rättspsykiatrisk vård och sluten ungdomsvård) skall erkännas och verkställas i den dömdes hemland. </w:t>
      </w:r>
    </w:p>
    <w:p w:rsidR="00420FC5" w:rsidRPr="00C52755" w:rsidRDefault="00420FC5">
      <w:pPr>
        <w:pStyle w:val="RKnormal"/>
      </w:pPr>
    </w:p>
    <w:p w:rsidR="00420FC5" w:rsidRPr="00C52755" w:rsidRDefault="00420FC5">
      <w:pPr>
        <w:pStyle w:val="RKnormal"/>
      </w:pPr>
      <w:r w:rsidRPr="00C52755">
        <w:t>Om förslaget genomförs kan det förväntas effektivisera handläggningen av överförandeärenden. I förslaget finns bestämmelser om bl.a. ett begränsat antal vägransgrunder, införande av tidsfrister för beslut om överförande och själva transporten av den dömde samt begränsad möjlig</w:t>
      </w:r>
      <w:r w:rsidRPr="00C52755">
        <w:softHyphen/>
        <w:t>het för den verkställande staten att ändra den utdömda påföljd</w:t>
      </w:r>
      <w:r w:rsidRPr="00C52755">
        <w:softHyphen/>
        <w:t xml:space="preserve">ens natur eller längd. </w:t>
      </w:r>
    </w:p>
    <w:p w:rsidR="00420FC5" w:rsidRPr="00C52755" w:rsidRDefault="00420FC5">
      <w:pPr>
        <w:pStyle w:val="Brdtext"/>
        <w:rPr>
          <w:rFonts w:ascii="OrigGarmnd BT" w:hAnsi="OrigGarmnd BT"/>
          <w:i/>
          <w:iCs/>
        </w:rPr>
      </w:pPr>
    </w:p>
    <w:p w:rsidR="00420FC5" w:rsidRPr="00C52755" w:rsidRDefault="00420FC5">
      <w:pPr>
        <w:pStyle w:val="Brdtext"/>
        <w:rPr>
          <w:rFonts w:ascii="OrigGarmnd BT" w:hAnsi="OrigGarmnd BT"/>
          <w:i/>
          <w:iCs/>
        </w:rPr>
      </w:pPr>
      <w:r w:rsidRPr="00C52755">
        <w:rPr>
          <w:rFonts w:ascii="OrigGarmnd BT" w:hAnsi="OrigGarmnd BT"/>
          <w:i/>
          <w:iCs/>
        </w:rPr>
        <w:t>Svensk ståndpunkt</w:t>
      </w:r>
    </w:p>
    <w:p w:rsidR="00420FC5" w:rsidRPr="00C52755" w:rsidRDefault="00420FC5">
      <w:pPr>
        <w:rPr>
          <w:bCs/>
        </w:rPr>
      </w:pPr>
      <w:r w:rsidRPr="00C52755">
        <w:rPr>
          <w:bCs/>
        </w:rPr>
        <w:t>Sverige stödjer i huvudsak</w:t>
      </w:r>
      <w:r w:rsidRPr="00C52755">
        <w:rPr>
          <w:b/>
        </w:rPr>
        <w:t xml:space="preserve"> </w:t>
      </w:r>
      <w:r w:rsidRPr="00C52755">
        <w:rPr>
          <w:bCs/>
        </w:rPr>
        <w:t>både innehåll och syfte med rambeslutet. Sverige verkar i förhand</w:t>
      </w:r>
      <w:r w:rsidRPr="00C52755">
        <w:rPr>
          <w:bCs/>
        </w:rPr>
        <w:softHyphen/>
        <w:t>ling</w:t>
      </w:r>
      <w:r w:rsidRPr="00C52755">
        <w:rPr>
          <w:bCs/>
        </w:rPr>
        <w:softHyphen/>
        <w:t>arna för ett så stort mervärde som möjligt i förhållande till dagens tämligen tungrodda system om överförande av dömda personer mellan EU:s medlemsstater (enligt 1983 års Europarådskonvention och dess tilläggsprotokoll från 1997). Mervärdet ligger i en förenkling och effektivisering i hanteringen av överförandeärendena.</w:t>
      </w:r>
    </w:p>
    <w:p w:rsidR="00420FC5" w:rsidRPr="00C52755" w:rsidRDefault="00420FC5">
      <w:pPr>
        <w:pStyle w:val="Brdtext"/>
        <w:rPr>
          <w:rFonts w:ascii="OrigGarmnd BT" w:hAnsi="OrigGarmnd BT"/>
          <w:i/>
          <w:iCs/>
        </w:rPr>
      </w:pPr>
    </w:p>
    <w:p w:rsidR="00420FC5" w:rsidRPr="00C52755" w:rsidRDefault="00420FC5">
      <w:pPr>
        <w:pStyle w:val="RKnormal"/>
      </w:pPr>
      <w:r w:rsidRPr="00C52755">
        <w:t xml:space="preserve">Se vidare i bifogade </w:t>
      </w:r>
      <w:r w:rsidRPr="00C52755">
        <w:rPr>
          <w:u w:val="single"/>
        </w:rPr>
        <w:t>promemoria.</w:t>
      </w:r>
    </w:p>
    <w:p w:rsidR="00420FC5" w:rsidRPr="00C52755" w:rsidRDefault="00420FC5">
      <w:pPr>
        <w:pStyle w:val="RKnormal"/>
      </w:pPr>
    </w:p>
    <w:p w:rsidR="00420FC5" w:rsidRPr="00C52755" w:rsidRDefault="00420FC5">
      <w:pPr>
        <w:pStyle w:val="RKnormal"/>
      </w:pPr>
    </w:p>
    <w:p w:rsidR="00420FC5" w:rsidRPr="00C52755" w:rsidRDefault="00420FC5">
      <w:pPr>
        <w:pStyle w:val="RKnormal"/>
        <w:rPr>
          <w:b/>
          <w:bCs/>
        </w:rPr>
      </w:pPr>
      <w:r w:rsidRPr="00C52755">
        <w:rPr>
          <w:b/>
          <w:bCs/>
        </w:rPr>
        <w:t>7. Rambeslut om processuella rättigheter (BA)</w:t>
      </w:r>
    </w:p>
    <w:p w:rsidR="00420FC5" w:rsidRPr="00C52755" w:rsidRDefault="00420FC5">
      <w:pPr>
        <w:pStyle w:val="Brdtext"/>
        <w:rPr>
          <w:rFonts w:ascii="OrigGarmnd BT" w:hAnsi="OrigGarmnd BT"/>
        </w:rPr>
      </w:pPr>
    </w:p>
    <w:p w:rsidR="00420FC5" w:rsidRPr="00C52755" w:rsidRDefault="00420FC5">
      <w:pPr>
        <w:pStyle w:val="Brdtext"/>
        <w:rPr>
          <w:rFonts w:ascii="OrigGarmnd BT" w:hAnsi="OrigGarmnd BT"/>
          <w:i/>
          <w:iCs/>
        </w:rPr>
      </w:pPr>
      <w:r w:rsidRPr="00C52755">
        <w:rPr>
          <w:rFonts w:ascii="OrigGarmnd BT" w:hAnsi="OrigGarmnd BT"/>
        </w:rPr>
        <w:t xml:space="preserve"> </w:t>
      </w:r>
      <w:r w:rsidRPr="00C52755">
        <w:rPr>
          <w:rFonts w:ascii="OrigGarmnd BT" w:hAnsi="OrigGarmnd BT"/>
          <w:i/>
          <w:iCs/>
        </w:rPr>
        <w:t>Avsikten med behandlingen i rådet</w:t>
      </w:r>
    </w:p>
    <w:p w:rsidR="00420FC5" w:rsidRPr="00C52755" w:rsidRDefault="00420FC5">
      <w:pPr>
        <w:pStyle w:val="RKnormal"/>
      </w:pPr>
      <w:r w:rsidRPr="00C52755">
        <w:t>Diskussionspunkt. Avsikten är att nå politisk överenskommelse om att arbetet med ett bindande rambeslut skall fortgå, utan att utesluta möjligheten av en icke bindande resolution.</w:t>
      </w:r>
    </w:p>
    <w:p w:rsidR="00420FC5" w:rsidRPr="00C52755" w:rsidRDefault="00420FC5">
      <w:pPr>
        <w:pStyle w:val="Brdtext"/>
        <w:rPr>
          <w:rFonts w:ascii="OrigGarmnd BT" w:hAnsi="OrigGarmnd BT"/>
        </w:rPr>
      </w:pPr>
    </w:p>
    <w:p w:rsidR="00420FC5" w:rsidRPr="00C52755" w:rsidRDefault="00420FC5">
      <w:pPr>
        <w:pStyle w:val="Brdtext"/>
        <w:rPr>
          <w:rFonts w:ascii="OrigGarmnd BT" w:hAnsi="OrigGarmnd BT"/>
        </w:rPr>
      </w:pPr>
      <w:r w:rsidRPr="00C52755">
        <w:rPr>
          <w:rFonts w:ascii="OrigGarmnd BT" w:hAnsi="OrigGarmnd BT"/>
          <w:i/>
          <w:iCs/>
        </w:rPr>
        <w:t>Bakgrund</w:t>
      </w:r>
    </w:p>
    <w:p w:rsidR="00420FC5" w:rsidRPr="00C52755" w:rsidRDefault="00420FC5">
      <w:pPr>
        <w:pStyle w:val="RKnormal"/>
      </w:pPr>
      <w:r w:rsidRPr="00C52755">
        <w:t xml:space="preserve">Kommissionens förslag till rambeslut innehåller bestämmelser om processuella rättigheter för misstänkta och tilltalade i brottmål som handläggs i medlemsstaterna. Syftet med förslaget är att stärka misstänktas och tilltalades rättigheter i processen. </w:t>
      </w:r>
    </w:p>
    <w:p w:rsidR="00420FC5" w:rsidRPr="00C52755" w:rsidRDefault="00420FC5">
      <w:pPr>
        <w:pStyle w:val="RKnormal"/>
        <w:tabs>
          <w:tab w:val="left" w:pos="720"/>
        </w:tabs>
      </w:pPr>
    </w:p>
    <w:p w:rsidR="00420FC5" w:rsidRPr="00C52755" w:rsidRDefault="00420FC5">
      <w:pPr>
        <w:pStyle w:val="RKnormal"/>
      </w:pPr>
      <w:r w:rsidRPr="00C52755">
        <w:t>Flera medlemsstater har ifrågasatt den rättsliga grunden för kommissionens förslag. Rådets rättstjänst har yttrat sig beträffande den rättsliga grunden och ansett att förslaget har stöd i den av kommissionen angivna grunden. Några medlemsstater förespråkar ett icke bindande instrument på området i stället för ett rambeslut.</w:t>
      </w:r>
    </w:p>
    <w:p w:rsidR="00420FC5" w:rsidRPr="00C52755" w:rsidRDefault="00420FC5">
      <w:pPr>
        <w:pStyle w:val="RKnormal"/>
      </w:pPr>
    </w:p>
    <w:p w:rsidR="00420FC5" w:rsidRPr="00C52755" w:rsidRDefault="00420FC5">
      <w:pPr>
        <w:pStyle w:val="RKnormal"/>
      </w:pPr>
      <w:r w:rsidRPr="00C52755">
        <w:t>Förhandlingarna inleddes i september 2004. Under våren 2006 har förhandlingarna framförallt handlat om att finna en väg framåt för det fortsatta förhandlings</w:t>
      </w:r>
      <w:r w:rsidRPr="00C52755">
        <w:softHyphen/>
        <w:t>arbetet. Förslaget till rambeslut har hittills behandlats vid tre tillfällen i RIF-rådet, den 1–2 december 2005, den 27–28 april 2006 och den 1–2 juni 2006.</w:t>
      </w:r>
    </w:p>
    <w:p w:rsidR="00420FC5" w:rsidRPr="00C52755" w:rsidRDefault="00420FC5">
      <w:pPr>
        <w:pStyle w:val="RKnormal"/>
      </w:pPr>
    </w:p>
    <w:p w:rsidR="00420FC5" w:rsidRPr="00C52755" w:rsidRDefault="00420FC5">
      <w:pPr>
        <w:pStyle w:val="RKnormal"/>
      </w:pPr>
      <w:r w:rsidRPr="00C52755">
        <w:t>Förhandlingarna under våren 2006 resulterade i en överenskommelse i RIF-rådet den 1–2 juni 2006 att förhandlingsarbetet fortsättningsvis kan bedrivas med utgångspunkt från ett av ORDF reviderat förslag till ram</w:t>
      </w:r>
      <w:r w:rsidRPr="00C52755">
        <w:softHyphen/>
        <w:t>beslut samt att det fortsatta arbetet med de processuella rättig</w:t>
      </w:r>
      <w:r w:rsidRPr="00C52755">
        <w:softHyphen/>
        <w:t xml:space="preserve">heterna också bör omfatta diskussioner om praktiska åtgärder. Under det finska ordförandeskapet har parallella diskussioner förts om dels ett bindande rambeslut, dels en icke bindande resolution. </w:t>
      </w:r>
    </w:p>
    <w:p w:rsidR="00420FC5" w:rsidRPr="00C52755" w:rsidRDefault="00420FC5">
      <w:pPr>
        <w:pStyle w:val="Brdtext"/>
        <w:rPr>
          <w:rFonts w:ascii="OrigGarmnd BT" w:hAnsi="OrigGarmnd BT"/>
        </w:rPr>
      </w:pPr>
    </w:p>
    <w:p w:rsidR="00420FC5" w:rsidRPr="00C52755" w:rsidRDefault="00420FC5">
      <w:pPr>
        <w:pStyle w:val="Brdtext"/>
        <w:rPr>
          <w:rFonts w:ascii="OrigGarmnd BT" w:hAnsi="OrigGarmnd BT"/>
          <w:i/>
          <w:iCs/>
        </w:rPr>
      </w:pPr>
      <w:r w:rsidRPr="00C52755">
        <w:rPr>
          <w:rFonts w:ascii="OrigGarmnd BT" w:hAnsi="OrigGarmnd BT"/>
          <w:i/>
          <w:iCs/>
        </w:rPr>
        <w:t>Svensk ståndpunkt</w:t>
      </w:r>
    </w:p>
    <w:p w:rsidR="00420FC5" w:rsidRPr="00C52755" w:rsidRDefault="00420FC5">
      <w:pPr>
        <w:pStyle w:val="RKnormal"/>
      </w:pPr>
      <w:r w:rsidRPr="00C52755">
        <w:t>Sverige stödjer ORDF:s förslag. Sverige är av den bestämda uppfattningen att instrumentet skall vara bindande, dvs. ett rambeslut. Sverige är dock berett att parallellt diskutera förslaget till en icke bindande resolution på ett konstruktivt sätt.</w:t>
      </w:r>
    </w:p>
    <w:p w:rsidR="00420FC5" w:rsidRPr="00C52755" w:rsidRDefault="00420FC5">
      <w:pPr>
        <w:pStyle w:val="Brdtext"/>
        <w:rPr>
          <w:rFonts w:ascii="OrigGarmnd BT" w:hAnsi="OrigGarmnd BT"/>
        </w:rPr>
      </w:pPr>
    </w:p>
    <w:p w:rsidR="00420FC5" w:rsidRPr="00C52755" w:rsidRDefault="00420FC5">
      <w:pPr>
        <w:pStyle w:val="Brdtext"/>
        <w:rPr>
          <w:rFonts w:ascii="OrigGarmnd BT" w:hAnsi="OrigGarmnd BT"/>
        </w:rPr>
      </w:pPr>
      <w:r w:rsidRPr="00C52755">
        <w:rPr>
          <w:rFonts w:ascii="OrigGarmnd BT" w:hAnsi="OrigGarmnd BT"/>
        </w:rPr>
        <w:t xml:space="preserve">Se vidare i </w:t>
      </w:r>
      <w:r w:rsidRPr="00C52755">
        <w:rPr>
          <w:rFonts w:ascii="OrigGarmnd BT" w:hAnsi="OrigGarmnd BT"/>
          <w:u w:val="single"/>
        </w:rPr>
        <w:t>bifogad promemoria</w:t>
      </w:r>
      <w:r w:rsidRPr="00C52755">
        <w:rPr>
          <w:rFonts w:ascii="OrigGarmnd BT" w:hAnsi="OrigGarmnd BT"/>
        </w:rPr>
        <w:t>.</w:t>
      </w:r>
    </w:p>
    <w:p w:rsidR="00420FC5" w:rsidRPr="00C52755" w:rsidRDefault="00420FC5">
      <w:pPr>
        <w:ind w:left="567" w:hanging="567"/>
        <w:rPr>
          <w:rFonts w:ascii="OrigGarmnd BT" w:hAnsi="OrigGarmnd BT"/>
        </w:rPr>
      </w:pPr>
    </w:p>
    <w:p w:rsidR="00420FC5" w:rsidRPr="00C52755" w:rsidRDefault="00420FC5">
      <w:pPr>
        <w:rPr>
          <w:rFonts w:ascii="OrigGarmnd BT" w:hAnsi="OrigGarmnd BT"/>
        </w:rPr>
      </w:pPr>
    </w:p>
    <w:p w:rsidR="00420FC5" w:rsidRPr="00C52755" w:rsidRDefault="00420FC5">
      <w:pPr>
        <w:pStyle w:val="RKnormal"/>
        <w:rPr>
          <w:b/>
          <w:bCs/>
        </w:rPr>
      </w:pPr>
      <w:r w:rsidRPr="00C52755">
        <w:rPr>
          <w:b/>
          <w:bCs/>
        </w:rPr>
        <w:t>8. Förslag till rådsförordning om inrättande av en EU-byrå för grundläggande rättigheter samt förslag till rådsförordning om att ge EU:s byrå för grundläggande rättigheter rätt att bedriva verksamhet på de områden som avses i avd. VI FEU (BA)</w:t>
      </w:r>
    </w:p>
    <w:p w:rsidR="00420FC5" w:rsidRPr="00C52755" w:rsidRDefault="00420FC5">
      <w:pPr>
        <w:rPr>
          <w:rFonts w:ascii="OrigGarmnd BT" w:hAnsi="OrigGarmnd BT"/>
          <w:b/>
          <w:bCs/>
        </w:rPr>
      </w:pPr>
    </w:p>
    <w:p w:rsidR="00420FC5" w:rsidRPr="00C52755" w:rsidRDefault="00420FC5">
      <w:pPr>
        <w:rPr>
          <w:rFonts w:ascii="OrigGarmnd BT" w:hAnsi="OrigGarmnd BT"/>
          <w:i/>
          <w:iCs/>
        </w:rPr>
      </w:pPr>
      <w:r w:rsidRPr="00C52755">
        <w:rPr>
          <w:rFonts w:ascii="OrigGarmnd BT" w:hAnsi="OrigGarmnd BT"/>
          <w:i/>
          <w:iCs/>
        </w:rPr>
        <w:t>Avsikten med behandlingen i rådet</w:t>
      </w:r>
    </w:p>
    <w:p w:rsidR="00420FC5" w:rsidRPr="00C52755" w:rsidRDefault="00420FC5">
      <w:pPr>
        <w:tabs>
          <w:tab w:val="left" w:pos="2835"/>
        </w:tabs>
        <w:spacing w:line="240" w:lineRule="atLeast"/>
        <w:rPr>
          <w:rFonts w:ascii="OrigGarmnd BT" w:hAnsi="OrigGarmnd BT"/>
          <w:color w:val="000000"/>
        </w:rPr>
      </w:pPr>
      <w:r w:rsidRPr="00C52755">
        <w:rPr>
          <w:rFonts w:ascii="OrigGarmnd BT" w:hAnsi="OrigGarmnd BT"/>
        </w:rPr>
        <w:t>Diskussionspunkt. Avsikten är att nå en politisk överenskommelse avseende byrån i sin helhet. Det är framförallt frågan om byråns eventuella kompetens under avdelning VI FEU (polisiärt och straffrättsligt samarbete) som behöver lösas</w:t>
      </w:r>
      <w:r w:rsidRPr="00C52755">
        <w:rPr>
          <w:rFonts w:ascii="OrigGarmnd BT" w:hAnsi="OrigGarmnd BT"/>
          <w:bCs/>
        </w:rPr>
        <w:t>.</w:t>
      </w:r>
      <w:r w:rsidRPr="00C52755">
        <w:rPr>
          <w:rFonts w:ascii="OrigGarmnd BT" w:hAnsi="OrigGarmnd BT"/>
        </w:rPr>
        <w:t xml:space="preserve"> </w:t>
      </w:r>
    </w:p>
    <w:p w:rsidR="00420FC5" w:rsidRPr="00C52755" w:rsidRDefault="00420FC5">
      <w:pPr>
        <w:rPr>
          <w:rFonts w:ascii="OrigGarmnd BT" w:hAnsi="OrigGarmnd BT"/>
          <w:bCs/>
          <w:i/>
          <w:iCs/>
        </w:rPr>
      </w:pPr>
    </w:p>
    <w:p w:rsidR="00420FC5" w:rsidRPr="00C52755" w:rsidRDefault="00420FC5">
      <w:pPr>
        <w:pStyle w:val="RKnormal"/>
        <w:rPr>
          <w:i/>
        </w:rPr>
      </w:pPr>
      <w:r w:rsidRPr="00C52755">
        <w:rPr>
          <w:i/>
        </w:rPr>
        <w:t>Bakgrund</w:t>
      </w:r>
    </w:p>
    <w:p w:rsidR="00420FC5" w:rsidRPr="00C52755" w:rsidRDefault="00420FC5">
      <w:pPr>
        <w:pStyle w:val="RKnormal"/>
      </w:pPr>
      <w:r w:rsidRPr="00C52755">
        <w:t>Europeiska rådet beslutade i december 2003 att det europeiska centrumet i Wien för övervakning av rasism och främlingsfientlighet, EUMC, skall utvidgas till en byrå för grundläggande rättigheter. Förhandlingar om en rådsförordning om inrättandet av byrån pågår med målsättningen att byrån blir operativ den 1 januari 2007.</w:t>
      </w:r>
    </w:p>
    <w:p w:rsidR="00420FC5" w:rsidRPr="00C52755" w:rsidRDefault="00420FC5">
      <w:pPr>
        <w:pStyle w:val="RKnormal"/>
      </w:pPr>
    </w:p>
    <w:p w:rsidR="00420FC5" w:rsidRPr="00C52755" w:rsidRDefault="00420FC5">
      <w:pPr>
        <w:pStyle w:val="RKnormal"/>
      </w:pPr>
      <w:r w:rsidRPr="00C52755">
        <w:t>Kommissionen presenterade sitt förslag till rådsförordning i juli 2005. Enligt förslaget skall byrån ge stöd och sakkunskap i fråga om grundläggande rättigheter till berörda institutioner, organisationer, kontor och byråer inom gemenskapen och dess medlemsstater i samband med genomförandet av EU:s lagstiftning, för att hjälpa dem att till fullo respektera de grundläggande rättigheterna. Utgångspunkten för byråns verksamhet är att genom samarbete med berörda parter övervaka att aspekter om grundläggande rätt</w:t>
      </w:r>
      <w:r w:rsidRPr="00C52755">
        <w:t xml:space="preserve">igheter får en framträdande plats inom EU. Europaparlamentet har varit med i arbetet och ett antal så kallade triloger har hållits. Parlamentet har indikerat att omröstning skall ske i frågan den 29 och 30 november. Samtal har även kontinuerligt förts med Europarådet. </w:t>
      </w:r>
    </w:p>
    <w:p w:rsidR="00420FC5" w:rsidRPr="00C52755" w:rsidRDefault="00420FC5">
      <w:pPr>
        <w:pStyle w:val="RKnormal"/>
      </w:pPr>
    </w:p>
    <w:p w:rsidR="00420FC5" w:rsidRPr="00C52755" w:rsidRDefault="00420FC5">
      <w:pPr>
        <w:pStyle w:val="RKnormal"/>
        <w:rPr>
          <w:b/>
          <w:bCs/>
        </w:rPr>
      </w:pPr>
      <w:r w:rsidRPr="00C52755">
        <w:t>Sverige har tillsammans med några andra medlemsstater fört fram vikten av byråns oberoende och öppenhet och arbetat för att dubbelarbete undviks och då särskilt i förhållande till existerande system som redan arbetar med mänskliga rättigheter, såsom Europarådet. Vidare har Sverige drivit frågan om en aktiv dialog mellan byrån och enskilda organisationer samt övriga civila samhället liksom jämställdhetsfrågorna.</w:t>
      </w:r>
    </w:p>
    <w:p w:rsidR="00420FC5" w:rsidRPr="00C52755" w:rsidRDefault="00420FC5">
      <w:pPr>
        <w:rPr>
          <w:rFonts w:ascii="OrigGarmnd BT" w:hAnsi="OrigGarmnd BT"/>
          <w:bCs/>
          <w:i/>
          <w:iCs/>
        </w:rPr>
      </w:pPr>
    </w:p>
    <w:p w:rsidR="00420FC5" w:rsidRPr="00C52755" w:rsidRDefault="00420FC5">
      <w:pPr>
        <w:rPr>
          <w:rFonts w:ascii="OrigGarmnd BT" w:hAnsi="OrigGarmnd BT"/>
          <w:bCs/>
          <w:i/>
          <w:iCs/>
        </w:rPr>
      </w:pPr>
      <w:r w:rsidRPr="00C52755">
        <w:rPr>
          <w:rFonts w:ascii="OrigGarmnd BT" w:hAnsi="OrigGarmnd BT"/>
          <w:bCs/>
          <w:i/>
          <w:iCs/>
        </w:rPr>
        <w:t>Svensk ståndpunkt</w:t>
      </w:r>
    </w:p>
    <w:p w:rsidR="00420FC5" w:rsidRPr="00C52755" w:rsidRDefault="00420FC5">
      <w:pPr>
        <w:pStyle w:val="RKnormal"/>
        <w:rPr>
          <w:bCs/>
          <w:color w:val="000000"/>
        </w:rPr>
      </w:pPr>
      <w:r w:rsidRPr="00C52755">
        <w:t>Sverige välkomnar bildandet av en byrå för grundläggande rättigheter inom EU och anser att det bör leda till ett ökat skydd för de grundläggande rättigheterna inom unionen. Sverige anser att byråns mervärde skulle öka väsentligt om den gavs mandat att verka inom ramen för avdelning VI FEU (polisiärt och straffrättsligt samarbete).</w:t>
      </w:r>
    </w:p>
    <w:p w:rsidR="00420FC5" w:rsidRPr="00C52755" w:rsidRDefault="00420FC5">
      <w:pPr>
        <w:pStyle w:val="RKnormal"/>
      </w:pPr>
    </w:p>
    <w:p w:rsidR="00420FC5" w:rsidRPr="00C52755" w:rsidRDefault="00420FC5">
      <w:pPr>
        <w:pStyle w:val="RKnormal"/>
      </w:pPr>
      <w:r w:rsidRPr="00C52755">
        <w:t xml:space="preserve">Se vidare i </w:t>
      </w:r>
      <w:r w:rsidRPr="00C52755">
        <w:rPr>
          <w:u w:val="single"/>
        </w:rPr>
        <w:t>bifogad promemoria</w:t>
      </w:r>
      <w:r w:rsidRPr="00C52755">
        <w:t>.</w:t>
      </w:r>
    </w:p>
    <w:p w:rsidR="00420FC5" w:rsidRPr="00C52755" w:rsidRDefault="00420FC5">
      <w:pPr>
        <w:pStyle w:val="RKnormal"/>
      </w:pPr>
    </w:p>
    <w:p w:rsidR="00420FC5" w:rsidRPr="00C52755" w:rsidRDefault="00420FC5">
      <w:pPr>
        <w:rPr>
          <w:rFonts w:ascii="OrigGarmnd BT" w:hAnsi="OrigGarmnd BT"/>
        </w:rPr>
      </w:pPr>
    </w:p>
    <w:p w:rsidR="00420FC5" w:rsidRPr="00C52755" w:rsidRDefault="00420FC5">
      <w:pPr>
        <w:pStyle w:val="RKnormal"/>
        <w:rPr>
          <w:b/>
          <w:bCs/>
        </w:rPr>
      </w:pPr>
      <w:r w:rsidRPr="00C52755">
        <w:rPr>
          <w:b/>
          <w:bCs/>
        </w:rPr>
        <w:t>9. Kommissionens rekommendation till rådet att ge kommissionen mandat att med Europarådet förhandla fram ett samarbetsavtal mellan EU:s byrå för grundläggande rättigheter och Europarådet (BA)</w:t>
      </w:r>
    </w:p>
    <w:p w:rsidR="00420FC5" w:rsidRPr="00C52755" w:rsidRDefault="00420FC5">
      <w:pPr>
        <w:pStyle w:val="RKnormal"/>
        <w:rPr>
          <w:b/>
          <w:bCs/>
        </w:rPr>
      </w:pPr>
    </w:p>
    <w:p w:rsidR="00420FC5" w:rsidRPr="00C52755" w:rsidRDefault="00420FC5">
      <w:pPr>
        <w:rPr>
          <w:rFonts w:ascii="OrigGarmnd BT" w:hAnsi="OrigGarmnd BT"/>
          <w:i/>
          <w:iCs/>
        </w:rPr>
      </w:pPr>
      <w:r w:rsidRPr="00C52755">
        <w:rPr>
          <w:rFonts w:ascii="OrigGarmnd BT" w:hAnsi="OrigGarmnd BT"/>
          <w:i/>
          <w:iCs/>
        </w:rPr>
        <w:t>Avsikten med behandlingen i rådet</w:t>
      </w:r>
    </w:p>
    <w:p w:rsidR="00420FC5" w:rsidRPr="00C52755" w:rsidRDefault="00420FC5">
      <w:pPr>
        <w:pStyle w:val="RKnormal"/>
      </w:pPr>
      <w:r w:rsidRPr="00C52755">
        <w:t xml:space="preserve">Diskussionspunkt. Avsikten är att rådet skall uppnå en politisk överenskommelse om att ge kommissionen mandat att med Europarådet förhandla fram ett samarbetsavtal mellan EU:s byrå för grundläggande rättigheter och Europarådet. </w:t>
      </w:r>
    </w:p>
    <w:p w:rsidR="00420FC5" w:rsidRPr="00C52755" w:rsidRDefault="00420FC5">
      <w:pPr>
        <w:rPr>
          <w:rFonts w:ascii="OrigGarmnd BT" w:hAnsi="OrigGarmnd BT"/>
          <w:bCs/>
          <w:i/>
          <w:iCs/>
        </w:rPr>
      </w:pPr>
    </w:p>
    <w:p w:rsidR="00420FC5" w:rsidRPr="00C52755" w:rsidRDefault="00420FC5">
      <w:pPr>
        <w:rPr>
          <w:rFonts w:ascii="OrigGarmnd BT" w:hAnsi="OrigGarmnd BT"/>
        </w:rPr>
      </w:pPr>
      <w:r w:rsidRPr="00C52755">
        <w:rPr>
          <w:rFonts w:ascii="OrigGarmnd BT" w:hAnsi="OrigGarmnd BT"/>
          <w:bCs/>
          <w:i/>
          <w:iCs/>
        </w:rPr>
        <w:t>Bakgrund</w:t>
      </w:r>
    </w:p>
    <w:p w:rsidR="00420FC5" w:rsidRPr="00C52755" w:rsidRDefault="00420FC5">
      <w:pPr>
        <w:pStyle w:val="RKnormal"/>
      </w:pPr>
      <w:r w:rsidRPr="00C52755">
        <w:t xml:space="preserve">Under förhandlingsarbetet med EU:s byrå för grundläggande rättigheter har vikten av ett nära samarbete med Europarådet lyfts fram. </w:t>
      </w:r>
    </w:p>
    <w:p w:rsidR="00420FC5" w:rsidRPr="00C52755" w:rsidRDefault="00420FC5">
      <w:pPr>
        <w:pStyle w:val="RKnormal"/>
      </w:pPr>
      <w:r w:rsidRPr="00C52755">
        <w:t xml:space="preserve">Sverige har tillsammans med andra medlemsstater arbetat för att byråns arbete inte skall innebära dubbelarbete och då särskilt i förhållande till Europarådet. </w:t>
      </w:r>
    </w:p>
    <w:p w:rsidR="00420FC5" w:rsidRPr="00C52755" w:rsidRDefault="00420FC5">
      <w:pPr>
        <w:pStyle w:val="RKnormal"/>
      </w:pPr>
    </w:p>
    <w:p w:rsidR="00420FC5" w:rsidRPr="00C52755" w:rsidRDefault="00420FC5">
      <w:pPr>
        <w:pStyle w:val="RKnormal"/>
      </w:pPr>
      <w:r w:rsidRPr="00C52755">
        <w:t>Enligt förslaget till rådsförordning om inrättandet av byrån kommer Europarådet att ha en representant i byråns styrelse. Denna representant får också delta vid mötena i direktionen. Vidare framgår av nämnda rådsförordning att en överenskommelse om samarbete mellan byrån och Europarådet skall ingås. Mot bakgrund av detta har kommissionen utarbetat rekommendationen. Rådet skall nu ta ställning till kommissionens rekommendation till rådet att ge kommissionen mandat att med Europarådet förhandla fram ett samar</w:t>
      </w:r>
      <w:r w:rsidRPr="00C52755">
        <w:t>betsavtal mellan EU:s byrå för grundläggande rättigheter och Europarådet. Tanken är att en politisk överenskommelse skall kunna nås vid mötet. Målet är att kommissionens rekommendation sedan skall godkännas av rådet i samband med antagandet av rådsförordningen om inrättandet av byrån.</w:t>
      </w:r>
    </w:p>
    <w:p w:rsidR="00420FC5" w:rsidRPr="00C52755" w:rsidRDefault="00420FC5">
      <w:pPr>
        <w:pStyle w:val="RKnormal"/>
      </w:pPr>
    </w:p>
    <w:p w:rsidR="00420FC5" w:rsidRPr="00C52755" w:rsidRDefault="00420FC5">
      <w:pPr>
        <w:rPr>
          <w:i/>
          <w:iCs/>
        </w:rPr>
      </w:pPr>
      <w:r w:rsidRPr="00C52755">
        <w:rPr>
          <w:i/>
          <w:iCs/>
        </w:rPr>
        <w:t>Svensk ståndpunkt</w:t>
      </w:r>
    </w:p>
    <w:p w:rsidR="00420FC5" w:rsidRPr="00C52755" w:rsidRDefault="00420FC5">
      <w:pPr>
        <w:pStyle w:val="RKnormal"/>
      </w:pPr>
      <w:r w:rsidRPr="00C52755">
        <w:t xml:space="preserve">Sverige stödjer kommissionens rekommendation. När direktivet har diskuterats i ad hoc rådsarbetsgruppen har Sverige lyft fram vikten av att ett nära samarbete mellan byrån och Europarådet etableras. </w:t>
      </w:r>
    </w:p>
    <w:p w:rsidR="00420FC5" w:rsidRPr="00C52755" w:rsidRDefault="00420FC5">
      <w:pPr>
        <w:pStyle w:val="RKnormal"/>
      </w:pPr>
    </w:p>
    <w:p w:rsidR="00420FC5" w:rsidRPr="00C52755" w:rsidRDefault="00420FC5">
      <w:pPr>
        <w:rPr>
          <w:rFonts w:ascii="OrigGarmnd BT" w:hAnsi="OrigGarmnd BT"/>
        </w:rPr>
      </w:pPr>
    </w:p>
    <w:p w:rsidR="00420FC5" w:rsidRPr="00C52755" w:rsidRDefault="00420FC5">
      <w:pPr>
        <w:pStyle w:val="RKnormal"/>
        <w:rPr>
          <w:b/>
          <w:bCs/>
        </w:rPr>
      </w:pPr>
      <w:r w:rsidRPr="00C52755">
        <w:rPr>
          <w:b/>
          <w:bCs/>
        </w:rPr>
        <w:t>10. Rådets beslut om inrättande av det särskilda programmet ”Grundläggande rättigheter och medborgarskap” för perioden 2007-2013, som en del av det allmänna programmet ”Grundläggande rättigheter och rättvisa” (BA)</w:t>
      </w:r>
      <w:r w:rsidRPr="00C52755">
        <w:rPr>
          <w:b/>
          <w:bCs/>
        </w:rPr>
        <w:tab/>
      </w:r>
    </w:p>
    <w:p w:rsidR="00420FC5" w:rsidRPr="00C52755" w:rsidRDefault="00420FC5">
      <w:pPr>
        <w:rPr>
          <w:rFonts w:ascii="OrigGarmnd BT" w:hAnsi="OrigGarmnd BT"/>
        </w:rPr>
      </w:pPr>
    </w:p>
    <w:p w:rsidR="00420FC5" w:rsidRPr="00C52755" w:rsidRDefault="00420FC5">
      <w:pPr>
        <w:rPr>
          <w:rFonts w:ascii="OrigGarmnd BT" w:hAnsi="OrigGarmnd BT"/>
          <w:i/>
          <w:iCs/>
        </w:rPr>
      </w:pPr>
      <w:r w:rsidRPr="00C52755">
        <w:rPr>
          <w:rFonts w:ascii="OrigGarmnd BT" w:hAnsi="OrigGarmnd BT"/>
          <w:i/>
          <w:iCs/>
        </w:rPr>
        <w:t>Avsikten med behandlingen i rådet</w:t>
      </w:r>
    </w:p>
    <w:p w:rsidR="00420FC5" w:rsidRPr="00C52755" w:rsidRDefault="00420FC5">
      <w:pPr>
        <w:pStyle w:val="RKnormal"/>
      </w:pPr>
      <w:r w:rsidRPr="00C52755">
        <w:t>Diskussionspunkt. Avsikten är att rådet skall nå en politisk överenskommelse om programmet. Frågan om öronmärkning av medel till europeiska organisationer, hänvisning till den Europeiska unionens stadga om de grundläggande rättigheterna i artikeltexten eller enbart i preambeln och det geografiska mandatet för programmet återstår att lösa.</w:t>
      </w:r>
    </w:p>
    <w:p w:rsidR="00420FC5" w:rsidRPr="00C52755" w:rsidRDefault="00420FC5">
      <w:pPr>
        <w:rPr>
          <w:rFonts w:ascii="OrigGarmnd BT" w:hAnsi="OrigGarmnd BT"/>
          <w:bCs/>
          <w:i/>
          <w:iCs/>
        </w:rPr>
      </w:pPr>
    </w:p>
    <w:p w:rsidR="00420FC5" w:rsidRPr="00C52755" w:rsidRDefault="00420FC5">
      <w:pPr>
        <w:pStyle w:val="RKnormal"/>
        <w:rPr>
          <w:i/>
          <w:iCs/>
        </w:rPr>
      </w:pPr>
      <w:r w:rsidRPr="00C52755">
        <w:rPr>
          <w:i/>
          <w:iCs/>
        </w:rPr>
        <w:t>Bakgrund</w:t>
      </w:r>
    </w:p>
    <w:p w:rsidR="00420FC5" w:rsidRPr="00C52755" w:rsidRDefault="00420FC5">
      <w:pPr>
        <w:pStyle w:val="RKnormal"/>
      </w:pPr>
      <w:r w:rsidRPr="00C52755">
        <w:t>I juni 2005 lade kommissionen fram förslag till rådets beslut om inrättande av det särskilda programmet Grundläggande rättigheter och medborgarskap för perioden 2007-2013. Detta utgör en del av det allmänna programmet Grundläggande rättigheter och rättvisa. Programmets allmänna mål är att främja de grundläggande rättigheterna, stödja det civila samhället och uppmuntra en öppen, transparent och regelbunden dialog om grundläggande rättigheter. Att bekämpa rasism, främlingsfientlighet och antisemitism ingår o</w:t>
      </w:r>
      <w:r w:rsidRPr="00C52755">
        <w:t xml:space="preserve">ckså. Programmets allmänna mål ska komplettera målen för den blivande byrån för grundläggande rättigheter. Detta ska ske genom vissa åtgärder som vidtas av kommissionen såsom studier, undersökningar, konferenser och evenemang samt stöd till gränsöverskridande projekt och stöd till organisationer eller organ. </w:t>
      </w:r>
    </w:p>
    <w:p w:rsidR="00420FC5" w:rsidRPr="00C52755" w:rsidRDefault="00420FC5">
      <w:pPr>
        <w:pStyle w:val="RKnormal"/>
      </w:pPr>
    </w:p>
    <w:p w:rsidR="00420FC5" w:rsidRPr="00C52755" w:rsidRDefault="00420FC5">
      <w:pPr>
        <w:pStyle w:val="RKnormal"/>
      </w:pPr>
      <w:r w:rsidRPr="00C52755">
        <w:t>Flera medlemsstater, däribland Sverige, har haft synpunkter på texten. Det finns nu enighet i rådet kring hela förslaget, med undantag för frågan om öronmärkning av medel till europeiska organisationer, hänvisning till stadgan i artikeltexten eller enbart i preambeln och det geografiska mandatet för programmet. Rådet begärde i maj 2005 att EP skulle yttra sig om förslaget. EP har ännu inte lämnat något yttrande, men de kommer troligen att behandla programmet den 29 november 2006.</w:t>
      </w:r>
    </w:p>
    <w:p w:rsidR="00420FC5" w:rsidRPr="00C52755" w:rsidRDefault="00420FC5">
      <w:pPr>
        <w:pStyle w:val="RKnormal"/>
      </w:pPr>
    </w:p>
    <w:p w:rsidR="00420FC5" w:rsidRPr="00C52755" w:rsidRDefault="00420FC5">
      <w:pPr>
        <w:pStyle w:val="RKnormal"/>
        <w:rPr>
          <w:color w:val="000000"/>
        </w:rPr>
      </w:pPr>
      <w:r w:rsidRPr="00C52755">
        <w:rPr>
          <w:color w:val="000000"/>
        </w:rPr>
        <w:t>Enligt kommissionens ursprungliga förslag var budgeten för programmet för åren 2007-2013 föreslagen till 199 miljoner euro. Budgeten kommer slutligt att fastställas i Ekofinrådet den 28 november.</w:t>
      </w:r>
    </w:p>
    <w:p w:rsidR="00420FC5" w:rsidRPr="00C52755" w:rsidRDefault="00420FC5">
      <w:pPr>
        <w:pStyle w:val="RKnormal"/>
        <w:rPr>
          <w:color w:val="000000"/>
        </w:rPr>
      </w:pPr>
    </w:p>
    <w:p w:rsidR="00420FC5" w:rsidRPr="00C52755" w:rsidRDefault="00420FC5">
      <w:pPr>
        <w:pStyle w:val="RKnormal"/>
        <w:rPr>
          <w:color w:val="000000"/>
        </w:rPr>
      </w:pPr>
      <w:r w:rsidRPr="00C52755">
        <w:t>Ärendet har inte tidigare behandlats i EU-nämnden.</w:t>
      </w:r>
    </w:p>
    <w:p w:rsidR="00420FC5" w:rsidRPr="00C52755" w:rsidRDefault="00420FC5">
      <w:pPr>
        <w:pStyle w:val="RKnormal"/>
        <w:rPr>
          <w:color w:val="000000"/>
        </w:rPr>
      </w:pPr>
    </w:p>
    <w:p w:rsidR="00420FC5" w:rsidRPr="00C52755" w:rsidRDefault="00420FC5">
      <w:pPr>
        <w:pStyle w:val="RKnormal"/>
        <w:rPr>
          <w:i/>
          <w:iCs/>
        </w:rPr>
      </w:pPr>
      <w:r w:rsidRPr="00C52755">
        <w:rPr>
          <w:i/>
          <w:iCs/>
        </w:rPr>
        <w:t>Svensk ståndpunkt</w:t>
      </w:r>
    </w:p>
    <w:p w:rsidR="00420FC5" w:rsidRPr="00C52755" w:rsidRDefault="00420FC5">
      <w:pPr>
        <w:pStyle w:val="RKnormal"/>
        <w:rPr>
          <w:i/>
          <w:iCs/>
        </w:rPr>
      </w:pPr>
      <w:r w:rsidRPr="00C52755">
        <w:t xml:space="preserve">Sverige förespråkar att stadgan endast bör omnämnas i preambeln. Om en majoritet medlemsländer förespråkar att en hänvisning till stadgan skall göras i artikeltexten kan Sverige dock acceptera detta. </w:t>
      </w:r>
    </w:p>
    <w:p w:rsidR="00420FC5" w:rsidRPr="00C52755" w:rsidRDefault="00420FC5">
      <w:pPr>
        <w:pStyle w:val="RKnormal"/>
      </w:pPr>
    </w:p>
    <w:p w:rsidR="00420FC5" w:rsidRPr="00C52755" w:rsidRDefault="00420FC5">
      <w:pPr>
        <w:pStyle w:val="RKnormal"/>
      </w:pPr>
      <w:r w:rsidRPr="00C52755">
        <w:t>I frågan om öronmärkning av medel förespråkar Sverige att detta skall bekgränsas till databaser, i enlighet med ORDF kompromissförslag inför Coreper.</w:t>
      </w:r>
    </w:p>
    <w:p w:rsidR="00420FC5" w:rsidRPr="00C52755" w:rsidRDefault="00420FC5">
      <w:pPr>
        <w:pStyle w:val="RKnormal"/>
        <w:rPr>
          <w:i/>
          <w:iCs/>
          <w:u w:val="single"/>
        </w:rPr>
      </w:pPr>
    </w:p>
    <w:p w:rsidR="00420FC5" w:rsidRPr="00C52755" w:rsidRDefault="00420FC5">
      <w:pPr>
        <w:pStyle w:val="RKnormal"/>
        <w:rPr>
          <w:bCs/>
          <w:i/>
          <w:iCs/>
        </w:rPr>
      </w:pPr>
      <w:r w:rsidRPr="00C52755">
        <w:t>Ett medlemsland har framfört önskemål om att begränsa programmets geografiska mandat så att länderna på västra Balkan inte skall ges möjlighet att kunna delta i programmets aktiviteter. Sverige förespråkar att länderna på västra Balkan skall ges möjlighet att delta i programmets aktiviteter.</w:t>
      </w:r>
    </w:p>
    <w:p w:rsidR="00420FC5" w:rsidRPr="00C52755" w:rsidRDefault="00420FC5">
      <w:pPr>
        <w:rPr>
          <w:rFonts w:ascii="OrigGarmnd BT" w:hAnsi="OrigGarmnd BT"/>
        </w:rPr>
      </w:pPr>
    </w:p>
    <w:p w:rsidR="00420FC5" w:rsidRPr="00C52755" w:rsidRDefault="00420FC5">
      <w:pPr>
        <w:rPr>
          <w:rFonts w:ascii="OrigGarmnd BT" w:hAnsi="OrigGarmnd BT"/>
        </w:rPr>
      </w:pPr>
    </w:p>
    <w:p w:rsidR="00420FC5" w:rsidRPr="00C52755" w:rsidRDefault="00420FC5">
      <w:pPr>
        <w:ind w:left="567" w:hanging="567"/>
        <w:rPr>
          <w:rFonts w:ascii="OrigGarmnd BT" w:hAnsi="OrigGarmnd BT"/>
          <w:b/>
          <w:bCs/>
          <w:szCs w:val="24"/>
        </w:rPr>
      </w:pPr>
      <w:r w:rsidRPr="00C52755">
        <w:rPr>
          <w:rFonts w:ascii="OrigGarmnd BT" w:hAnsi="OrigGarmnd BT"/>
          <w:b/>
          <w:bCs/>
          <w:szCs w:val="24"/>
        </w:rPr>
        <w:t>11. Kommissionens meddelande om genomförande av uppföljningen</w:t>
      </w:r>
    </w:p>
    <w:p w:rsidR="00420FC5" w:rsidRPr="00C52755" w:rsidRDefault="00420FC5">
      <w:pPr>
        <w:ind w:left="567" w:hanging="567"/>
        <w:rPr>
          <w:rFonts w:ascii="OrigGarmnd BT" w:hAnsi="OrigGarmnd BT"/>
          <w:b/>
          <w:bCs/>
          <w:szCs w:val="24"/>
        </w:rPr>
      </w:pPr>
      <w:r w:rsidRPr="00C52755">
        <w:rPr>
          <w:rFonts w:ascii="OrigGarmnd BT" w:hAnsi="OrigGarmnd BT"/>
          <w:b/>
          <w:bCs/>
          <w:szCs w:val="24"/>
        </w:rPr>
        <w:t>av Hampton Court och den övergripande strategin för migration</w:t>
      </w:r>
    </w:p>
    <w:p w:rsidR="00420FC5" w:rsidRPr="00C52755" w:rsidRDefault="00420FC5">
      <w:pPr>
        <w:ind w:left="567" w:hanging="567"/>
        <w:rPr>
          <w:rFonts w:ascii="OrigGarmnd BT" w:hAnsi="OrigGarmnd BT"/>
          <w:b/>
          <w:bCs/>
          <w:szCs w:val="24"/>
        </w:rPr>
      </w:pPr>
      <w:r w:rsidRPr="00C52755">
        <w:rPr>
          <w:rFonts w:ascii="OrigGarmnd BT" w:hAnsi="OrigGarmnd BT"/>
          <w:b/>
          <w:bCs/>
          <w:szCs w:val="24"/>
        </w:rPr>
        <w:t>(TB)</w:t>
      </w:r>
    </w:p>
    <w:p w:rsidR="00420FC5" w:rsidRPr="00C52755" w:rsidRDefault="00420FC5">
      <w:pPr>
        <w:ind w:left="567" w:hanging="567"/>
        <w:rPr>
          <w:rFonts w:ascii="OrigGarmnd BT" w:hAnsi="OrigGarmnd BT"/>
          <w:b/>
          <w:bCs/>
          <w:szCs w:val="24"/>
        </w:rPr>
      </w:pPr>
    </w:p>
    <w:p w:rsidR="00420FC5" w:rsidRPr="00C52755" w:rsidRDefault="00420FC5">
      <w:pPr>
        <w:rPr>
          <w:rFonts w:ascii="OrigGarmnd BT" w:hAnsi="OrigGarmnd BT"/>
          <w:i/>
          <w:iCs/>
        </w:rPr>
      </w:pPr>
      <w:r w:rsidRPr="00C52755">
        <w:rPr>
          <w:rFonts w:ascii="OrigGarmnd BT" w:hAnsi="OrigGarmnd BT"/>
          <w:i/>
          <w:iCs/>
        </w:rPr>
        <w:t>Avsikten med behandlingen i rådet</w:t>
      </w:r>
    </w:p>
    <w:p w:rsidR="00420FC5" w:rsidRPr="00C52755" w:rsidRDefault="00420FC5">
      <w:pPr>
        <w:pStyle w:val="RKnormal"/>
      </w:pPr>
      <w:r w:rsidRPr="00C52755">
        <w:t>Föredragning av kommissionen.</w:t>
      </w:r>
    </w:p>
    <w:p w:rsidR="00420FC5" w:rsidRPr="00C52755" w:rsidRDefault="00420FC5">
      <w:pPr>
        <w:rPr>
          <w:rFonts w:ascii="OrigGarmnd BT" w:hAnsi="OrigGarmnd BT"/>
          <w:bCs/>
          <w:i/>
          <w:iCs/>
        </w:rPr>
      </w:pPr>
    </w:p>
    <w:p w:rsidR="00420FC5" w:rsidRPr="00C52755" w:rsidRDefault="00420FC5">
      <w:pPr>
        <w:rPr>
          <w:rFonts w:ascii="OrigGarmnd BT" w:hAnsi="OrigGarmnd BT"/>
          <w:bCs/>
          <w:i/>
          <w:iCs/>
        </w:rPr>
      </w:pPr>
      <w:r w:rsidRPr="00C52755">
        <w:rPr>
          <w:rFonts w:ascii="OrigGarmnd BT" w:hAnsi="OrigGarmnd BT"/>
          <w:bCs/>
          <w:i/>
          <w:iCs/>
        </w:rPr>
        <w:t>Bakgrund</w:t>
      </w:r>
    </w:p>
    <w:p w:rsidR="00420FC5" w:rsidRPr="00C52755" w:rsidRDefault="00420FC5">
      <w:pPr>
        <w:pStyle w:val="RKnormal"/>
      </w:pPr>
      <w:r w:rsidRPr="00C52755">
        <w:t xml:space="preserve">Europeiska rådet antog den 15 – 16 december 2005 en handlingsplan med prioriterade åtgärder för att tillförsäkra att alla länder skulle kunna få del av migrationens positiva effekter. Handlingsplanen, i form av en lista med konkreta insatser som skulle genomföras under 2006,  omfattade åtgärder med fokus på Afrika inom områdena laglig resp. olaglig migration, migration och utveckling samt gränskontrollinsatser kring EU:s södra gräns. Upp till 3% av grannskapsbudgeten (ENPI) och ”motsvarande ansträngningar </w:t>
      </w:r>
      <w:r w:rsidRPr="00C52755">
        <w:t xml:space="preserve">(efforts) från andra relevanta finansieringsinstrument” skulle avsättas för handlingsplanens genomförande.  </w:t>
      </w:r>
    </w:p>
    <w:p w:rsidR="00420FC5" w:rsidRPr="00C52755" w:rsidRDefault="00420FC5">
      <w:pPr>
        <w:pStyle w:val="RKnormal"/>
      </w:pPr>
    </w:p>
    <w:p w:rsidR="00420FC5" w:rsidRPr="00C52755" w:rsidRDefault="00420FC5">
      <w:pPr>
        <w:pStyle w:val="RKnormal"/>
      </w:pPr>
      <w:r w:rsidRPr="00C52755">
        <w:t xml:space="preserve">Kommissionen förväntas den 30 november 2006 anta ett meddelande om genomförandet av handlingsplanen. </w:t>
      </w:r>
    </w:p>
    <w:p w:rsidR="00420FC5" w:rsidRPr="00C52755" w:rsidRDefault="00420FC5">
      <w:pPr>
        <w:rPr>
          <w:i/>
          <w:iCs/>
        </w:rPr>
      </w:pPr>
    </w:p>
    <w:p w:rsidR="00420FC5" w:rsidRPr="00C52755" w:rsidRDefault="00420FC5">
      <w:pPr>
        <w:rPr>
          <w:i/>
          <w:iCs/>
        </w:rPr>
      </w:pPr>
      <w:r w:rsidRPr="00C52755">
        <w:rPr>
          <w:i/>
          <w:iCs/>
        </w:rPr>
        <w:t>Svensk ståndpunkt</w:t>
      </w:r>
    </w:p>
    <w:p w:rsidR="00420FC5" w:rsidRPr="00C52755" w:rsidRDefault="00420FC5">
      <w:pPr>
        <w:pStyle w:val="RKnormal"/>
      </w:pPr>
      <w:r w:rsidRPr="00C52755">
        <w:t xml:space="preserve">Sverige anser att det är viktigt med en bred ansats i migrationshanteringen och att det är väsentligt med samstämmighet mellan olika politikområden. Sverige ser gärna att handlingsprogrammets geografiska fokus breddas. </w:t>
      </w:r>
    </w:p>
    <w:p w:rsidR="00420FC5" w:rsidRPr="00C52755" w:rsidRDefault="00420FC5">
      <w:pPr>
        <w:rPr>
          <w:rFonts w:ascii="OrigGarmnd BT" w:hAnsi="OrigGarmnd BT"/>
          <w:b/>
          <w:color w:val="000000"/>
        </w:rPr>
      </w:pPr>
    </w:p>
    <w:p w:rsidR="00420FC5" w:rsidRPr="00C52755" w:rsidRDefault="00420FC5">
      <w:pPr>
        <w:rPr>
          <w:rFonts w:ascii="OrigGarmnd BT" w:hAnsi="OrigGarmnd BT"/>
          <w:b/>
          <w:color w:val="000000"/>
        </w:rPr>
      </w:pPr>
    </w:p>
    <w:p w:rsidR="00420FC5" w:rsidRPr="00C52755" w:rsidRDefault="00420FC5">
      <w:pPr>
        <w:pStyle w:val="RKnormal"/>
        <w:rPr>
          <w:b/>
          <w:bCs/>
        </w:rPr>
      </w:pPr>
      <w:r w:rsidRPr="00C52755">
        <w:rPr>
          <w:b/>
          <w:bCs/>
        </w:rPr>
        <w:t>12. Kommissionens meddelande om förstärkning av förvaltningen av Europeiska unionens södra sjögränser en strategi för hantering av de södra sjögränserna (BA)</w:t>
      </w:r>
    </w:p>
    <w:p w:rsidR="00420FC5" w:rsidRPr="00C52755" w:rsidRDefault="00420FC5">
      <w:pPr>
        <w:pStyle w:val="RKnormal"/>
        <w:rPr>
          <w:lang w:eastAsia="fr-BE"/>
        </w:rPr>
      </w:pPr>
    </w:p>
    <w:p w:rsidR="00420FC5" w:rsidRPr="00C52755" w:rsidRDefault="00420FC5">
      <w:pPr>
        <w:pStyle w:val="RKnormal"/>
        <w:rPr>
          <w:i/>
          <w:iCs/>
        </w:rPr>
      </w:pPr>
      <w:r w:rsidRPr="00C52755">
        <w:rPr>
          <w:i/>
          <w:iCs/>
        </w:rPr>
        <w:t>Avsikten med behandlingen i rådet</w:t>
      </w:r>
    </w:p>
    <w:p w:rsidR="00420FC5" w:rsidRPr="00C52755" w:rsidRDefault="00420FC5">
      <w:pPr>
        <w:pStyle w:val="RKnormal"/>
      </w:pPr>
      <w:r w:rsidRPr="00C52755">
        <w:t>Informationspunkt. Presentation av kommissionen.</w:t>
      </w:r>
    </w:p>
    <w:p w:rsidR="00420FC5" w:rsidRPr="00C52755" w:rsidRDefault="00420FC5">
      <w:pPr>
        <w:pStyle w:val="RKnormal"/>
      </w:pPr>
    </w:p>
    <w:p w:rsidR="00420FC5" w:rsidRPr="00C52755" w:rsidRDefault="00420FC5">
      <w:pPr>
        <w:pStyle w:val="RKnormal"/>
        <w:rPr>
          <w:i/>
          <w:iCs/>
        </w:rPr>
      </w:pPr>
      <w:r w:rsidRPr="00C52755">
        <w:rPr>
          <w:i/>
          <w:iCs/>
        </w:rPr>
        <w:t>Bakgrund</w:t>
      </w:r>
    </w:p>
    <w:p w:rsidR="00420FC5" w:rsidRPr="00C52755" w:rsidRDefault="00420FC5">
      <w:pPr>
        <w:pStyle w:val="RKnormal"/>
      </w:pPr>
      <w:r w:rsidRPr="00C52755">
        <w:t xml:space="preserve">Årets kraftiga migrationström från Afrika till Europa via främst Spanien (inkl. Kanarieöarna), Italien och Malta har lett till en mycket ansträngd situation för dessa länder. Samtidigt har många människor tragiskt förolyckats på vägen, i sökandet efter ett bättre liv. Insatser behövs av såväl den Europeiska unionen som de afrikanska ursprungs- och transitländerna. </w:t>
      </w:r>
    </w:p>
    <w:p w:rsidR="00420FC5" w:rsidRPr="00C52755" w:rsidRDefault="00420FC5">
      <w:pPr>
        <w:pStyle w:val="RKnormal"/>
      </w:pPr>
    </w:p>
    <w:p w:rsidR="00420FC5" w:rsidRPr="00C52755" w:rsidRDefault="00420FC5">
      <w:pPr>
        <w:pStyle w:val="RKnormal"/>
        <w:rPr>
          <w:color w:val="000000"/>
        </w:rPr>
      </w:pPr>
      <w:r w:rsidRPr="00C52755">
        <w:t xml:space="preserve">Mot denna bakgrund antog rådet för rättsliga och inrikes frågor vid sitt möte den 5-6 oktober 2006 ett antal slutsatser om förstärkning av den Europeiska unionens södra sjögränser. I en av dessa slutsatser uppmanades kommissionen att i samarbete med den europeiska gränsbyrån (Frontex) före slutet av år 2006 presentera ett meddelande med förslag till åtgärder som kan vidtas på kort sikt, för att ge unionen nödvändig kapacitet att </w:t>
      </w:r>
      <w:r w:rsidRPr="00C52755">
        <w:rPr>
          <w:color w:val="000000"/>
        </w:rPr>
        <w:t>bistå med att förhindra och hantera migrationskriser. Särskilt skulle kommissionen</w:t>
      </w:r>
    </w:p>
    <w:p w:rsidR="00420FC5" w:rsidRPr="00C52755" w:rsidRDefault="00420FC5">
      <w:pPr>
        <w:pStyle w:val="RKnormal"/>
        <w:rPr>
          <w:color w:val="000000"/>
        </w:rPr>
      </w:pPr>
      <w:r w:rsidRPr="00C52755">
        <w:rPr>
          <w:color w:val="000000"/>
        </w:rPr>
        <w:t>- undersöka nödvändigheten och möjligheterna att förstärka Frontex med ytterligare personal och ett ökat budgetanslag för att den ska öka sin förmåga att omedelbart reagera på krissituationer</w:t>
      </w:r>
    </w:p>
    <w:p w:rsidR="00420FC5" w:rsidRPr="00C52755" w:rsidRDefault="00420FC5">
      <w:pPr>
        <w:pStyle w:val="RKnormal"/>
        <w:rPr>
          <w:color w:val="000000"/>
        </w:rPr>
      </w:pPr>
      <w:r w:rsidRPr="00C52755">
        <w:rPr>
          <w:color w:val="000000"/>
        </w:rPr>
        <w:t>- följa upp sin granskning av internationell havsrätt, i syfte att bistå i utarbetandet av riktlinjer om bekämpning av migrationsflöden till havs, utan att det påverkar de principer som fastställs i internationella instrument om havsrätt och skydd för flyktingar</w:t>
      </w:r>
    </w:p>
    <w:p w:rsidR="00420FC5" w:rsidRPr="00C52755" w:rsidRDefault="00420FC5">
      <w:pPr>
        <w:pStyle w:val="RKnormal"/>
        <w:rPr>
          <w:color w:val="000000"/>
        </w:rPr>
      </w:pPr>
      <w:r w:rsidRPr="00C52755">
        <w:rPr>
          <w:color w:val="000000"/>
        </w:rPr>
        <w:t>- bedöma behoven av och undersöka sätten att garantera ett lämpligt mottagande för de fall där ett stort antal tredjelandsmedborgare på olagligt sätt försöker att ta sig in på en medlemsstats territorium</w:t>
      </w:r>
    </w:p>
    <w:p w:rsidR="00420FC5" w:rsidRPr="00C52755" w:rsidRDefault="00420FC5">
      <w:pPr>
        <w:pStyle w:val="RKnormal"/>
        <w:rPr>
          <w:color w:val="000000"/>
        </w:rPr>
      </w:pPr>
      <w:r w:rsidRPr="00C52755">
        <w:t>- undersöka sätt att förbättra identifieringen och återsändandet av olagliga invandrare (utan dokument) genom att inrätta och mer effektivt använda överenskomna och befintliga europeiska databaser</w:t>
      </w:r>
    </w:p>
    <w:p w:rsidR="00420FC5" w:rsidRPr="00C52755" w:rsidRDefault="00420FC5">
      <w:pPr>
        <w:pStyle w:val="RKnormal"/>
      </w:pPr>
    </w:p>
    <w:p w:rsidR="00420FC5" w:rsidRPr="00C52755" w:rsidRDefault="00420FC5">
      <w:pPr>
        <w:pStyle w:val="RKnormal"/>
      </w:pPr>
      <w:r w:rsidRPr="00C52755">
        <w:t>Kommissionen ska nu, som svar på rådets uppmaning, presentera sitt meddelande om förstärkning av förvaltningen av Europeiska unionens södra sjögränser. Meddelandets innehåll är ännu okänt.</w:t>
      </w:r>
    </w:p>
    <w:p w:rsidR="00420FC5" w:rsidRPr="00C52755" w:rsidRDefault="00420FC5">
      <w:pPr>
        <w:pStyle w:val="RKnormal"/>
        <w:rPr>
          <w:color w:val="000000"/>
        </w:rPr>
      </w:pPr>
    </w:p>
    <w:p w:rsidR="00420FC5" w:rsidRPr="00C52755" w:rsidRDefault="00420FC5">
      <w:pPr>
        <w:pStyle w:val="RKnormal"/>
        <w:rPr>
          <w:i/>
          <w:iCs/>
          <w:color w:val="000000"/>
        </w:rPr>
      </w:pPr>
      <w:r w:rsidRPr="00C52755">
        <w:rPr>
          <w:i/>
          <w:iCs/>
          <w:color w:val="000000"/>
        </w:rPr>
        <w:t>Svensk ståndpunkt</w:t>
      </w:r>
    </w:p>
    <w:p w:rsidR="00420FC5" w:rsidRPr="00C52755" w:rsidRDefault="00420FC5">
      <w:pPr>
        <w:pStyle w:val="RKnormal"/>
      </w:pPr>
      <w:r w:rsidRPr="00C52755">
        <w:rPr>
          <w:color w:val="000000"/>
        </w:rPr>
        <w:t>Vid RIF-rådets möte den 4-5 december 2006 ska kommissionen presentera sitt meddelande för första gången och därför kan medlemsstaterna inte förväntas ange några ståndpunkter.</w:t>
      </w:r>
    </w:p>
    <w:p w:rsidR="00420FC5" w:rsidRPr="00C52755" w:rsidRDefault="00420FC5">
      <w:pPr>
        <w:rPr>
          <w:rFonts w:ascii="OrigGarmnd BT" w:hAnsi="OrigGarmnd BT"/>
          <w:bCs/>
          <w:i/>
          <w:iCs/>
        </w:rPr>
      </w:pPr>
    </w:p>
    <w:p w:rsidR="00420FC5" w:rsidRPr="00C52755" w:rsidRDefault="00420FC5">
      <w:pPr>
        <w:pStyle w:val="RKnormal"/>
        <w:rPr>
          <w:b/>
          <w:bCs/>
        </w:rPr>
      </w:pPr>
    </w:p>
    <w:p w:rsidR="00420FC5" w:rsidRPr="00C52755" w:rsidRDefault="00420FC5">
      <w:pPr>
        <w:pStyle w:val="RKnormal"/>
        <w:rPr>
          <w:b/>
          <w:bCs/>
        </w:rPr>
      </w:pPr>
      <w:r w:rsidRPr="00C52755">
        <w:rPr>
          <w:b/>
          <w:bCs/>
        </w:rPr>
        <w:t>13. Fullständigt genomförande av Schengenregelverket</w:t>
      </w:r>
    </w:p>
    <w:p w:rsidR="00420FC5" w:rsidRPr="00C52755" w:rsidRDefault="00420FC5">
      <w:pPr>
        <w:pStyle w:val="RKnormal"/>
        <w:rPr>
          <w:b/>
          <w:bCs/>
        </w:rPr>
      </w:pPr>
      <w:r w:rsidRPr="00C52755">
        <w:rPr>
          <w:b/>
          <w:bCs/>
        </w:rPr>
        <w:t>a) Utkast till rådets slutsatser om beredskapen hos de tio nya medlemsstaterna att genomföra samtliga bestämmelser i Schengenregelverket utom SIS</w:t>
      </w:r>
      <w:r w:rsidRPr="00C52755">
        <w:rPr>
          <w:b/>
          <w:bCs/>
        </w:rPr>
        <w:noBreakHyphen/>
        <w:t>relaterade frågor</w:t>
      </w:r>
    </w:p>
    <w:p w:rsidR="00420FC5" w:rsidRPr="00C52755" w:rsidRDefault="00420FC5">
      <w:pPr>
        <w:pStyle w:val="RKnormal"/>
        <w:rPr>
          <w:b/>
          <w:bCs/>
        </w:rPr>
      </w:pPr>
      <w:r w:rsidRPr="00C52755">
        <w:rPr>
          <w:b/>
          <w:bCs/>
        </w:rPr>
        <w:t>b) SIS II</w:t>
      </w:r>
    </w:p>
    <w:p w:rsidR="00420FC5" w:rsidRPr="00C52755" w:rsidRDefault="00420FC5">
      <w:pPr>
        <w:pStyle w:val="RKnormal"/>
        <w:rPr>
          <w:b/>
          <w:bCs/>
        </w:rPr>
      </w:pPr>
      <w:r w:rsidRPr="00C52755">
        <w:rPr>
          <w:b/>
          <w:bCs/>
        </w:rPr>
        <w:t>c) SISone4all</w:t>
      </w:r>
    </w:p>
    <w:p w:rsidR="00420FC5" w:rsidRPr="00C52755" w:rsidRDefault="00420FC5">
      <w:pPr>
        <w:pStyle w:val="RKnormal"/>
      </w:pPr>
      <w:r w:rsidRPr="00C52755">
        <w:rPr>
          <w:b/>
          <w:bCs/>
        </w:rPr>
        <w:t xml:space="preserve">d) Tidsplan för Schengenutvärdering av de nya </w:t>
      </w:r>
      <w:r w:rsidRPr="00C52755">
        <w:rPr>
          <w:b/>
          <w:bCs/>
        </w:rPr>
        <w:tab/>
        <w:t>medlemsstaterna 2007</w:t>
      </w:r>
    </w:p>
    <w:p w:rsidR="00420FC5" w:rsidRPr="00C52755" w:rsidRDefault="00420FC5">
      <w:pPr>
        <w:rPr>
          <w:rFonts w:ascii="OrigGarmnd BT" w:hAnsi="OrigGarmnd BT"/>
          <w:b/>
          <w:bCs/>
        </w:rPr>
      </w:pPr>
      <w:r w:rsidRPr="00C52755">
        <w:rPr>
          <w:rFonts w:ascii="OrigGarmnd BT" w:hAnsi="OrigGarmnd BT"/>
          <w:b/>
          <w:bCs/>
        </w:rPr>
        <w:t>(BA)</w:t>
      </w:r>
    </w:p>
    <w:p w:rsidR="00420FC5" w:rsidRPr="00C52755" w:rsidRDefault="00420FC5">
      <w:pPr>
        <w:ind w:left="567" w:hanging="567"/>
        <w:rPr>
          <w:rFonts w:ascii="OrigGarmnd BT" w:hAnsi="OrigGarmnd BT"/>
          <w:i/>
          <w:iCs/>
        </w:rPr>
      </w:pPr>
    </w:p>
    <w:p w:rsidR="00420FC5" w:rsidRPr="00C52755" w:rsidRDefault="00420FC5">
      <w:pPr>
        <w:pStyle w:val="RKnormal"/>
        <w:rPr>
          <w:i/>
          <w:iCs/>
        </w:rPr>
      </w:pPr>
      <w:r w:rsidRPr="00C52755">
        <w:rPr>
          <w:i/>
          <w:iCs/>
        </w:rPr>
        <w:t>Avsikten med behandlingen i rådet</w:t>
      </w:r>
    </w:p>
    <w:p w:rsidR="00420FC5" w:rsidRPr="00C52755" w:rsidRDefault="00420FC5">
      <w:pPr>
        <w:pStyle w:val="RKnormal"/>
        <w:rPr>
          <w:rFonts w:cs="Helv"/>
          <w:color w:val="000000"/>
          <w:szCs w:val="24"/>
          <w:lang w:eastAsia="sv-SE"/>
        </w:rPr>
      </w:pPr>
      <w:r w:rsidRPr="00C52755">
        <w:rPr>
          <w:rFonts w:cs="Helv"/>
          <w:color w:val="000000"/>
          <w:szCs w:val="24"/>
          <w:lang w:eastAsia="sv-SE"/>
        </w:rPr>
        <w:t xml:space="preserve">a) Rådet skall anta rådsslutsatser baserade på rapportering och rekommendationer. </w:t>
      </w:r>
    </w:p>
    <w:p w:rsidR="00420FC5" w:rsidRPr="00C52755" w:rsidRDefault="00420FC5">
      <w:pPr>
        <w:pStyle w:val="RKnormal"/>
        <w:rPr>
          <w:bCs/>
        </w:rPr>
      </w:pPr>
      <w:r w:rsidRPr="00C52755">
        <w:t>b) Rådet skall anta en förordning om SIS II och en om fordonsmyndighetstillgång till SIS II, ingå politisk överenskommelse om ett rådsbeslut om SIS II samt fastställa tidsplanen för hävande av den inre gränskontrollen.</w:t>
      </w:r>
    </w:p>
    <w:p w:rsidR="00420FC5" w:rsidRPr="00C52755" w:rsidRDefault="00420FC5">
      <w:pPr>
        <w:pStyle w:val="RKnormal"/>
      </w:pPr>
      <w:r w:rsidRPr="00C52755">
        <w:rPr>
          <w:rFonts w:cs="Helv"/>
          <w:color w:val="000000"/>
          <w:szCs w:val="24"/>
          <w:lang w:eastAsia="sv-SE"/>
        </w:rPr>
        <w:t>c) Rådsmötet skall fatta beslut om SISOne4All</w:t>
      </w:r>
    </w:p>
    <w:p w:rsidR="00420FC5" w:rsidRPr="00C52755" w:rsidRDefault="00420FC5">
      <w:pPr>
        <w:pStyle w:val="RKnormal"/>
      </w:pPr>
      <w:r w:rsidRPr="00C52755">
        <w:rPr>
          <w:rFonts w:cs="Helv"/>
          <w:color w:val="000000"/>
          <w:szCs w:val="24"/>
          <w:lang w:eastAsia="sv-SE"/>
        </w:rPr>
        <w:t>d) Rådet skall fastställa tidsplan om utvärderingar under 2007</w:t>
      </w:r>
    </w:p>
    <w:p w:rsidR="00420FC5" w:rsidRPr="00C52755" w:rsidRDefault="00420FC5">
      <w:pPr>
        <w:tabs>
          <w:tab w:val="left" w:pos="6165"/>
        </w:tabs>
        <w:spacing w:line="240" w:lineRule="atLeast"/>
        <w:ind w:left="360"/>
      </w:pPr>
      <w:r w:rsidRPr="00C52755">
        <w:tab/>
      </w:r>
    </w:p>
    <w:p w:rsidR="00420FC5" w:rsidRPr="00C52755" w:rsidRDefault="00420FC5">
      <w:pPr>
        <w:pStyle w:val="RKnormal"/>
        <w:rPr>
          <w:i/>
          <w:iCs/>
        </w:rPr>
      </w:pPr>
      <w:r w:rsidRPr="00C52755">
        <w:rPr>
          <w:i/>
          <w:iCs/>
        </w:rPr>
        <w:t xml:space="preserve">Bakgrund </w:t>
      </w:r>
    </w:p>
    <w:p w:rsidR="00420FC5" w:rsidRPr="00C52755" w:rsidRDefault="00420FC5">
      <w:pPr>
        <w:pStyle w:val="RKnormal"/>
        <w:rPr>
          <w:rFonts w:cs="Helv"/>
          <w:color w:val="000000"/>
          <w:szCs w:val="24"/>
          <w:lang w:eastAsia="sv-SE"/>
        </w:rPr>
      </w:pPr>
      <w:r w:rsidRPr="00C52755">
        <w:rPr>
          <w:rFonts w:cs="Helv"/>
          <w:color w:val="000000"/>
          <w:szCs w:val="24"/>
          <w:lang w:eastAsia="sv-SE"/>
        </w:rPr>
        <w:t xml:space="preserve">a) För närvarande pågår i rådet en utvärdering av de nya medlemsstaternas förberedelser inför deras deltagande i det operativa Schengensamarbetet Någon utvärdering av förberedelserna av anslutningen till Schengens informationssystem (SIS) har ännu inte ägt rum. För varje utvärderat land upprättas omfattande rapporter med slutsatser och rekommendationer. </w:t>
      </w:r>
    </w:p>
    <w:p w:rsidR="00420FC5" w:rsidRPr="00C52755" w:rsidRDefault="00420FC5">
      <w:pPr>
        <w:pStyle w:val="RKnormal"/>
        <w:rPr>
          <w:rFonts w:cs="Helv"/>
          <w:color w:val="000000"/>
          <w:szCs w:val="24"/>
          <w:lang w:eastAsia="sv-SE"/>
        </w:rPr>
      </w:pPr>
    </w:p>
    <w:p w:rsidR="00420FC5" w:rsidRPr="00C52755" w:rsidRDefault="00420FC5">
      <w:pPr>
        <w:pStyle w:val="RKnormal"/>
      </w:pPr>
      <w:r w:rsidRPr="00C52755">
        <w:t>b) Den tekniska utvecklingen av den andra generationens SIS (SIS II) pågår sedan slutet av 2001. Parallellt med detta har förhandlingar om tre rättsakter rörande SIS II (förordning respektive rådsbeslut om SIS II samt en förordning om fordonsmyndigheters tillgång till SIS II) nyligen avslutats. Förordningarna skall antas av rådet och Europaparlamentet (medbeslutandeprocedur) medan rådsbeslutet endast antas av rådet (konsultationsprocedur med Europaparlementet). Vid rådsmötet den 5 – 6 oktober 2006 ingicks e</w:t>
      </w:r>
      <w:r w:rsidRPr="00C52755">
        <w:t>n politisk överenskommelse om de tre rättsakterna. Den 25 oktober godkände Europaparlamentet förordningarna och yttrade sig positivt om rådsbeslutet. De två förordningarna kommer nu formellt att antas av rådet. Sverige med flera medlemsstater har anmält parlamentarisk granskningsreservation mot rådsbeslutet, och inom Justitiedepartementet pågår för närvarande arbetet med att ta fram en godkännandeproposition om detta.</w:t>
      </w:r>
    </w:p>
    <w:p w:rsidR="00420FC5" w:rsidRPr="00C52755" w:rsidRDefault="00420FC5">
      <w:pPr>
        <w:pStyle w:val="RKnormal"/>
      </w:pPr>
    </w:p>
    <w:p w:rsidR="00420FC5" w:rsidRPr="00C52755" w:rsidRDefault="00420FC5">
      <w:pPr>
        <w:pStyle w:val="RKnormal"/>
      </w:pPr>
      <w:r w:rsidRPr="00C52755">
        <w:t xml:space="preserve">Tidtabellen för den tekniska utvecklingen har länge varit hårt ansträngd Kommissionen har presenterat en reviderad tidtabell som majoriteten medlemsstater har godtagit. Den nya tidtabellen innebär att det tekniska färdigställandet av SIS II skjuts fram i drygt ett år. De gamla medlemsstaterna beräknas kunna anslutas till SIS II i juni 2008 och de nya medlemsstaterna beräknas därefter kunna anslutas under 2008. En ny tidtabell för hela Schengenanpassningen, även för avskaffandet av de inre gränserna, kommer </w:t>
      </w:r>
      <w:r w:rsidRPr="00C52755">
        <w:t xml:space="preserve">att presenteras vid rådsmötet som också skall ge mandat för den fortsatta planeringen av SIS II-projektet. </w:t>
      </w:r>
    </w:p>
    <w:p w:rsidR="00420FC5" w:rsidRPr="00C52755" w:rsidRDefault="00420FC5">
      <w:pPr>
        <w:pStyle w:val="RKnormal"/>
      </w:pPr>
    </w:p>
    <w:p w:rsidR="00420FC5" w:rsidRPr="00C52755" w:rsidRDefault="00420FC5">
      <w:pPr>
        <w:pStyle w:val="RKnormal"/>
        <w:rPr>
          <w:rFonts w:cs="Helv"/>
          <w:color w:val="000000"/>
          <w:szCs w:val="24"/>
          <w:lang w:eastAsia="sv-SE"/>
        </w:rPr>
      </w:pPr>
      <w:r w:rsidRPr="00C52755">
        <w:t>c)</w:t>
      </w:r>
      <w:r w:rsidRPr="00C52755">
        <w:rPr>
          <w:rFonts w:cs="Helv"/>
          <w:color w:val="000000"/>
          <w:szCs w:val="24"/>
          <w:lang w:eastAsia="sv-SE"/>
        </w:rPr>
        <w:t xml:space="preserve"> Mot bakgrund av förseningen med SIS II har Portugal fört fram ett förslag om att de nya medlemsstaterna, som en övergångslösning, skall kunna anslutas till det nuvarande SIS (”SIS 1+”) i slutet av år 2007 – under projektnamnet ”SISone4ALL”. Detta projekt granskas för närvarande av medlemsstaterna och en rapport kommer presenteras i rådet om projektets konsekvenser. Det förefaller redan som om stödet bland medlemsstaterna är stort och att de ser detta som en fråga med mycket hög prioritet. </w:t>
      </w:r>
    </w:p>
    <w:p w:rsidR="00420FC5" w:rsidRPr="00C52755" w:rsidRDefault="00420FC5">
      <w:pPr>
        <w:pStyle w:val="RKnormal"/>
        <w:rPr>
          <w:rFonts w:cs="Helv"/>
          <w:color w:val="000000"/>
          <w:szCs w:val="24"/>
          <w:lang w:eastAsia="sv-SE"/>
        </w:rPr>
      </w:pPr>
    </w:p>
    <w:p w:rsidR="00420FC5" w:rsidRPr="00C52755" w:rsidRDefault="00420FC5">
      <w:pPr>
        <w:pStyle w:val="RKnormal"/>
        <w:rPr>
          <w:lang w:eastAsia="sv-SE"/>
        </w:rPr>
      </w:pPr>
      <w:r w:rsidRPr="00C52755">
        <w:rPr>
          <w:lang w:eastAsia="sv-SE"/>
        </w:rPr>
        <w:t xml:space="preserve">d) Mot bakgrund av rådsslutsatserna om genomförd Schengenutvärdering och utvecklingen av ”SISone4ALL” skall en tidsplan för ytterligare utvärderingar under 2007 fastställas, vilket även omfattar återbesök där brister vid tidigare gjorda besök kunnat konstateras. </w:t>
      </w:r>
    </w:p>
    <w:p w:rsidR="00420FC5" w:rsidRPr="00C52755" w:rsidRDefault="00420FC5">
      <w:pPr>
        <w:rPr>
          <w:rFonts w:ascii="OrigGarmnd BT" w:hAnsi="OrigGarmnd BT"/>
          <w:bCs/>
          <w:i/>
          <w:iCs/>
        </w:rPr>
      </w:pPr>
    </w:p>
    <w:p w:rsidR="00420FC5" w:rsidRPr="00C52755" w:rsidRDefault="00420FC5">
      <w:pPr>
        <w:rPr>
          <w:rFonts w:ascii="OrigGarmnd BT" w:hAnsi="OrigGarmnd BT"/>
          <w:bCs/>
          <w:i/>
          <w:iCs/>
        </w:rPr>
      </w:pPr>
      <w:r w:rsidRPr="00C52755">
        <w:rPr>
          <w:rFonts w:ascii="OrigGarmnd BT" w:hAnsi="OrigGarmnd BT"/>
          <w:bCs/>
          <w:i/>
          <w:iCs/>
        </w:rPr>
        <w:t>Svensk ståndpunkt</w:t>
      </w:r>
    </w:p>
    <w:p w:rsidR="00420FC5" w:rsidRPr="00C52755" w:rsidRDefault="00420FC5">
      <w:pPr>
        <w:pStyle w:val="RKnormal"/>
      </w:pPr>
      <w:r w:rsidRPr="00C52755">
        <w:t xml:space="preserve">a) Sverige stöder det utkast till rådsslutsatser som har presenterats. </w:t>
      </w:r>
    </w:p>
    <w:p w:rsidR="00420FC5" w:rsidRPr="00C52755" w:rsidRDefault="00420FC5">
      <w:pPr>
        <w:pStyle w:val="RKnormal"/>
      </w:pPr>
      <w:r w:rsidRPr="00C52755">
        <w:t xml:space="preserve">b) Sverige anser det av stor vikt att SIS II blir klart i enlighet med tidtabellen. </w:t>
      </w:r>
    </w:p>
    <w:p w:rsidR="00420FC5" w:rsidRPr="00C52755" w:rsidRDefault="00420FC5">
      <w:pPr>
        <w:pStyle w:val="RKnormal"/>
      </w:pPr>
      <w:r w:rsidRPr="00C52755">
        <w:t xml:space="preserve">c) Om den utlovade rapporten visar att SISone4ALL är tekniskt genomförbar skall Sverige inte motsätta sig projektet om det har fortsatt brett stöd. </w:t>
      </w:r>
    </w:p>
    <w:p w:rsidR="00420FC5" w:rsidRPr="00C52755" w:rsidRDefault="00420FC5">
      <w:pPr>
        <w:pStyle w:val="RKnormal"/>
      </w:pPr>
      <w:r w:rsidRPr="00C52755">
        <w:t>d) Sverige anser att den tidtabell som innebär att den inre gränskontrollen kommer att hävas senast den 1 januari 2008 är mest realistisk då den ger mest tid för tekniska tester och Schengenutvärderingar av de nya medlemsstaterna.</w:t>
      </w:r>
    </w:p>
    <w:p w:rsidR="00420FC5" w:rsidRPr="00C52755" w:rsidRDefault="00420FC5">
      <w:pPr>
        <w:rPr>
          <w:rFonts w:ascii="OrigGarmnd BT" w:hAnsi="OrigGarmnd BT"/>
          <w:bCs/>
          <w:i/>
          <w:iCs/>
        </w:rPr>
      </w:pPr>
    </w:p>
    <w:p w:rsidR="00420FC5" w:rsidRPr="00C52755" w:rsidRDefault="00420FC5">
      <w:pPr>
        <w:rPr>
          <w:rFonts w:ascii="OrigGarmnd BT" w:hAnsi="OrigGarmnd BT"/>
          <w:bCs/>
        </w:rPr>
      </w:pPr>
      <w:r w:rsidRPr="00C52755">
        <w:rPr>
          <w:rFonts w:ascii="OrigGarmnd BT" w:hAnsi="OrigGarmnd BT"/>
          <w:bCs/>
        </w:rPr>
        <w:t xml:space="preserve">Se vidare i </w:t>
      </w:r>
      <w:r w:rsidRPr="00C52755">
        <w:rPr>
          <w:rFonts w:ascii="OrigGarmnd BT" w:hAnsi="OrigGarmnd BT"/>
          <w:bCs/>
          <w:u w:val="single"/>
        </w:rPr>
        <w:t>bifogad promemoria</w:t>
      </w:r>
      <w:r w:rsidRPr="00C52755">
        <w:rPr>
          <w:rFonts w:ascii="OrigGarmnd BT" w:hAnsi="OrigGarmnd BT"/>
          <w:bCs/>
        </w:rPr>
        <w:t>.</w:t>
      </w:r>
    </w:p>
    <w:p w:rsidR="00420FC5" w:rsidRPr="00C52755" w:rsidRDefault="00420FC5">
      <w:pPr>
        <w:rPr>
          <w:rFonts w:ascii="OrigGarmnd BT" w:hAnsi="OrigGarmnd BT"/>
          <w:b/>
          <w:bCs/>
        </w:rPr>
      </w:pPr>
    </w:p>
    <w:p w:rsidR="00420FC5" w:rsidRPr="00C52755" w:rsidRDefault="00420FC5">
      <w:pPr>
        <w:rPr>
          <w:rFonts w:ascii="OrigGarmnd BT" w:hAnsi="OrigGarmnd BT"/>
          <w:b/>
          <w:bCs/>
        </w:rPr>
      </w:pPr>
    </w:p>
    <w:p w:rsidR="00420FC5" w:rsidRPr="00C52755" w:rsidRDefault="00420FC5">
      <w:pPr>
        <w:pStyle w:val="RKnormal"/>
        <w:rPr>
          <w:b/>
        </w:rPr>
      </w:pPr>
      <w:r w:rsidRPr="00C52755">
        <w:rPr>
          <w:b/>
          <w:szCs w:val="24"/>
        </w:rPr>
        <w:t xml:space="preserve">14. </w:t>
      </w:r>
      <w:r w:rsidRPr="00C52755">
        <w:rPr>
          <w:b/>
        </w:rPr>
        <w:t xml:space="preserve">Rådets förordning om ändring av rådets förordning (EG) nr 539/2001 om fastställande av förteckningen över tredje länder vars medborgare är skyldiga att inneha visering när de passerar de yttre gränserna och av förteckningen över de tredje länder vars medborgare är undantagna från detta krav (TB) </w:t>
      </w:r>
    </w:p>
    <w:p w:rsidR="00420FC5" w:rsidRPr="00C52755" w:rsidRDefault="00420FC5">
      <w:pPr>
        <w:ind w:left="567" w:hanging="567"/>
        <w:rPr>
          <w:rFonts w:ascii="OrigGarmnd BT" w:hAnsi="OrigGarmnd BT"/>
          <w:b/>
          <w:bCs/>
        </w:rPr>
      </w:pPr>
    </w:p>
    <w:p w:rsidR="00420FC5" w:rsidRPr="00C52755" w:rsidRDefault="00420FC5">
      <w:pPr>
        <w:rPr>
          <w:rFonts w:ascii="OrigGarmnd BT" w:hAnsi="OrigGarmnd BT"/>
          <w:i/>
          <w:iCs/>
        </w:rPr>
      </w:pPr>
      <w:r w:rsidRPr="00C52755">
        <w:rPr>
          <w:rFonts w:ascii="OrigGarmnd BT" w:hAnsi="OrigGarmnd BT"/>
          <w:i/>
          <w:iCs/>
        </w:rPr>
        <w:t>Avsikten med behandlingen i rådet</w:t>
      </w:r>
    </w:p>
    <w:p w:rsidR="00420FC5" w:rsidRPr="00C52755" w:rsidRDefault="00420FC5">
      <w:pPr>
        <w:pStyle w:val="RKnormal"/>
      </w:pPr>
      <w:r w:rsidRPr="00C52755">
        <w:t>Rådet förväntas vid mötet anta en allmän riktlinje i väntan på att Europaparlamentet höres om de förslagna ändringarna.</w:t>
      </w:r>
    </w:p>
    <w:p w:rsidR="00420FC5" w:rsidRPr="00C52755" w:rsidRDefault="00420FC5">
      <w:pPr>
        <w:pStyle w:val="RKnormal"/>
      </w:pPr>
    </w:p>
    <w:p w:rsidR="00420FC5" w:rsidRPr="00C52755" w:rsidRDefault="00420FC5">
      <w:pPr>
        <w:rPr>
          <w:rFonts w:ascii="OrigGarmnd BT" w:hAnsi="OrigGarmnd BT"/>
          <w:bCs/>
          <w:i/>
          <w:iCs/>
        </w:rPr>
      </w:pPr>
      <w:r w:rsidRPr="00C52755">
        <w:rPr>
          <w:rFonts w:ascii="OrigGarmnd BT" w:hAnsi="OrigGarmnd BT"/>
          <w:bCs/>
          <w:i/>
          <w:iCs/>
        </w:rPr>
        <w:t>Bakgrund</w:t>
      </w:r>
    </w:p>
    <w:p w:rsidR="00420FC5" w:rsidRPr="00C52755" w:rsidRDefault="00420FC5">
      <w:pPr>
        <w:pStyle w:val="RKnormal"/>
      </w:pPr>
      <w:r w:rsidRPr="00C52755">
        <w:t>KOM har presenterat ett förslag om att ändra i viseringsförordningen och dess bilagor (539/2001). Förordningen innehåller bestämmelser om som berör undantag från kravet på visering respektive skyldighet att inneha visering. Förslaget innebär att ändringar görs i nuvarande viseringsförordning där två förteckningar över tredjeländer ingår. Den ena förteckningen gäller tredjeländer vars medborgare är skyldiga att inneha visering när de passerar de yttre gränserna. Den andra gäller tredjeländer vars medborgare</w:t>
      </w:r>
      <w:r w:rsidRPr="00C52755">
        <w:t xml:space="preserve"> slipper dessa krav. Ändringarna handlar bl.a. om att förordningen skall uppfylla kriterier som gäller olaglig invandring, allmän ordning och säkerhet. </w:t>
      </w:r>
    </w:p>
    <w:p w:rsidR="00420FC5" w:rsidRPr="00C52755" w:rsidRDefault="00420FC5">
      <w:pPr>
        <w:rPr>
          <w:rFonts w:ascii="OrigGarmnd BT" w:hAnsi="OrigGarmnd BT"/>
          <w:bCs/>
          <w:iCs/>
        </w:rPr>
      </w:pPr>
      <w:r w:rsidRPr="00C52755">
        <w:rPr>
          <w:rFonts w:ascii="OrigGarmnd BT" w:hAnsi="OrigGarmnd BT"/>
          <w:bCs/>
          <w:iCs/>
        </w:rPr>
        <w:t xml:space="preserve"> </w:t>
      </w:r>
    </w:p>
    <w:p w:rsidR="00420FC5" w:rsidRPr="00C52755" w:rsidRDefault="00420FC5">
      <w:pPr>
        <w:rPr>
          <w:rFonts w:ascii="OrigGarmnd BT" w:hAnsi="OrigGarmnd BT"/>
          <w:bCs/>
          <w:i/>
          <w:iCs/>
        </w:rPr>
      </w:pPr>
      <w:r w:rsidRPr="00C52755">
        <w:rPr>
          <w:rFonts w:ascii="OrigGarmnd BT" w:hAnsi="OrigGarmnd BT"/>
          <w:bCs/>
          <w:i/>
          <w:iCs/>
        </w:rPr>
        <w:t>Svensk ståndpunkt</w:t>
      </w:r>
    </w:p>
    <w:p w:rsidR="00420FC5" w:rsidRPr="00C52755" w:rsidRDefault="00420FC5">
      <w:pPr>
        <w:rPr>
          <w:rFonts w:ascii="OrigGarmnd BT" w:hAnsi="OrigGarmnd BT"/>
          <w:bCs/>
        </w:rPr>
      </w:pPr>
      <w:r w:rsidRPr="00C52755">
        <w:rPr>
          <w:rFonts w:ascii="OrigGarmnd BT" w:hAnsi="OrigGarmnd BT"/>
          <w:bCs/>
        </w:rPr>
        <w:t xml:space="preserve">Ändringarna i viseringsförordningen är ett led i den harmoniserade viseringspolitiken. Sverige stödjer de föreslagna ändringarna i förordningen. </w:t>
      </w:r>
    </w:p>
    <w:p w:rsidR="00420FC5" w:rsidRPr="00C52755" w:rsidRDefault="00420FC5">
      <w:pPr>
        <w:rPr>
          <w:rFonts w:ascii="OrigGarmnd BT" w:hAnsi="OrigGarmnd BT"/>
          <w:b/>
          <w:bCs/>
        </w:rPr>
      </w:pPr>
    </w:p>
    <w:p w:rsidR="00420FC5" w:rsidRPr="00C52755" w:rsidRDefault="00420FC5">
      <w:pPr>
        <w:rPr>
          <w:rFonts w:ascii="OrigGarmnd BT" w:hAnsi="OrigGarmnd BT"/>
          <w:bCs/>
          <w:u w:val="single"/>
        </w:rPr>
      </w:pPr>
      <w:r w:rsidRPr="00C52755">
        <w:rPr>
          <w:rFonts w:ascii="OrigGarmnd BT" w:hAnsi="OrigGarmnd BT"/>
          <w:bCs/>
          <w:u w:val="single"/>
        </w:rPr>
        <w:t>Se även fakta-PM (översänds separat 28/11)</w:t>
      </w:r>
      <w:r w:rsidRPr="00C52755">
        <w:rPr>
          <w:rFonts w:ascii="OrigGarmnd BT" w:hAnsi="OrigGarmnd BT"/>
          <w:bCs/>
        </w:rPr>
        <w:t xml:space="preserve">. </w:t>
      </w:r>
    </w:p>
    <w:p w:rsidR="00420FC5" w:rsidRPr="00C52755" w:rsidRDefault="00420FC5">
      <w:pPr>
        <w:ind w:left="567" w:hanging="567"/>
        <w:rPr>
          <w:rFonts w:ascii="OrigGarmnd BT" w:hAnsi="OrigGarmnd BT"/>
        </w:rPr>
      </w:pPr>
    </w:p>
    <w:p w:rsidR="00420FC5" w:rsidRPr="00C52755" w:rsidRDefault="00420FC5">
      <w:pPr>
        <w:rPr>
          <w:rFonts w:ascii="OrigGarmnd BT" w:hAnsi="OrigGarmnd BT"/>
        </w:rPr>
      </w:pPr>
    </w:p>
    <w:p w:rsidR="00420FC5" w:rsidRPr="00C52755" w:rsidRDefault="00420FC5">
      <w:pPr>
        <w:pStyle w:val="RKnormal"/>
        <w:rPr>
          <w:b/>
          <w:bCs/>
        </w:rPr>
      </w:pPr>
      <w:r w:rsidRPr="00C52755">
        <w:rPr>
          <w:b/>
          <w:bCs/>
        </w:rPr>
        <w:t>15. Förslag till en förordning för ett snabbinsatsinstrument för stora olyc</w:t>
      </w:r>
      <w:r w:rsidRPr="00C52755">
        <w:rPr>
          <w:b/>
          <w:bCs/>
        </w:rPr>
        <w:t>k</w:t>
      </w:r>
      <w:r w:rsidRPr="00C52755">
        <w:rPr>
          <w:b/>
          <w:bCs/>
        </w:rPr>
        <w:t>or (omdöpt till finansiellt instrument för skydd och beredskap/civil pr</w:t>
      </w:r>
      <w:r w:rsidRPr="00C52755">
        <w:rPr>
          <w:b/>
          <w:bCs/>
        </w:rPr>
        <w:t>o</w:t>
      </w:r>
      <w:r w:rsidRPr="00C52755">
        <w:rPr>
          <w:b/>
          <w:bCs/>
        </w:rPr>
        <w:t>tection) (Fö-dep)</w:t>
      </w:r>
      <w:r w:rsidRPr="00C52755">
        <w:rPr>
          <w:b/>
          <w:bCs/>
        </w:rPr>
        <w:br/>
      </w:r>
    </w:p>
    <w:p w:rsidR="00420FC5" w:rsidRPr="00C52755" w:rsidRDefault="00420FC5">
      <w:pPr>
        <w:rPr>
          <w:rFonts w:ascii="OrigGarmnd BT" w:hAnsi="OrigGarmnd BT"/>
          <w:i/>
          <w:iCs/>
        </w:rPr>
      </w:pPr>
      <w:r w:rsidRPr="00C52755">
        <w:rPr>
          <w:rFonts w:ascii="OrigGarmnd BT" w:hAnsi="OrigGarmnd BT"/>
          <w:i/>
          <w:iCs/>
        </w:rPr>
        <w:t>Avsikten med behandlingen i rådet</w:t>
      </w:r>
    </w:p>
    <w:p w:rsidR="00420FC5" w:rsidRPr="00C52755" w:rsidRDefault="00420FC5">
      <w:pPr>
        <w:pStyle w:val="RKnormal"/>
      </w:pPr>
      <w:r w:rsidRPr="00C52755">
        <w:t xml:space="preserve">Diskussionspunkt. Syftet är att uppnå en politisk överenskommelse om vissa frågor för att rådet skall kunna fatta beslut om det finansiella instrumentet. </w:t>
      </w:r>
    </w:p>
    <w:p w:rsidR="00420FC5" w:rsidRPr="00C52755" w:rsidRDefault="00420FC5">
      <w:pPr>
        <w:pStyle w:val="RKnormal"/>
      </w:pPr>
    </w:p>
    <w:p w:rsidR="00420FC5" w:rsidRPr="00C52755" w:rsidRDefault="00420FC5">
      <w:pPr>
        <w:pStyle w:val="RKnormal"/>
        <w:rPr>
          <w:i/>
          <w:iCs/>
        </w:rPr>
      </w:pPr>
      <w:r w:rsidRPr="00C52755">
        <w:rPr>
          <w:i/>
          <w:iCs/>
        </w:rPr>
        <w:t>Bakgrund</w:t>
      </w:r>
    </w:p>
    <w:p w:rsidR="00420FC5" w:rsidRPr="00C52755" w:rsidRDefault="00420FC5">
      <w:pPr>
        <w:pStyle w:val="RKnormal"/>
      </w:pPr>
      <w:r w:rsidRPr="00C52755">
        <w:t>Kommissionen presenterade i april 2005 ett förslag till finansiering av räddnings</w:t>
      </w:r>
      <w:r w:rsidRPr="00C52755">
        <w:softHyphen/>
        <w:t xml:space="preserve">tjänstsamarbetet </w:t>
      </w:r>
      <w:r w:rsidRPr="00C52755">
        <w:rPr>
          <w:bCs/>
        </w:rPr>
        <w:t>inom</w:t>
      </w:r>
      <w:r w:rsidRPr="00C52755">
        <w:t xml:space="preserve"> EU, kallat </w:t>
      </w:r>
      <w:r w:rsidRPr="00C52755">
        <w:rPr>
          <w:i/>
        </w:rPr>
        <w:t>Establishing of a Rapid R</w:t>
      </w:r>
      <w:r w:rsidRPr="00C52755">
        <w:rPr>
          <w:i/>
        </w:rPr>
        <w:t>e</w:t>
      </w:r>
      <w:r w:rsidRPr="00C52755">
        <w:rPr>
          <w:i/>
        </w:rPr>
        <w:t>sponse and Prepare</w:t>
      </w:r>
      <w:r w:rsidRPr="00C52755">
        <w:rPr>
          <w:i/>
        </w:rPr>
        <w:t>d</w:t>
      </w:r>
      <w:r w:rsidRPr="00C52755">
        <w:rPr>
          <w:i/>
        </w:rPr>
        <w:t>ness Instrument</w:t>
      </w:r>
      <w:r w:rsidRPr="00C52755">
        <w:t>.</w:t>
      </w:r>
      <w:r w:rsidRPr="00C52755">
        <w:rPr>
          <w:rStyle w:val="Fotnotsreferens"/>
        </w:rPr>
        <w:footnoteReference w:id="1"/>
      </w:r>
      <w:r w:rsidRPr="00C52755">
        <w:t xml:space="preserve"> </w:t>
      </w:r>
    </w:p>
    <w:p w:rsidR="00420FC5" w:rsidRPr="00C52755" w:rsidRDefault="00420FC5">
      <w:pPr>
        <w:pStyle w:val="RKnormal"/>
      </w:pPr>
    </w:p>
    <w:p w:rsidR="00420FC5" w:rsidRPr="00C52755" w:rsidRDefault="00420FC5">
      <w:pPr>
        <w:pStyle w:val="RKnormal"/>
      </w:pPr>
      <w:r w:rsidRPr="00C52755">
        <w:t>Förslaget avser att finansiera dels de aktiviteter som ryms i det så kallade Handlingsprogrammet för skydd och beredskap, vilket upphör att gälla den 31 december 2006, dels kommissionens insatser via gemenskapsm</w:t>
      </w:r>
      <w:r w:rsidRPr="00C52755">
        <w:t>e</w:t>
      </w:r>
      <w:r w:rsidRPr="00C52755">
        <w:t>kanismen, dels nya aktiviteter som transporter och materiel. De så kall</w:t>
      </w:r>
      <w:r w:rsidRPr="00C52755">
        <w:t>a</w:t>
      </w:r>
      <w:r w:rsidRPr="00C52755">
        <w:t>de indikativa beloppen under perioden 2007-2013 är 17 Meuro årl</w:t>
      </w:r>
      <w:r w:rsidRPr="00C52755">
        <w:t>i</w:t>
      </w:r>
      <w:r w:rsidRPr="00C52755">
        <w:t>gen för i</w:t>
      </w:r>
      <w:r w:rsidRPr="00C52755">
        <w:t>n</w:t>
      </w:r>
      <w:r w:rsidRPr="00C52755">
        <w:t xml:space="preserve">satser inom EU och 8 Meuro om året för insatser utanför EU. </w:t>
      </w:r>
    </w:p>
    <w:p w:rsidR="00420FC5" w:rsidRPr="00C52755" w:rsidRDefault="00420FC5">
      <w:pPr>
        <w:pStyle w:val="RKnormal"/>
      </w:pPr>
    </w:p>
    <w:p w:rsidR="00420FC5" w:rsidRPr="00C52755" w:rsidRDefault="00420FC5">
      <w:pPr>
        <w:pStyle w:val="RKnormal"/>
      </w:pPr>
      <w:r w:rsidRPr="00C52755">
        <w:t>Under förhandlingarna har det visat sig svårt att skapa konsensus kring frågan om gemensamfinansiering av transporter och materiel, när gemenskapsmekanismen används. Å ena sidan står en grupp av MS inklusive Sverige som kan godta finansiering av transporter inom EU men med återbetalning (utom i extrema fall då undantag från princ</w:t>
      </w:r>
      <w:r w:rsidRPr="00C52755">
        <w:t>i</w:t>
      </w:r>
      <w:r w:rsidRPr="00C52755">
        <w:t>pen om återbetalning av hela beloppet kan göras). Å den andra står en a</w:t>
      </w:r>
      <w:r w:rsidRPr="00C52755">
        <w:t>n</w:t>
      </w:r>
      <w:r w:rsidRPr="00C52755">
        <w:t xml:space="preserve">nan grupp av medlemsstater vilka gett sitt stöd till ORDF förslag. </w:t>
      </w:r>
    </w:p>
    <w:p w:rsidR="00420FC5" w:rsidRPr="00C52755" w:rsidRDefault="00420FC5">
      <w:pPr>
        <w:rPr>
          <w:b/>
        </w:rPr>
      </w:pPr>
    </w:p>
    <w:p w:rsidR="00420FC5" w:rsidRPr="00C52755" w:rsidRDefault="00420FC5">
      <w:pPr>
        <w:pStyle w:val="RKnormal"/>
        <w:rPr>
          <w:i/>
          <w:iCs/>
        </w:rPr>
      </w:pPr>
      <w:r w:rsidRPr="00C52755">
        <w:rPr>
          <w:i/>
          <w:iCs/>
        </w:rPr>
        <w:t>Svensk ståndpunkt</w:t>
      </w:r>
    </w:p>
    <w:p w:rsidR="00420FC5" w:rsidRPr="00C52755" w:rsidRDefault="00420FC5">
      <w:pPr>
        <w:pStyle w:val="RKnormal"/>
      </w:pPr>
      <w:r w:rsidRPr="00C52755">
        <w:t>Svensk grundposition är att medlemsländernas transporter skall kunna gemensamfinansieras, om alla övriga möjligheter för MS att finna tran</w:t>
      </w:r>
      <w:r w:rsidRPr="00C52755">
        <w:t>s</w:t>
      </w:r>
      <w:r w:rsidRPr="00C52755">
        <w:t>portresurser är uttömda; detta skall gälla när gemenskapsmekanismen används såväl inom som utom EU. Sverige anser att åte</w:t>
      </w:r>
      <w:r w:rsidRPr="00C52755">
        <w:t>r</w:t>
      </w:r>
      <w:r w:rsidRPr="00C52755">
        <w:t>betalning skall vara grundregel inom EU men unda</w:t>
      </w:r>
      <w:r w:rsidRPr="00C52755">
        <w:t>n</w:t>
      </w:r>
      <w:r w:rsidRPr="00C52755">
        <w:t>tag skall kunna medges upp till 15 % av totalbeloppet, om kat</w:t>
      </w:r>
      <w:r w:rsidRPr="00C52755">
        <w:t>a</w:t>
      </w:r>
      <w:r w:rsidRPr="00C52755">
        <w:t>strofen i fråga är av den omfattningen att kriterierna för den s.k. Solidaritetsfo</w:t>
      </w:r>
      <w:r w:rsidRPr="00C52755">
        <w:t>n</w:t>
      </w:r>
      <w:r w:rsidRPr="00C52755">
        <w:t xml:space="preserve">den är uppfyllda. Vid insatser utom EU skall full återbetalning gälla. </w:t>
      </w:r>
    </w:p>
    <w:p w:rsidR="00420FC5" w:rsidRPr="00C52755" w:rsidRDefault="00420FC5">
      <w:pPr>
        <w:pStyle w:val="RKnormal"/>
      </w:pPr>
    </w:p>
    <w:p w:rsidR="00420FC5" w:rsidRPr="00C52755" w:rsidRDefault="00420FC5">
      <w:pPr>
        <w:pStyle w:val="RKnormal"/>
      </w:pPr>
      <w:r w:rsidRPr="00C52755">
        <w:t>Sverige anser vidare att om man inte kan enas om finansieringen, vore en väg att lyfta ur detta frågekomplex från nuvarande förslag för behan</w:t>
      </w:r>
      <w:r w:rsidRPr="00C52755">
        <w:t>d</w:t>
      </w:r>
      <w:r w:rsidRPr="00C52755">
        <w:t>ling av kommande or</w:t>
      </w:r>
      <w:r w:rsidRPr="00C52755">
        <w:t>d</w:t>
      </w:r>
      <w:r w:rsidRPr="00C52755">
        <w:t xml:space="preserve">förandeskap. </w:t>
      </w:r>
    </w:p>
    <w:p w:rsidR="00420FC5" w:rsidRPr="00C52755" w:rsidRDefault="00420FC5">
      <w:pPr>
        <w:pStyle w:val="RKnormal"/>
      </w:pPr>
    </w:p>
    <w:p w:rsidR="00420FC5" w:rsidRPr="00C52755" w:rsidRDefault="00420FC5">
      <w:pPr>
        <w:pStyle w:val="RKnormal"/>
      </w:pPr>
      <w:r w:rsidRPr="00C52755">
        <w:t>SE bör aktivt arbeta för att en översyn av området genomförs.</w:t>
      </w:r>
    </w:p>
    <w:p w:rsidR="00420FC5" w:rsidRPr="00C52755" w:rsidRDefault="00420FC5">
      <w:pPr>
        <w:rPr>
          <w:rFonts w:ascii="OrigGarmnd BT" w:hAnsi="OrigGarmnd BT"/>
          <w:bCs/>
          <w:i/>
          <w:iCs/>
        </w:rPr>
      </w:pPr>
    </w:p>
    <w:p w:rsidR="00420FC5" w:rsidRPr="00C52755" w:rsidRDefault="00420FC5">
      <w:pPr>
        <w:rPr>
          <w:rFonts w:ascii="OrigGarmnd BT" w:hAnsi="OrigGarmnd BT"/>
        </w:rPr>
      </w:pPr>
      <w:r w:rsidRPr="00C52755">
        <w:rPr>
          <w:rFonts w:ascii="OrigGarmnd BT" w:hAnsi="OrigGarmnd BT"/>
        </w:rPr>
        <w:t xml:space="preserve">Se vidare i </w:t>
      </w:r>
      <w:r w:rsidRPr="00C52755">
        <w:rPr>
          <w:rFonts w:ascii="OrigGarmnd BT" w:hAnsi="OrigGarmnd BT"/>
          <w:u w:val="single"/>
        </w:rPr>
        <w:t>bifogad promemoria</w:t>
      </w:r>
      <w:r w:rsidRPr="00C52755">
        <w:rPr>
          <w:rFonts w:ascii="OrigGarmnd BT" w:hAnsi="OrigGarmnd BT"/>
        </w:rPr>
        <w:t>.</w:t>
      </w:r>
    </w:p>
    <w:p w:rsidR="00420FC5" w:rsidRPr="00C52755" w:rsidRDefault="00420FC5">
      <w:pPr>
        <w:rPr>
          <w:rFonts w:ascii="OrigGarmnd BT" w:hAnsi="OrigGarmnd BT"/>
          <w:bCs/>
          <w:i/>
          <w:iCs/>
        </w:rPr>
      </w:pPr>
    </w:p>
    <w:p w:rsidR="00420FC5" w:rsidRPr="00C52755" w:rsidRDefault="00420FC5">
      <w:pPr>
        <w:rPr>
          <w:rFonts w:ascii="OrigGarmnd BT" w:hAnsi="OrigGarmnd BT"/>
        </w:rPr>
      </w:pPr>
    </w:p>
    <w:p w:rsidR="00420FC5" w:rsidRPr="00C52755" w:rsidRDefault="00420FC5">
      <w:pPr>
        <w:rPr>
          <w:rFonts w:ascii="OrigGarmnd BT" w:hAnsi="OrigGarmnd BT"/>
          <w:b/>
          <w:bCs/>
        </w:rPr>
      </w:pPr>
      <w:r w:rsidRPr="00C52755">
        <w:rPr>
          <w:rFonts w:ascii="OrigGarmnd BT" w:hAnsi="OrigGarmnd BT"/>
          <w:b/>
          <w:bCs/>
        </w:rPr>
        <w:t>16. Rådsslutsatser om Europols framtid (BA)</w:t>
      </w:r>
    </w:p>
    <w:p w:rsidR="00420FC5" w:rsidRPr="00C52755" w:rsidRDefault="00420FC5">
      <w:pPr>
        <w:rPr>
          <w:rFonts w:ascii="OrigGarmnd BT" w:hAnsi="OrigGarmnd BT"/>
          <w:b/>
          <w:bCs/>
        </w:rPr>
      </w:pPr>
    </w:p>
    <w:p w:rsidR="00420FC5" w:rsidRPr="00C52755" w:rsidRDefault="00420FC5">
      <w:pPr>
        <w:rPr>
          <w:rFonts w:ascii="OrigGarmnd BT" w:hAnsi="OrigGarmnd BT"/>
          <w:i/>
          <w:iCs/>
        </w:rPr>
      </w:pPr>
      <w:r w:rsidRPr="00C52755">
        <w:rPr>
          <w:rFonts w:ascii="OrigGarmnd BT" w:hAnsi="OrigGarmnd BT"/>
          <w:i/>
          <w:iCs/>
        </w:rPr>
        <w:t>Avsikten med behandlingen i rådet</w:t>
      </w:r>
    </w:p>
    <w:p w:rsidR="00420FC5" w:rsidRPr="00C52755" w:rsidRDefault="00420FC5">
      <w:pPr>
        <w:pStyle w:val="RKnormal"/>
      </w:pPr>
      <w:r w:rsidRPr="00C52755">
        <w:t>Godkänna förslaget till rådsslutsatser respektive rådsrekommendationer.</w:t>
      </w:r>
    </w:p>
    <w:p w:rsidR="00420FC5" w:rsidRPr="00C52755" w:rsidRDefault="00420FC5">
      <w:pPr>
        <w:rPr>
          <w:rFonts w:ascii="OrigGarmnd BT" w:hAnsi="OrigGarmnd BT"/>
          <w:bCs/>
          <w:i/>
          <w:iCs/>
        </w:rPr>
      </w:pPr>
    </w:p>
    <w:p w:rsidR="00420FC5" w:rsidRPr="00C52755" w:rsidRDefault="00420FC5">
      <w:pPr>
        <w:rPr>
          <w:i/>
          <w:iCs/>
        </w:rPr>
      </w:pPr>
      <w:r w:rsidRPr="00C52755">
        <w:rPr>
          <w:i/>
          <w:iCs/>
        </w:rPr>
        <w:t>Bakgrund</w:t>
      </w:r>
    </w:p>
    <w:p w:rsidR="00420FC5" w:rsidRPr="00C52755" w:rsidRDefault="00420FC5">
      <w:pPr>
        <w:pStyle w:val="RKnormal"/>
        <w:rPr>
          <w:color w:val="000000"/>
          <w:szCs w:val="24"/>
        </w:rPr>
      </w:pPr>
      <w:r w:rsidRPr="00C52755">
        <w:rPr>
          <w:color w:val="000000"/>
          <w:szCs w:val="24"/>
        </w:rPr>
        <w:t>Under våren 2006 genomförde det österrikiska ordförandeskapet en högnivåkonferens och möten med ”Ordförandeskapets vänner” om Europols framtid. Rådet antog slutsatser om Europols framtid i juni 2006. Under hösten 2006 har omvandlingen av Europolkonventionen till ett rådsbeslut och Europols framtid i övrigt diskuterats på arbetsgruppsnivå. Avsikten är att rådet den 4 – 5 december 2006 skall godkänna rådsslutsatser och rådsrekommendationer om Europol, vilka är en uppdatering och vidareutveckling av de rådssl</w:t>
      </w:r>
      <w:r w:rsidRPr="00C52755">
        <w:rPr>
          <w:color w:val="000000"/>
          <w:szCs w:val="24"/>
        </w:rPr>
        <w:t xml:space="preserve">utsatser som rådet antog i juni 2006. </w:t>
      </w:r>
    </w:p>
    <w:p w:rsidR="00420FC5" w:rsidRPr="00C52755" w:rsidRDefault="00420FC5">
      <w:pPr>
        <w:pStyle w:val="RKnormal"/>
        <w:rPr>
          <w:color w:val="000000"/>
          <w:szCs w:val="24"/>
        </w:rPr>
      </w:pPr>
    </w:p>
    <w:p w:rsidR="00420FC5" w:rsidRPr="00C52755" w:rsidRDefault="00420FC5">
      <w:pPr>
        <w:pStyle w:val="RKnormal"/>
      </w:pPr>
      <w:r w:rsidRPr="00C52755">
        <w:t xml:space="preserve">Förslaget till </w:t>
      </w:r>
      <w:r w:rsidRPr="00C52755">
        <w:rPr>
          <w:i/>
          <w:iCs/>
        </w:rPr>
        <w:t>rådsslutsatser</w:t>
      </w:r>
      <w:r w:rsidRPr="00C52755">
        <w:t xml:space="preserve"> innehåller fem slutsatser (EUROPOL 93 REV 2):</w:t>
      </w:r>
    </w:p>
    <w:p w:rsidR="00420FC5" w:rsidRPr="00C52755" w:rsidRDefault="00420FC5">
      <w:pPr>
        <w:pStyle w:val="RKnormal"/>
      </w:pPr>
      <w:r w:rsidRPr="00C52755">
        <w:t xml:space="preserve">1.  Rådet välkomnar ratificeringen av de tre protokoll </w:t>
      </w:r>
      <w:r w:rsidRPr="00C52755">
        <w:rPr>
          <w:color w:val="000000"/>
          <w:szCs w:val="24"/>
        </w:rPr>
        <w:t xml:space="preserve">(rörande Europols möjlighet att initiera och delta i gemensamma utredningsgrupper, Europols möjlighet att kunna utföra sina uppgifter på ett effektivare sätt och stärka stödet till medlemsstaternas brottsbekämpande myndigheter samt vissa ändringar i reglerna om privilegier och immunitet) </w:t>
      </w:r>
      <w:r w:rsidRPr="00C52755">
        <w:t>med ändringar i Europolkonventionen och att protokollen träder i kraft under första kvartalet 2007</w:t>
      </w:r>
    </w:p>
    <w:p w:rsidR="00420FC5" w:rsidRPr="00C52755" w:rsidRDefault="00420FC5">
      <w:pPr>
        <w:pStyle w:val="RKnormal"/>
      </w:pPr>
    </w:p>
    <w:p w:rsidR="00420FC5" w:rsidRPr="00C52755" w:rsidRDefault="00420FC5">
      <w:pPr>
        <w:pStyle w:val="RKnormal"/>
      </w:pPr>
      <w:r w:rsidRPr="00C52755">
        <w:t>2.  Rådet noterar och understryker vikten av att protokollen genomförs så snart som möjligt. Rådet understryker även vikten av att godkänna rättsliga dokument baserade på artikel 6a och 10 i tilläggen till Europolkonventionen, snarast möjligt efter att 2003 år protokoll trätt i kraft.</w:t>
      </w:r>
    </w:p>
    <w:p w:rsidR="00420FC5" w:rsidRPr="00C52755" w:rsidRDefault="00420FC5">
      <w:pPr>
        <w:pStyle w:val="RKnormal"/>
      </w:pPr>
    </w:p>
    <w:p w:rsidR="00420FC5" w:rsidRPr="00C52755" w:rsidRDefault="00420FC5">
      <w:pPr>
        <w:pStyle w:val="RKnormal"/>
      </w:pPr>
      <w:r w:rsidRPr="00C52755">
        <w:t>3.  Rådet välkomnar utvecklingen av Europol genom att införa förslag om förbättringar som inte kräver ändring av Europolkonventionen. Rådet bekräftar vidare rekommendationerna att genomföra förslagen i Addendumet (EUROPOL 93 ADD 1 REV 2)</w:t>
      </w:r>
    </w:p>
    <w:p w:rsidR="00420FC5" w:rsidRPr="00C52755" w:rsidRDefault="00420FC5">
      <w:pPr>
        <w:pStyle w:val="RKnormal"/>
      </w:pPr>
    </w:p>
    <w:p w:rsidR="00420FC5" w:rsidRPr="00C52755" w:rsidRDefault="00420FC5">
      <w:pPr>
        <w:pStyle w:val="RKnormal"/>
      </w:pPr>
      <w:r w:rsidRPr="00C52755">
        <w:t>4.  Rådet stöder att Europolkonventionen ersätts av ett rådsbeslut, vilket baseras på följande:</w:t>
      </w:r>
    </w:p>
    <w:p w:rsidR="00420FC5" w:rsidRPr="00C52755" w:rsidRDefault="00420FC5">
      <w:pPr>
        <w:pStyle w:val="RKnormal"/>
      </w:pPr>
      <w:r w:rsidRPr="00C52755">
        <w:t>a) finansiering av Europol över EU:s allmänna budget</w:t>
      </w:r>
    </w:p>
    <w:p w:rsidR="00420FC5" w:rsidRPr="00C52755" w:rsidRDefault="00420FC5">
      <w:pPr>
        <w:pStyle w:val="RKnormal"/>
      </w:pPr>
      <w:r w:rsidRPr="00C52755">
        <w:t>b) antagande av EU:s tjänsteföreskrifter och protokollet för privilegier och immunitet för Europeiska gemenskapen</w:t>
      </w:r>
    </w:p>
    <w:p w:rsidR="00420FC5" w:rsidRPr="00C52755" w:rsidRDefault="00420FC5">
      <w:pPr>
        <w:pStyle w:val="RKnormal"/>
      </w:pPr>
      <w:r w:rsidRPr="00C52755">
        <w:t>d) när åtgärder om genomförandet av rådsbeslutet skall antas, skall Europols styrelse fatta beslut med 2/3-majoritet</w:t>
      </w:r>
    </w:p>
    <w:p w:rsidR="00420FC5" w:rsidRPr="00C52755" w:rsidRDefault="00420FC5">
      <w:pPr>
        <w:pStyle w:val="RKnormal"/>
      </w:pPr>
    </w:p>
    <w:p w:rsidR="00420FC5" w:rsidRPr="00C52755" w:rsidRDefault="00420FC5">
      <w:pPr>
        <w:pStyle w:val="RKnormal"/>
      </w:pPr>
      <w:r w:rsidRPr="00C52755">
        <w:t>Europolarbetsgruppen och artikel 36-kommittén instrueras att arbeta i enlighet med detta på grundval av ett förslag om ett rådsbeslut som skall ersätta Europolkonventionen.</w:t>
      </w:r>
    </w:p>
    <w:p w:rsidR="00420FC5" w:rsidRPr="00C52755" w:rsidRDefault="00420FC5">
      <w:pPr>
        <w:pStyle w:val="RKnormal"/>
      </w:pPr>
    </w:p>
    <w:p w:rsidR="00420FC5" w:rsidRPr="00C52755" w:rsidRDefault="00420FC5">
      <w:pPr>
        <w:pStyle w:val="RKnormal"/>
      </w:pPr>
      <w:r w:rsidRPr="00C52755">
        <w:t>Rådet instruerar även Europolarbetsgruppen att adressera förslagen om tillägg i Europolkonventionen (9184/1/06 EUROPOL 40 REV 1) genom förslaget till rådsbeslutet som ersätter Europolkonventionen.</w:t>
      </w:r>
    </w:p>
    <w:p w:rsidR="00420FC5" w:rsidRPr="00C52755" w:rsidRDefault="00420FC5">
      <w:pPr>
        <w:pStyle w:val="RKnormal"/>
      </w:pPr>
    </w:p>
    <w:p w:rsidR="00420FC5" w:rsidRPr="00C52755" w:rsidRDefault="00420FC5">
      <w:pPr>
        <w:pStyle w:val="RKnormal"/>
      </w:pPr>
      <w:r w:rsidRPr="00C52755">
        <w:t>Rådet syftar till att uppnå politisk överenskommelse om förslaget till rådsbeslut i sådan tid att rådsbeslutet kan antas i slutet av 2007.</w:t>
      </w:r>
    </w:p>
    <w:p w:rsidR="00420FC5" w:rsidRPr="00C52755" w:rsidRDefault="00420FC5">
      <w:pPr>
        <w:pStyle w:val="RKnormal"/>
      </w:pPr>
    </w:p>
    <w:p w:rsidR="00420FC5" w:rsidRPr="00C52755" w:rsidRDefault="00420FC5">
      <w:pPr>
        <w:pStyle w:val="RKnormal"/>
      </w:pPr>
      <w:r w:rsidRPr="00C52755">
        <w:t>5.  Rådet beslutar att Europolkonventionen skall upphävas genom att rådsbeslutet ersätter Europolkonventionen (det är inte nödvändigt med ett särskilt protokoll för att ersätta Europolkonventionen)</w:t>
      </w:r>
    </w:p>
    <w:p w:rsidR="00420FC5" w:rsidRPr="00C52755" w:rsidRDefault="00420FC5">
      <w:pPr>
        <w:pStyle w:val="RKnormal"/>
      </w:pPr>
    </w:p>
    <w:p w:rsidR="00420FC5" w:rsidRPr="00C52755" w:rsidRDefault="00420FC5">
      <w:pPr>
        <w:pStyle w:val="RKnormal"/>
      </w:pPr>
      <w:r w:rsidRPr="00C52755">
        <w:t xml:space="preserve">Rådets rättstjänst har yttrat sig och anser att Europolkonventionen kan ersättas med ett rådsbeslut utan att något särskilt protokoll upprättas om detta. </w:t>
      </w:r>
    </w:p>
    <w:p w:rsidR="00420FC5" w:rsidRPr="00C52755" w:rsidRDefault="00420FC5">
      <w:pPr>
        <w:pStyle w:val="RKnormal"/>
      </w:pPr>
    </w:p>
    <w:p w:rsidR="00420FC5" w:rsidRPr="00C52755" w:rsidRDefault="00420FC5">
      <w:pPr>
        <w:pStyle w:val="RKnormal"/>
      </w:pPr>
      <w:r w:rsidRPr="00C52755">
        <w:t>Rörande frågan om EU:s tjänsteföreskrifter och protokoll om privilegier och immunitet har rådets rättstjänst tydligt uttalat att dessa inte är förhandlingsbara utan genom att Europol blir gemensamfinansierat kommer också dessa regler att tillämpas på Europol och dess personal.</w:t>
      </w:r>
    </w:p>
    <w:p w:rsidR="00420FC5" w:rsidRPr="00C52755" w:rsidRDefault="00420FC5">
      <w:pPr>
        <w:pStyle w:val="RKnormal"/>
      </w:pPr>
      <w:r w:rsidRPr="00C52755">
        <w:t>Rådets rättstjänst utredde denna fråga när Cepol (EU:s polisakademi) inrättades (8623/05 JUR 186 ENFOPOL 53) och kom då fram till ovan nämnda ståndpunkt.</w:t>
      </w:r>
    </w:p>
    <w:p w:rsidR="00420FC5" w:rsidRPr="00C52755" w:rsidRDefault="00420FC5">
      <w:pPr>
        <w:pStyle w:val="RKnormal"/>
      </w:pPr>
    </w:p>
    <w:p w:rsidR="00420FC5" w:rsidRPr="00C52755" w:rsidRDefault="00420FC5">
      <w:pPr>
        <w:pStyle w:val="RKnormal"/>
      </w:pPr>
      <w:r w:rsidRPr="00C52755">
        <w:t xml:space="preserve">Förslaget till </w:t>
      </w:r>
      <w:r w:rsidRPr="00C52755">
        <w:rPr>
          <w:i/>
          <w:iCs/>
        </w:rPr>
        <w:t>rådsrekommendationer</w:t>
      </w:r>
      <w:r w:rsidRPr="00C52755">
        <w:t xml:space="preserve"> (EUROPOL 93 ADD 1 REV 2) är, på grundval av förslagen i dok, 9184/1/06 EUROPOL 40 REV 1, följande:</w:t>
      </w:r>
    </w:p>
    <w:p w:rsidR="00420FC5" w:rsidRPr="00C52755" w:rsidRDefault="00420FC5">
      <w:pPr>
        <w:pStyle w:val="RKnormal"/>
      </w:pPr>
    </w:p>
    <w:p w:rsidR="00420FC5" w:rsidRPr="00C52755" w:rsidRDefault="00420FC5">
      <w:pPr>
        <w:pStyle w:val="RKnormal"/>
      </w:pPr>
      <w:r w:rsidRPr="00C52755">
        <w:t>i) Angående</w:t>
      </w:r>
      <w:r w:rsidRPr="00C52755">
        <w:rPr>
          <w:u w:val="single"/>
        </w:rPr>
        <w:t xml:space="preserve"> alternativ 13</w:t>
      </w:r>
      <w:r w:rsidRPr="00C52755">
        <w:t>: Europols potentiella möjlighet att spela en mer aktiv roll i bekämpandet av allvarlig internationell brottslighet härstammande från Västra Balkan. Med avseende på detta, inbjuds Europols organ att utforska möjligheterna för Europol att öka sitt engagemang på Västra Balkan.</w:t>
      </w:r>
    </w:p>
    <w:p w:rsidR="00420FC5" w:rsidRPr="00C52755" w:rsidRDefault="00420FC5">
      <w:pPr>
        <w:pStyle w:val="RKnormal"/>
      </w:pPr>
    </w:p>
    <w:p w:rsidR="00420FC5" w:rsidRPr="00C52755" w:rsidRDefault="00420FC5">
      <w:pPr>
        <w:pStyle w:val="RKnormal"/>
      </w:pPr>
      <w:r w:rsidRPr="00C52755">
        <w:t>ii) Angående</w:t>
      </w:r>
      <w:r w:rsidRPr="00C52755">
        <w:rPr>
          <w:u w:val="single"/>
        </w:rPr>
        <w:t xml:space="preserve"> alternativ 14</w:t>
      </w:r>
      <w:r w:rsidRPr="00C52755">
        <w:t>: Utvecklingen av samordningen av byråer inom RIF-området för att överbrygga avsaknaden av klar uppdelning av ansvarsområden välkomnas. Med hänsyn till detta noterar rådet att en oberoende studie för att klargöra respektive byrås roll skulle vara värdefull.</w:t>
      </w:r>
    </w:p>
    <w:p w:rsidR="00420FC5" w:rsidRPr="00C52755" w:rsidRDefault="00420FC5">
      <w:pPr>
        <w:pStyle w:val="RKnormal"/>
      </w:pPr>
    </w:p>
    <w:p w:rsidR="00420FC5" w:rsidRPr="00C52755" w:rsidRDefault="00420FC5">
      <w:pPr>
        <w:pStyle w:val="RKnormal"/>
      </w:pPr>
      <w:r w:rsidRPr="00C52755">
        <w:t>iii) Angående</w:t>
      </w:r>
      <w:r w:rsidRPr="00C52755">
        <w:rPr>
          <w:u w:val="single"/>
        </w:rPr>
        <w:t xml:space="preserve"> alternativ 15</w:t>
      </w:r>
      <w:r w:rsidRPr="00C52755">
        <w:t>: Europols potentiella möjlighet att spela en större roll i bekämpandet av Internetbrottslighet. Europol skall överväga vilka ytterligare åtgärder Europol kan vidta för att öka förståelsen av Internetbrottslighet, såsom barnpornografi och terrorismrelaterade brott.</w:t>
      </w:r>
    </w:p>
    <w:p w:rsidR="00420FC5" w:rsidRPr="00C52755" w:rsidRDefault="00420FC5">
      <w:pPr>
        <w:pStyle w:val="RKnormal"/>
      </w:pPr>
    </w:p>
    <w:p w:rsidR="00420FC5" w:rsidRPr="00C52755" w:rsidRDefault="00420FC5">
      <w:pPr>
        <w:pStyle w:val="RKnormal"/>
      </w:pPr>
      <w:r w:rsidRPr="00C52755">
        <w:t xml:space="preserve">iv)  </w:t>
      </w:r>
      <w:r w:rsidRPr="00C52755">
        <w:rPr>
          <w:u w:val="single"/>
        </w:rPr>
        <w:t>Angående alternativ 16</w:t>
      </w:r>
      <w:r w:rsidRPr="00C52755">
        <w:t>: För att Europol bättre skall kunna bistå vid gränsöverskridande kontrollerade leveranser skall Europol bistå medlemsstaterna för att öka det praktiska samarbetet (t.ex. genom att upprätta en katalog av ”bästa metoder”)</w:t>
      </w:r>
    </w:p>
    <w:p w:rsidR="00420FC5" w:rsidRPr="00C52755" w:rsidRDefault="00420FC5">
      <w:pPr>
        <w:pStyle w:val="RKnormal"/>
      </w:pPr>
    </w:p>
    <w:p w:rsidR="00420FC5" w:rsidRPr="00C52755" w:rsidRDefault="00420FC5">
      <w:pPr>
        <w:pStyle w:val="RKnormal"/>
      </w:pPr>
      <w:r w:rsidRPr="00C52755">
        <w:t>v) Angående</w:t>
      </w:r>
      <w:r w:rsidRPr="00C52755">
        <w:rPr>
          <w:u w:val="single"/>
        </w:rPr>
        <w:t xml:space="preserve"> alternativ 26</w:t>
      </w:r>
      <w:r w:rsidRPr="00C52755">
        <w:t>: MS, Europol och andra EU-aktörer skall beakta behovet av tekniska interoperabilitet vid skapandet av IT-system.</w:t>
      </w:r>
    </w:p>
    <w:p w:rsidR="00420FC5" w:rsidRPr="00C52755" w:rsidRDefault="00420FC5">
      <w:pPr>
        <w:pStyle w:val="RKnormal"/>
      </w:pPr>
    </w:p>
    <w:p w:rsidR="00420FC5" w:rsidRPr="00C52755" w:rsidRDefault="00420FC5">
      <w:pPr>
        <w:pStyle w:val="RKnormal"/>
      </w:pPr>
      <w:r w:rsidRPr="00C52755">
        <w:t>vi) Angående</w:t>
      </w:r>
      <w:r w:rsidRPr="00C52755">
        <w:rPr>
          <w:u w:val="single"/>
        </w:rPr>
        <w:t xml:space="preserve"> alternativ 42</w:t>
      </w:r>
      <w:r w:rsidRPr="00C52755">
        <w:t>: MS skall försäkra när det är praktiskt möjligt att deras sambandsmän vid Europol har online-tillgång till nationella databaser.</w:t>
      </w:r>
    </w:p>
    <w:p w:rsidR="00420FC5" w:rsidRPr="00C52755" w:rsidRDefault="00420FC5">
      <w:pPr>
        <w:pStyle w:val="RKnormal"/>
      </w:pPr>
    </w:p>
    <w:p w:rsidR="00420FC5" w:rsidRPr="00C52755" w:rsidRDefault="00420FC5">
      <w:pPr>
        <w:pStyle w:val="RKnormal"/>
      </w:pPr>
      <w:r w:rsidRPr="00C52755">
        <w:t>vii) Angående</w:t>
      </w:r>
      <w:r w:rsidRPr="00C52755">
        <w:rPr>
          <w:u w:val="single"/>
        </w:rPr>
        <w:t xml:space="preserve"> alternativ 44</w:t>
      </w:r>
      <w:r w:rsidRPr="00C52755">
        <w:t>: MS skall försäkra att alla kompetenta myndigheters intressen är representerade i medlemsstaternas nationella Europolenhet.</w:t>
      </w:r>
    </w:p>
    <w:p w:rsidR="00420FC5" w:rsidRPr="00C52755" w:rsidRDefault="00420FC5">
      <w:pPr>
        <w:pStyle w:val="RKnormal"/>
      </w:pPr>
    </w:p>
    <w:p w:rsidR="00420FC5" w:rsidRPr="00C52755" w:rsidRDefault="00420FC5">
      <w:pPr>
        <w:pStyle w:val="RKnormal"/>
      </w:pPr>
      <w:r w:rsidRPr="00C52755">
        <w:t>Rådet begär att Europols styrelse och Europols rådsarbetsgrupp rapporterar om genomförandet av rekommendationerna i juni 2007. Genomförandet av återstående alternativ skall fortsatt övervägas.</w:t>
      </w:r>
    </w:p>
    <w:p w:rsidR="00420FC5" w:rsidRPr="00C52755" w:rsidRDefault="00420FC5">
      <w:pPr>
        <w:pStyle w:val="RKnormal"/>
      </w:pPr>
    </w:p>
    <w:p w:rsidR="00420FC5" w:rsidRPr="00C52755" w:rsidRDefault="00420FC5">
      <w:pPr>
        <w:pStyle w:val="RKnormal"/>
      </w:pPr>
      <w:r w:rsidRPr="00C52755">
        <w:rPr>
          <w:bCs/>
        </w:rPr>
        <w:t>Frågan (tidigare rådslutsatser om Europols framtid)har tidigare behandlats i EU-nämnden inför</w:t>
      </w:r>
      <w:r w:rsidRPr="00C52755">
        <w:rPr>
          <w:b/>
        </w:rPr>
        <w:t xml:space="preserve"> </w:t>
      </w:r>
      <w:r w:rsidRPr="00C52755">
        <w:t>RIF-rådet den 1 – 2 juni 2006.</w:t>
      </w:r>
    </w:p>
    <w:p w:rsidR="00420FC5" w:rsidRPr="00C52755" w:rsidRDefault="00420FC5">
      <w:pPr>
        <w:pStyle w:val="RKnormal"/>
      </w:pPr>
    </w:p>
    <w:p w:rsidR="00420FC5" w:rsidRPr="00C52755" w:rsidRDefault="00420FC5">
      <w:pPr>
        <w:pStyle w:val="RKnormal"/>
        <w:rPr>
          <w:i/>
          <w:iCs/>
        </w:rPr>
      </w:pPr>
      <w:r w:rsidRPr="00C52755">
        <w:rPr>
          <w:i/>
          <w:iCs/>
        </w:rPr>
        <w:t>Svensk ståndpunkt</w:t>
      </w:r>
    </w:p>
    <w:p w:rsidR="00420FC5" w:rsidRPr="00C52755" w:rsidRDefault="00420FC5">
      <w:pPr>
        <w:pStyle w:val="RKnormal"/>
        <w:rPr>
          <w:bCs/>
          <w:i/>
          <w:iCs/>
        </w:rPr>
      </w:pPr>
      <w:r w:rsidRPr="00C52755">
        <w:t>Sverige stödjer de förslag till rådsslutsatser och rådsrekommendationer som föreslagits och godkänner därmed att Europolkonventionen ersätts av ett rådsbeslut och att Europol blir ett gemensamfinansierat EU-organ, vilket bl.a. medför att EU:s tjänsteföreskrifter och protokoll om privilegier och immunitet kommer att tillämpas för Europol och dess personal.</w:t>
      </w:r>
    </w:p>
    <w:p w:rsidR="00420FC5" w:rsidRPr="00C52755" w:rsidRDefault="00420FC5">
      <w:pPr>
        <w:rPr>
          <w:rFonts w:ascii="OrigGarmnd BT" w:hAnsi="OrigGarmnd BT"/>
          <w:b/>
          <w:bCs/>
        </w:rPr>
      </w:pPr>
    </w:p>
    <w:p w:rsidR="00420FC5" w:rsidRPr="00C52755" w:rsidRDefault="00420FC5">
      <w:pPr>
        <w:rPr>
          <w:rFonts w:ascii="OrigGarmnd BT" w:hAnsi="OrigGarmnd BT"/>
          <w:b/>
          <w:bCs/>
        </w:rPr>
      </w:pPr>
    </w:p>
    <w:p w:rsidR="00420FC5" w:rsidRPr="00C52755" w:rsidRDefault="00420FC5">
      <w:pPr>
        <w:rPr>
          <w:rFonts w:ascii="OrigGarmnd BT" w:hAnsi="OrigGarmnd BT"/>
          <w:b/>
          <w:bCs/>
        </w:rPr>
      </w:pPr>
      <w:r w:rsidRPr="00C52755">
        <w:rPr>
          <w:rFonts w:ascii="OrigGarmnd BT" w:hAnsi="OrigGarmnd BT"/>
          <w:b/>
          <w:bCs/>
        </w:rPr>
        <w:t>17. Handlingsplan mot människohandel (BA)</w:t>
      </w:r>
    </w:p>
    <w:p w:rsidR="00420FC5" w:rsidRPr="00C52755" w:rsidRDefault="00420FC5">
      <w:pPr>
        <w:rPr>
          <w:rFonts w:ascii="OrigGarmnd BT" w:hAnsi="OrigGarmnd BT"/>
          <w:b/>
          <w:bCs/>
        </w:rPr>
      </w:pPr>
    </w:p>
    <w:p w:rsidR="00420FC5" w:rsidRPr="00C52755" w:rsidRDefault="00420FC5">
      <w:pPr>
        <w:pStyle w:val="RKnormal"/>
        <w:rPr>
          <w:i/>
          <w:iCs/>
        </w:rPr>
      </w:pPr>
      <w:r w:rsidRPr="00C52755">
        <w:rPr>
          <w:i/>
          <w:iCs/>
        </w:rPr>
        <w:t>Avsikten med behandlingen i rådet</w:t>
      </w:r>
    </w:p>
    <w:p w:rsidR="00420FC5" w:rsidRPr="00C52755" w:rsidRDefault="00420FC5">
      <w:pPr>
        <w:pStyle w:val="RKnormal"/>
      </w:pPr>
      <w:r w:rsidRPr="00C52755">
        <w:t>Diskussionspunkt. ORDF avser avsluta hanteringen av denna uppföljning av handlingsplanen innan ordförandeskapet överlämnas till Tyskland.</w:t>
      </w:r>
    </w:p>
    <w:p w:rsidR="00420FC5" w:rsidRPr="00C52755" w:rsidRDefault="00420FC5">
      <w:pPr>
        <w:pStyle w:val="RKnormal"/>
        <w:rPr>
          <w:bCs/>
        </w:rPr>
      </w:pPr>
    </w:p>
    <w:p w:rsidR="00420FC5" w:rsidRPr="00C52755" w:rsidRDefault="00420FC5">
      <w:pPr>
        <w:pStyle w:val="RKnormal"/>
        <w:rPr>
          <w:bCs/>
          <w:i/>
          <w:iCs/>
        </w:rPr>
      </w:pPr>
      <w:r w:rsidRPr="00C52755">
        <w:rPr>
          <w:bCs/>
          <w:i/>
          <w:iCs/>
        </w:rPr>
        <w:t>Bakgrund</w:t>
      </w:r>
    </w:p>
    <w:p w:rsidR="00420FC5" w:rsidRPr="00C52755" w:rsidRDefault="00420FC5">
      <w:pPr>
        <w:pStyle w:val="RKnormal"/>
      </w:pPr>
      <w:r w:rsidRPr="00C52755">
        <w:t xml:space="preserve">EU antog i december 2005 en handlingsplan mot människohandel. ORDF har nu lyft frågan genom att lägga fram ett dokument om uppföljning av handlingsplanen innehållande en handlingstabell. Ansvaret för genomförandet av handlingsplanen delas mellan medlemsstaterna och kommissionen. Dokumentet fastställer att det finns ett behov av kontinuerlig utvärdering av handlingsplanen samt en metod för hur detta skall ske. </w:t>
      </w:r>
    </w:p>
    <w:p w:rsidR="00420FC5" w:rsidRPr="00C52755" w:rsidRDefault="00420FC5">
      <w:pPr>
        <w:pStyle w:val="RKnormal"/>
      </w:pPr>
    </w:p>
    <w:p w:rsidR="00420FC5" w:rsidRPr="00C52755" w:rsidRDefault="00420FC5">
      <w:pPr>
        <w:pStyle w:val="RKnormal"/>
      </w:pPr>
      <w:r w:rsidRPr="00C52755">
        <w:t xml:space="preserve">Handlingstabellen innehåller information om aktivitet, syfte med densamma, tidsperspektiv, ansvarigt organ samt status. Bland kommissionens aktiviteter utmärker sig en tydligare fokusering på människohandel vid finansiering av projekt samt etablerandet av en dag mot människohandel, förslagsvis den 11 juni. Man avser även arbeta fram ett utförligare informationsmaterial för att öka kunskapen om människohandel. Bland övriga organ som omnämns i handlingstabellen finns Frontex, CEPOL, Eurojust och Europol. </w:t>
      </w:r>
    </w:p>
    <w:p w:rsidR="00420FC5" w:rsidRPr="00C52755" w:rsidRDefault="00420FC5">
      <w:pPr>
        <w:pStyle w:val="RKnormal"/>
      </w:pPr>
    </w:p>
    <w:p w:rsidR="00420FC5" w:rsidRPr="00C52755" w:rsidRDefault="00420FC5">
      <w:pPr>
        <w:pStyle w:val="RKnormal"/>
      </w:pPr>
      <w:r w:rsidRPr="00C52755">
        <w:t>Handlingsplanen var ämne för diskussion i EU-nämnden den 21 november 2005 inför att den skulle antas i RIF i december 2005. Uppföljningen av handlingsplanen behandlades nyligen i Artikel 36-kommittéen den 22 november och kommer att diskuteras på Coreper den 29 november.</w:t>
      </w:r>
    </w:p>
    <w:p w:rsidR="00420FC5" w:rsidRPr="00C52755" w:rsidRDefault="00420FC5">
      <w:pPr>
        <w:pStyle w:val="RKnormal"/>
      </w:pPr>
    </w:p>
    <w:p w:rsidR="00420FC5" w:rsidRPr="00C52755" w:rsidRDefault="00420FC5">
      <w:pPr>
        <w:pStyle w:val="RKnormal"/>
        <w:rPr>
          <w:i/>
          <w:iCs/>
        </w:rPr>
      </w:pPr>
      <w:r w:rsidRPr="00C52755">
        <w:rPr>
          <w:i/>
          <w:iCs/>
        </w:rPr>
        <w:t>Svensk ståndpunkt</w:t>
      </w:r>
    </w:p>
    <w:p w:rsidR="00420FC5" w:rsidRPr="00C52755" w:rsidRDefault="00420FC5">
      <w:pPr>
        <w:pStyle w:val="RKnormal"/>
        <w:rPr>
          <w:lang w:eastAsia="sv-SE"/>
        </w:rPr>
      </w:pPr>
      <w:r w:rsidRPr="00C52755">
        <w:rPr>
          <w:lang w:eastAsia="sv-SE"/>
        </w:rPr>
        <w:t xml:space="preserve">Sverige kan godkänna dokumentet i sin nuvarande form. </w:t>
      </w:r>
    </w:p>
    <w:p w:rsidR="00420FC5" w:rsidRPr="00C52755" w:rsidRDefault="00420FC5">
      <w:pPr>
        <w:pStyle w:val="RKnormal"/>
        <w:rPr>
          <w:lang w:eastAsia="sv-SE"/>
        </w:rPr>
      </w:pPr>
    </w:p>
    <w:p w:rsidR="00420FC5" w:rsidRPr="00C52755" w:rsidRDefault="00420FC5">
      <w:pPr>
        <w:pStyle w:val="RKnormal"/>
        <w:rPr>
          <w:lang w:eastAsia="sv-SE"/>
        </w:rPr>
      </w:pPr>
      <w:r w:rsidRPr="00C52755">
        <w:rPr>
          <w:lang w:eastAsia="sv-SE"/>
        </w:rPr>
        <w:t>Sverige betonar att arbete för att förebygga och motverka efterfrågan, vare sig det gäller för prostitution och annan sexuell exploatering, organhandel eller arbetskraftsexploatering, är något som vi måste fokusera på och prioritera så länge människohandel.</w:t>
      </w:r>
    </w:p>
    <w:p w:rsidR="00420FC5" w:rsidRPr="00C52755" w:rsidRDefault="00420FC5">
      <w:pPr>
        <w:pStyle w:val="RKnormal"/>
        <w:rPr>
          <w:lang w:eastAsia="sv-SE"/>
        </w:rPr>
      </w:pPr>
    </w:p>
    <w:p w:rsidR="00420FC5" w:rsidRPr="00C52755" w:rsidRDefault="00420FC5">
      <w:pPr>
        <w:pStyle w:val="RKnormal"/>
        <w:rPr>
          <w:lang w:eastAsia="sv-SE"/>
        </w:rPr>
      </w:pPr>
      <w:r w:rsidRPr="00C52755">
        <w:rPr>
          <w:lang w:eastAsia="sv-SE"/>
        </w:rPr>
        <w:t>I regeringens arbete med att ta fram ett heltäckande program mot människohandel är åtgärder för att förebygga och motverka efterfrågan prioriterade både när det gäller prostitution och människohandel för sexuella ändamål och när det gäller människohandel för arbetskraftsexploatering, organhandel och andra former av utnyttjande.</w:t>
      </w:r>
    </w:p>
    <w:p w:rsidR="00420FC5" w:rsidRPr="00C52755" w:rsidRDefault="00420FC5">
      <w:pPr>
        <w:pStyle w:val="RKnormal"/>
        <w:rPr>
          <w:bCs/>
        </w:rPr>
      </w:pPr>
    </w:p>
    <w:p w:rsidR="00420FC5" w:rsidRPr="00C52755" w:rsidRDefault="00420FC5">
      <w:pPr>
        <w:rPr>
          <w:rFonts w:ascii="OrigGarmnd BT" w:hAnsi="OrigGarmnd BT"/>
          <w:b/>
          <w:bCs/>
        </w:rPr>
      </w:pPr>
    </w:p>
    <w:p w:rsidR="00420FC5" w:rsidRPr="00C52755" w:rsidRDefault="00420FC5">
      <w:pPr>
        <w:pStyle w:val="RKnormal"/>
        <w:rPr>
          <w:b/>
          <w:bCs/>
        </w:rPr>
      </w:pPr>
      <w:r w:rsidRPr="00C52755">
        <w:rPr>
          <w:b/>
          <w:bCs/>
        </w:rPr>
        <w:t>18. Terrorism</w:t>
      </w:r>
    </w:p>
    <w:p w:rsidR="00420FC5" w:rsidRPr="00C52755" w:rsidRDefault="00420FC5">
      <w:pPr>
        <w:pStyle w:val="RKnormal"/>
        <w:rPr>
          <w:b/>
          <w:bCs/>
        </w:rPr>
      </w:pPr>
      <w:r w:rsidRPr="00C52755">
        <w:rPr>
          <w:b/>
          <w:bCs/>
          <w:sz w:val="26"/>
        </w:rPr>
        <w:t>a)</w:t>
      </w:r>
      <w:r w:rsidRPr="00C52755">
        <w:rPr>
          <w:b/>
          <w:bCs/>
        </w:rPr>
        <w:t xml:space="preserve"> Rapport från rådets antiterrorismsamordnare de Vries angående genomförande av EU:s strategi mot terrorism</w:t>
      </w:r>
      <w:r w:rsidRPr="00C52755">
        <w:rPr>
          <w:b/>
          <w:bCs/>
          <w:sz w:val="26"/>
        </w:rPr>
        <w:t xml:space="preserve">  (BA)</w:t>
      </w:r>
    </w:p>
    <w:p w:rsidR="00420FC5" w:rsidRPr="00C52755" w:rsidRDefault="00420FC5">
      <w:pPr>
        <w:rPr>
          <w:rFonts w:ascii="OrigGarmnd BT" w:hAnsi="OrigGarmnd BT"/>
          <w:b/>
          <w:bCs/>
        </w:rPr>
      </w:pPr>
    </w:p>
    <w:p w:rsidR="00420FC5" w:rsidRPr="00C52755" w:rsidRDefault="00420FC5">
      <w:pPr>
        <w:pStyle w:val="RKnormal"/>
        <w:rPr>
          <w:i/>
          <w:iCs/>
        </w:rPr>
      </w:pPr>
      <w:r w:rsidRPr="00C52755">
        <w:rPr>
          <w:i/>
          <w:iCs/>
        </w:rPr>
        <w:t>Avsikten med behandlingen i rådet</w:t>
      </w:r>
    </w:p>
    <w:p w:rsidR="00420FC5" w:rsidRPr="00C52755" w:rsidRDefault="00420FC5">
      <w:pPr>
        <w:pStyle w:val="RKnormal"/>
        <w:rPr>
          <w:i/>
          <w:iCs/>
        </w:rPr>
      </w:pPr>
      <w:r w:rsidRPr="00C52755">
        <w:t>Informationspunkt. Rådet skall notera återapporteringen.</w:t>
      </w:r>
    </w:p>
    <w:p w:rsidR="00420FC5" w:rsidRPr="00C52755" w:rsidRDefault="00420FC5">
      <w:pPr>
        <w:pStyle w:val="RKnormal"/>
      </w:pPr>
    </w:p>
    <w:p w:rsidR="00420FC5" w:rsidRPr="00C52755" w:rsidRDefault="00420FC5">
      <w:pPr>
        <w:pStyle w:val="RKnormal"/>
        <w:rPr>
          <w:i/>
          <w:iCs/>
        </w:rPr>
      </w:pPr>
      <w:r w:rsidRPr="00C52755">
        <w:rPr>
          <w:i/>
          <w:iCs/>
        </w:rPr>
        <w:t>Bakgrund</w:t>
      </w:r>
    </w:p>
    <w:p w:rsidR="00420FC5" w:rsidRPr="00C52755" w:rsidRDefault="00420FC5">
      <w:pPr>
        <w:pStyle w:val="RKnormal"/>
      </w:pPr>
      <w:r w:rsidRPr="00C52755">
        <w:t xml:space="preserve">Efter terrorattackerna i Madrid antog Europeiska rådet den 25 mars 2004 en deklaration om bekämpning av terrorism innehållande 15 olika punkter med förslag till åtgärder. I deklarationen anges dessutom att ministerrådet skall rapportera till Europeiska rådet om hur uppföljningen av deklarationen fortskrider. </w:t>
      </w:r>
    </w:p>
    <w:p w:rsidR="00420FC5" w:rsidRPr="00C52755" w:rsidRDefault="00420FC5">
      <w:pPr>
        <w:pStyle w:val="RKnormal"/>
      </w:pPr>
    </w:p>
    <w:p w:rsidR="00420FC5" w:rsidRPr="00C52755" w:rsidRDefault="00420FC5">
      <w:pPr>
        <w:pStyle w:val="RKnormal"/>
        <w:rPr>
          <w:color w:val="000000"/>
          <w:szCs w:val="24"/>
        </w:rPr>
      </w:pPr>
      <w:r w:rsidRPr="00C52755">
        <w:t xml:space="preserve">En första uppföljning ägde rum vid Europeiska rådets möte i juni 2004 då bland annat EU:s  handlingsplan mot terrorism antogs. En ny deklaration antogs vid ett extrainkallat RIF-råd med anledning av bombdåden i London den 7 juli 2005. </w:t>
      </w:r>
      <w:r w:rsidRPr="00C52755">
        <w:rPr>
          <w:color w:val="000000"/>
          <w:szCs w:val="24"/>
        </w:rPr>
        <w:t>Europeiska rådet antog i december 2005 en övergripande EU-strategi mot terrorism som, med utgångspunkt i tidigare handlingsplan och deklarationer, tydligt förklarar EU:s policy, vilka mål som satts upp, hur de skall uppnås, på vilka områden som insatser har vidtagits och vad som prioriteras för framtiden. I strategin delas denna policy in i fyra åtgärdsområden; förebygga, skydda, störa och hantera. Handlingsplanen har uppdaterats och omstrukturerats för att bättre motsvara målen i strategin.</w:t>
      </w:r>
    </w:p>
    <w:p w:rsidR="00420FC5" w:rsidRPr="00C52755" w:rsidRDefault="00420FC5">
      <w:pPr>
        <w:pStyle w:val="RKnormal"/>
        <w:rPr>
          <w:color w:val="000000"/>
          <w:szCs w:val="24"/>
        </w:rPr>
      </w:pPr>
    </w:p>
    <w:p w:rsidR="00420FC5" w:rsidRPr="00C52755" w:rsidRDefault="00420FC5">
      <w:pPr>
        <w:pStyle w:val="RKnormal"/>
      </w:pPr>
      <w:r w:rsidRPr="00C52755">
        <w:t>En praxis har utvecklats med återrapportering och avstämning av hur arbetet fortskrider. Detta sker i slutet av varje ordförandeskap, först till RIF-rådet sedan till Europeiska rådet.</w:t>
      </w:r>
    </w:p>
    <w:p w:rsidR="00420FC5" w:rsidRPr="00C52755" w:rsidRDefault="00420FC5">
      <w:pPr>
        <w:pStyle w:val="RKnormal"/>
        <w:rPr>
          <w:color w:val="000000"/>
          <w:szCs w:val="24"/>
        </w:rPr>
      </w:pPr>
    </w:p>
    <w:p w:rsidR="00420FC5" w:rsidRPr="00C52755" w:rsidRDefault="00420FC5">
      <w:pPr>
        <w:pStyle w:val="RKnormal"/>
        <w:rPr>
          <w:color w:val="000000"/>
          <w:szCs w:val="24"/>
        </w:rPr>
      </w:pPr>
      <w:r w:rsidRPr="00C52755">
        <w:rPr>
          <w:color w:val="000000"/>
          <w:szCs w:val="24"/>
        </w:rPr>
        <w:t xml:space="preserve">Huvuddelen i rapporten denna gång utgörs av en genomgång av vidtagna åtgärder på de olika delområdena </w:t>
      </w:r>
      <w:r w:rsidRPr="00C52755">
        <w:rPr>
          <w:i/>
          <w:iCs/>
          <w:color w:val="000000"/>
          <w:szCs w:val="24"/>
        </w:rPr>
        <w:t>Prevent</w:t>
      </w:r>
      <w:r w:rsidRPr="00C52755">
        <w:rPr>
          <w:color w:val="000000"/>
          <w:szCs w:val="24"/>
        </w:rPr>
        <w:t xml:space="preserve">, </w:t>
      </w:r>
      <w:r w:rsidRPr="00C52755">
        <w:rPr>
          <w:i/>
          <w:iCs/>
          <w:color w:val="000000"/>
          <w:szCs w:val="24"/>
        </w:rPr>
        <w:t>Pursue</w:t>
      </w:r>
      <w:r w:rsidRPr="00C52755">
        <w:rPr>
          <w:color w:val="000000"/>
          <w:szCs w:val="24"/>
        </w:rPr>
        <w:t xml:space="preserve">, </w:t>
      </w:r>
      <w:r w:rsidRPr="00C52755">
        <w:rPr>
          <w:i/>
          <w:iCs/>
          <w:color w:val="000000"/>
          <w:szCs w:val="24"/>
        </w:rPr>
        <w:t>Protect</w:t>
      </w:r>
      <w:r w:rsidRPr="00C52755">
        <w:rPr>
          <w:color w:val="000000"/>
          <w:szCs w:val="24"/>
        </w:rPr>
        <w:t xml:space="preserve"> och </w:t>
      </w:r>
      <w:r w:rsidRPr="00C52755">
        <w:rPr>
          <w:i/>
          <w:iCs/>
          <w:color w:val="000000"/>
          <w:szCs w:val="24"/>
        </w:rPr>
        <w:t>Defend</w:t>
      </w:r>
      <w:r w:rsidRPr="00C52755">
        <w:rPr>
          <w:color w:val="000000"/>
          <w:szCs w:val="24"/>
        </w:rPr>
        <w:t>. Rådets antiterrorismsamordnare lyfter särskilt fram:</w:t>
      </w:r>
    </w:p>
    <w:p w:rsidR="00420FC5" w:rsidRPr="00C52755" w:rsidRDefault="00420FC5">
      <w:pPr>
        <w:pStyle w:val="RKnormal"/>
        <w:rPr>
          <w:color w:val="000000"/>
          <w:szCs w:val="24"/>
        </w:rPr>
      </w:pPr>
      <w:r w:rsidRPr="00C52755">
        <w:rPr>
          <w:color w:val="000000"/>
          <w:szCs w:val="24"/>
        </w:rPr>
        <w:t>- FN:s centrala roll i den globala kampen mot terrorism förs fram i alla samtal med tredje land;</w:t>
      </w:r>
    </w:p>
    <w:p w:rsidR="00420FC5" w:rsidRPr="00C52755" w:rsidRDefault="00420FC5">
      <w:pPr>
        <w:pStyle w:val="RKnormal"/>
        <w:rPr>
          <w:color w:val="000000"/>
          <w:szCs w:val="24"/>
        </w:rPr>
      </w:pPr>
      <w:r w:rsidRPr="00C52755">
        <w:rPr>
          <w:color w:val="000000"/>
          <w:szCs w:val="24"/>
        </w:rPr>
        <w:t>- samarbete med USA, Australien, Indien och Ryssland har utvecklats yttrligare, speciellt då på politisk nivå;</w:t>
      </w:r>
    </w:p>
    <w:p w:rsidR="00420FC5" w:rsidRPr="00C52755" w:rsidRDefault="00420FC5">
      <w:pPr>
        <w:pStyle w:val="RKnormal"/>
        <w:rPr>
          <w:color w:val="000000"/>
          <w:szCs w:val="24"/>
        </w:rPr>
      </w:pPr>
      <w:r w:rsidRPr="00C52755">
        <w:rPr>
          <w:color w:val="000000"/>
          <w:szCs w:val="24"/>
        </w:rPr>
        <w:t>- i alla externa dialoger betonas rättsäkerhetsprinciper och MR-perspektiv;</w:t>
      </w:r>
    </w:p>
    <w:p w:rsidR="00420FC5" w:rsidRPr="00C52755" w:rsidRDefault="00420FC5">
      <w:pPr>
        <w:pStyle w:val="RKnormal"/>
        <w:rPr>
          <w:color w:val="000000"/>
          <w:szCs w:val="24"/>
        </w:rPr>
      </w:pPr>
      <w:r w:rsidRPr="00C52755">
        <w:rPr>
          <w:color w:val="000000"/>
          <w:szCs w:val="24"/>
        </w:rPr>
        <w:t>- beslutsfattande i tredje pelaren ses som en hämsko för vidare utveckling av samarbete;</w:t>
      </w:r>
    </w:p>
    <w:p w:rsidR="00420FC5" w:rsidRPr="00C52755" w:rsidRDefault="00420FC5">
      <w:pPr>
        <w:pStyle w:val="RKnormal"/>
        <w:rPr>
          <w:color w:val="000000"/>
          <w:szCs w:val="24"/>
        </w:rPr>
      </w:pPr>
      <w:r w:rsidRPr="00C52755">
        <w:rPr>
          <w:color w:val="000000"/>
          <w:szCs w:val="24"/>
        </w:rPr>
        <w:t>- det nationella genomförandet sägs vara haltande, särskilt när det gäller rambeslut om frysning av tillgångar och bevis där mer än hälften  av MS inte ännu genomfört detta rambeslut i nationella lagstiftning. SE tillhör de som genomfört nationellt.</w:t>
      </w:r>
    </w:p>
    <w:p w:rsidR="00420FC5" w:rsidRPr="00C52755" w:rsidRDefault="00420FC5">
      <w:pPr>
        <w:pStyle w:val="RKnormal"/>
        <w:rPr>
          <w:color w:val="000000"/>
          <w:szCs w:val="24"/>
        </w:rPr>
      </w:pPr>
    </w:p>
    <w:p w:rsidR="00420FC5" w:rsidRPr="00C52755" w:rsidRDefault="00420FC5">
      <w:pPr>
        <w:pStyle w:val="RKnormal"/>
        <w:rPr>
          <w:i/>
          <w:iCs/>
        </w:rPr>
      </w:pPr>
      <w:r w:rsidRPr="00C52755">
        <w:rPr>
          <w:i/>
          <w:iCs/>
        </w:rPr>
        <w:t>Svensk ståndpunkt</w:t>
      </w:r>
    </w:p>
    <w:p w:rsidR="00420FC5" w:rsidRPr="00C52755" w:rsidRDefault="00420FC5">
      <w:pPr>
        <w:pStyle w:val="RKnormal"/>
      </w:pPr>
      <w:r w:rsidRPr="00C52755">
        <w:t xml:space="preserve">Sverige välkomnar återrapporteringen. Det är viktigt att rådet kontinuerligt får information om att tempot i uppföljningsarbetet hålls uppe och att resultat verkligen uppnås. Der ger också indikationer om var ytterligare ansträngningar är nödvändiga. </w:t>
      </w:r>
    </w:p>
    <w:p w:rsidR="00420FC5" w:rsidRPr="00C52755" w:rsidRDefault="00420FC5">
      <w:pPr>
        <w:pStyle w:val="RKnormal"/>
      </w:pPr>
    </w:p>
    <w:p w:rsidR="00420FC5" w:rsidRPr="00C52755" w:rsidRDefault="00420FC5">
      <w:pPr>
        <w:pStyle w:val="RKnormal"/>
        <w:rPr>
          <w:b/>
          <w:bCs/>
        </w:rPr>
      </w:pPr>
    </w:p>
    <w:p w:rsidR="00420FC5" w:rsidRPr="00C52755" w:rsidRDefault="00420FC5">
      <w:pPr>
        <w:pStyle w:val="RKnormal"/>
        <w:rPr>
          <w:b/>
          <w:bCs/>
        </w:rPr>
      </w:pPr>
      <w:r w:rsidRPr="00C52755">
        <w:rPr>
          <w:b/>
          <w:bCs/>
        </w:rPr>
        <w:t xml:space="preserve">b) Genomförande av EU:s handlingsplan mot rekrytering och radikalisering (BA) </w:t>
      </w:r>
    </w:p>
    <w:p w:rsidR="00420FC5" w:rsidRPr="00C52755" w:rsidRDefault="00420FC5">
      <w:pPr>
        <w:pStyle w:val="RKnormal"/>
        <w:rPr>
          <w:i/>
          <w:iCs/>
        </w:rPr>
      </w:pPr>
    </w:p>
    <w:p w:rsidR="00420FC5" w:rsidRPr="00C52755" w:rsidRDefault="00420FC5">
      <w:pPr>
        <w:pStyle w:val="RKnormal"/>
        <w:rPr>
          <w:i/>
          <w:iCs/>
        </w:rPr>
      </w:pPr>
      <w:r w:rsidRPr="00C52755">
        <w:rPr>
          <w:i/>
          <w:iCs/>
        </w:rPr>
        <w:t>Avsikten med behandlingen i rådet</w:t>
      </w:r>
    </w:p>
    <w:p w:rsidR="00420FC5" w:rsidRPr="00C52755" w:rsidRDefault="00420FC5">
      <w:pPr>
        <w:pStyle w:val="RKnormal"/>
        <w:rPr>
          <w:i/>
          <w:iCs/>
        </w:rPr>
      </w:pPr>
      <w:r w:rsidRPr="00C52755">
        <w:t>Informationspunkt. Rådet förväntas notera återrapporteringen.</w:t>
      </w:r>
    </w:p>
    <w:p w:rsidR="00420FC5" w:rsidRPr="00C52755" w:rsidRDefault="00420FC5">
      <w:pPr>
        <w:pStyle w:val="RKnormal"/>
      </w:pPr>
    </w:p>
    <w:p w:rsidR="00420FC5" w:rsidRPr="00C52755" w:rsidRDefault="00420FC5">
      <w:pPr>
        <w:pStyle w:val="RKnormal"/>
        <w:rPr>
          <w:bCs/>
          <w:i/>
          <w:iCs/>
        </w:rPr>
      </w:pPr>
      <w:r w:rsidRPr="00C52755">
        <w:rPr>
          <w:bCs/>
          <w:i/>
          <w:iCs/>
        </w:rPr>
        <w:t>Bakgrund</w:t>
      </w:r>
    </w:p>
    <w:p w:rsidR="00420FC5" w:rsidRPr="00C52755" w:rsidRDefault="00420FC5">
      <w:pPr>
        <w:pStyle w:val="RKnormal"/>
      </w:pPr>
      <w:r w:rsidRPr="00C52755">
        <w:t>I handlingsplanen mot terrorism som antogs av rådet i juni 2004 sägs bland annat att rådet skall anta en långsiktig strategi mot radikalisering och rekrytering av terrorism. Europeiska rådet upprepade i december 2004 att om kampen mot terrorismen skall bli effektiv på lång sikt måste man ta itu med terrorismens orsaker. Radikalisering och rekrytering till terrorism hör nära samman med detta. Europeiska rådet uppmanade därför rådet att senast 2005 upprätta en långsiktig strategi och handlingsplan i dessa bå</w:t>
      </w:r>
      <w:r w:rsidRPr="00C52755">
        <w:t xml:space="preserve">da frågor. Dokumenten antogs i december 2006. Handlingsplanen är inte bindande i varje enskilt förslag utan kan snarast ses som en katalog över möjliga åtgärder. Varje medlemsstat måste själv fundera på vilka behov och vilken hotbild som finns i det egna landet. </w:t>
      </w:r>
    </w:p>
    <w:p w:rsidR="00420FC5" w:rsidRPr="00C52755" w:rsidRDefault="00420FC5">
      <w:pPr>
        <w:pStyle w:val="RKnormal"/>
      </w:pPr>
    </w:p>
    <w:p w:rsidR="00420FC5" w:rsidRPr="00C52755" w:rsidRDefault="00420FC5">
      <w:pPr>
        <w:pStyle w:val="RKnormal"/>
      </w:pPr>
      <w:r w:rsidRPr="00C52755">
        <w:t xml:space="preserve">Enligt handlingsplanen skall en årlig uppföljning ske. För att förbereda detta har medlemsstaterna ombetts redogöra för vidtagna åtgärder som sedan skall sammanställas för att delge erfarenheter. </w:t>
      </w:r>
    </w:p>
    <w:p w:rsidR="00420FC5" w:rsidRPr="00C52755" w:rsidRDefault="00420FC5">
      <w:pPr>
        <w:pStyle w:val="RKnormal"/>
      </w:pPr>
    </w:p>
    <w:p w:rsidR="00420FC5" w:rsidRPr="00C52755" w:rsidRDefault="00420FC5">
      <w:pPr>
        <w:pStyle w:val="RKnormal"/>
      </w:pPr>
      <w:r w:rsidRPr="00C52755">
        <w:t>EU:s strategi och handlingsplan mot terrorism antogs vid RIF-rådet 1-2 december 2006 och behandlades i EU-nämnden inför detta.</w:t>
      </w:r>
    </w:p>
    <w:p w:rsidR="00420FC5" w:rsidRPr="00C52755" w:rsidRDefault="00420FC5">
      <w:pPr>
        <w:pStyle w:val="RKnormal"/>
      </w:pPr>
    </w:p>
    <w:p w:rsidR="00420FC5" w:rsidRPr="00C52755" w:rsidRDefault="00420FC5">
      <w:pPr>
        <w:pStyle w:val="RKnormal"/>
        <w:rPr>
          <w:bCs/>
          <w:i/>
          <w:iCs/>
        </w:rPr>
      </w:pPr>
      <w:r w:rsidRPr="00C52755">
        <w:rPr>
          <w:bCs/>
          <w:i/>
          <w:iCs/>
        </w:rPr>
        <w:t>Svensk ståndpunkt</w:t>
      </w:r>
    </w:p>
    <w:p w:rsidR="00420FC5" w:rsidRPr="00C52755" w:rsidRDefault="00420FC5">
      <w:pPr>
        <w:pStyle w:val="RKnormal"/>
      </w:pPr>
      <w:r w:rsidRPr="00C52755">
        <w:t xml:space="preserve">Sverige är generellt positivt till att uppföljning och utvärdering av beslut sker. </w:t>
      </w:r>
    </w:p>
    <w:p w:rsidR="00420FC5" w:rsidRPr="00C52755" w:rsidRDefault="00420FC5">
      <w:pPr>
        <w:rPr>
          <w:rFonts w:ascii="OrigGarmnd BT" w:hAnsi="OrigGarmnd BT"/>
          <w:bCs/>
          <w:i/>
          <w:iCs/>
        </w:rPr>
      </w:pPr>
    </w:p>
    <w:p w:rsidR="00420FC5" w:rsidRPr="00C52755" w:rsidRDefault="00420FC5">
      <w:pPr>
        <w:rPr>
          <w:rFonts w:ascii="OrigGarmnd BT" w:hAnsi="OrigGarmnd BT"/>
          <w:b/>
        </w:rPr>
      </w:pPr>
    </w:p>
    <w:p w:rsidR="00420FC5" w:rsidRPr="00C52755" w:rsidRDefault="00420FC5">
      <w:pPr>
        <w:rPr>
          <w:rFonts w:ascii="OrigGarmnd BT" w:hAnsi="OrigGarmnd BT"/>
          <w:b/>
        </w:rPr>
      </w:pPr>
      <w:r w:rsidRPr="00C52755">
        <w:rPr>
          <w:rFonts w:ascii="OrigGarmnd BT" w:hAnsi="OrigGarmnd BT"/>
          <w:b/>
        </w:rPr>
        <w:t>19. EU-SECI slutsatser  (BA)</w:t>
      </w:r>
    </w:p>
    <w:p w:rsidR="00420FC5" w:rsidRPr="00C52755" w:rsidRDefault="00420FC5">
      <w:pPr>
        <w:rPr>
          <w:rFonts w:ascii="OrigGarmnd BT" w:hAnsi="OrigGarmnd BT"/>
          <w:b/>
        </w:rPr>
      </w:pPr>
    </w:p>
    <w:p w:rsidR="00420FC5" w:rsidRPr="00C52755" w:rsidRDefault="00420FC5">
      <w:pPr>
        <w:rPr>
          <w:rFonts w:ascii="OrigGarmnd BT" w:hAnsi="OrigGarmnd BT"/>
          <w:b/>
        </w:rPr>
      </w:pPr>
      <w:r w:rsidRPr="00C52755">
        <w:rPr>
          <w:rFonts w:ascii="OrigGarmnd BT" w:hAnsi="OrigGarmnd BT"/>
          <w:bCs/>
        </w:rPr>
        <w:t xml:space="preserve">Punkten har blivit en A-punkt. </w:t>
      </w:r>
    </w:p>
    <w:p w:rsidR="00420FC5" w:rsidRPr="00C52755" w:rsidRDefault="00420FC5">
      <w:pPr>
        <w:rPr>
          <w:rFonts w:ascii="OrigGarmnd BT" w:hAnsi="OrigGarmnd BT"/>
          <w:b/>
        </w:rPr>
      </w:pPr>
    </w:p>
    <w:p w:rsidR="00420FC5" w:rsidRPr="00C52755" w:rsidRDefault="00420FC5">
      <w:pPr>
        <w:rPr>
          <w:rFonts w:ascii="OrigGarmnd BT" w:hAnsi="OrigGarmnd BT"/>
          <w:b/>
          <w:bCs/>
        </w:rPr>
      </w:pPr>
      <w:r w:rsidRPr="00C52755">
        <w:rPr>
          <w:rFonts w:ascii="OrigGarmnd BT" w:hAnsi="OrigGarmnd BT"/>
          <w:b/>
          <w:bCs/>
        </w:rPr>
        <w:t xml:space="preserve">20. Genomförande av strategin för yttre förbindelser </w:t>
      </w:r>
    </w:p>
    <w:p w:rsidR="00420FC5" w:rsidRPr="00C52755" w:rsidRDefault="00420FC5">
      <w:pPr>
        <w:rPr>
          <w:rFonts w:ascii="OrigGarmnd BT" w:hAnsi="OrigGarmnd BT"/>
          <w:b/>
          <w:bCs/>
        </w:rPr>
      </w:pPr>
    </w:p>
    <w:p w:rsidR="00420FC5" w:rsidRPr="00C52755" w:rsidRDefault="00420FC5">
      <w:pPr>
        <w:rPr>
          <w:rFonts w:ascii="OrigGarmnd BT" w:hAnsi="OrigGarmnd BT"/>
        </w:rPr>
      </w:pPr>
      <w:r w:rsidRPr="00C52755">
        <w:rPr>
          <w:rFonts w:ascii="OrigGarmnd BT" w:hAnsi="OrigGarmnd BT"/>
        </w:rPr>
        <w:t>Återkommer med information efter behandling av punkten i Coreper den 29 november.</w:t>
      </w:r>
    </w:p>
    <w:p w:rsidR="00420FC5" w:rsidRPr="00C52755" w:rsidRDefault="00420FC5">
      <w:pPr>
        <w:rPr>
          <w:rFonts w:ascii="OrigGarmnd BT" w:hAnsi="OrigGarmnd BT"/>
        </w:rPr>
      </w:pPr>
    </w:p>
    <w:p w:rsidR="00420FC5" w:rsidRPr="00C52755" w:rsidRDefault="00420FC5">
      <w:pPr>
        <w:rPr>
          <w:rFonts w:ascii="OrigGarmnd BT" w:hAnsi="OrigGarmnd BT"/>
          <w:b/>
          <w:bCs/>
        </w:rPr>
      </w:pPr>
    </w:p>
    <w:p w:rsidR="00420FC5" w:rsidRPr="00C52755" w:rsidRDefault="00420FC5">
      <w:pPr>
        <w:rPr>
          <w:rFonts w:ascii="OrigGarmnd BT" w:hAnsi="OrigGarmnd BT"/>
        </w:rPr>
      </w:pPr>
      <w:r w:rsidRPr="00C52755">
        <w:rPr>
          <w:rFonts w:ascii="OrigGarmnd BT" w:hAnsi="OrigGarmnd BT"/>
          <w:b/>
          <w:bCs/>
        </w:rPr>
        <w:t>21. Övriga frågor</w:t>
      </w:r>
    </w:p>
    <w:p w:rsidR="00420FC5" w:rsidRPr="00C52755" w:rsidRDefault="00420FC5">
      <w:pPr>
        <w:pStyle w:val="Rubrik4"/>
        <w:rPr>
          <w:b w:val="0"/>
          <w:bCs/>
          <w:i w:val="0"/>
          <w:iCs/>
          <w:szCs w:val="24"/>
        </w:rPr>
      </w:pPr>
      <w:r w:rsidRPr="00C52755">
        <w:rPr>
          <w:color w:val="000000"/>
          <w:szCs w:val="24"/>
          <w:lang w:eastAsia="fi-FI"/>
        </w:rPr>
        <w:t xml:space="preserve">- </w:t>
      </w:r>
      <w:r w:rsidRPr="00C52755">
        <w:t>Rambeslut om ett europeiskt bevisupptagningsbeslut (EEW</w:t>
      </w:r>
      <w:r w:rsidRPr="00C52755">
        <w:rPr>
          <w:i w:val="0"/>
          <w:iCs/>
        </w:rPr>
        <w:t>) (BA)</w:t>
      </w:r>
    </w:p>
    <w:p w:rsidR="00420FC5" w:rsidRPr="00C52755" w:rsidRDefault="00420FC5">
      <w:pPr>
        <w:pStyle w:val="RKnormal"/>
        <w:rPr>
          <w:i/>
          <w:iCs/>
        </w:rPr>
      </w:pPr>
    </w:p>
    <w:p w:rsidR="00420FC5" w:rsidRPr="00C52755" w:rsidRDefault="00420FC5">
      <w:pPr>
        <w:pStyle w:val="RKnormal"/>
        <w:rPr>
          <w:i/>
          <w:iCs/>
        </w:rPr>
      </w:pPr>
      <w:r w:rsidRPr="00C52755">
        <w:rPr>
          <w:i/>
          <w:iCs/>
        </w:rPr>
        <w:t>Avsikten med behandlingen vid rådsmötet</w:t>
      </w:r>
    </w:p>
    <w:p w:rsidR="00420FC5" w:rsidRPr="00C52755" w:rsidRDefault="00420FC5">
      <w:pPr>
        <w:pStyle w:val="RKnormal"/>
      </w:pPr>
      <w:r w:rsidRPr="00C52755">
        <w:rPr>
          <w:bCs/>
        </w:rPr>
        <w:t xml:space="preserve">Informationspunkt. Inget har hänt sedan den </w:t>
      </w:r>
      <w:r w:rsidRPr="00C52755">
        <w:t>politiska överens</w:t>
      </w:r>
      <w:r w:rsidRPr="00C52755">
        <w:softHyphen/>
        <w:t>kommelsen om rambeslutet vid rådsmötet den 1-2 juni 2006. Det återstår att enas kring viss teknisk fråga i rambeslutet, samt utformningen av beaktandesatserna och intyget. Det finska ordförandeskapet har ännu inte kallat till förhandling kring dessa frågor; det har dock varit en del skriftlig handläggning mellan medlemsstaterna och rådet samt ordförandeskapet.</w:t>
      </w:r>
    </w:p>
    <w:p w:rsidR="00420FC5" w:rsidRPr="00C52755" w:rsidRDefault="00420FC5">
      <w:pPr>
        <w:pStyle w:val="RKnormal"/>
      </w:pPr>
    </w:p>
    <w:p w:rsidR="00420FC5" w:rsidRPr="00C52755" w:rsidRDefault="00420FC5">
      <w:pPr>
        <w:pStyle w:val="RKnormal"/>
        <w:rPr>
          <w:i/>
          <w:iCs/>
        </w:rPr>
      </w:pPr>
      <w:r w:rsidRPr="00C52755">
        <w:rPr>
          <w:i/>
          <w:iCs/>
        </w:rPr>
        <w:t>Bakgrund</w:t>
      </w:r>
    </w:p>
    <w:p w:rsidR="00420FC5" w:rsidRPr="00C52755" w:rsidRDefault="00420FC5">
      <w:pPr>
        <w:pStyle w:val="RKnormal"/>
      </w:pPr>
      <w:r w:rsidRPr="00C52755">
        <w:t>Förhandlingar rörande kommissionens förslag till rambeslut om ett europeiskt bevisupptagningsbeslut har förts intensivt sedan det presenterades i november 2003. Förhandlingarna kröntes med framgång vid ministermötet i juni 2006, då en politisk överenskommelse uppnåddes. Sverige bidrog starkt till detta, då ett kompromissförslag i den återstående frågan (som gällde kravet på dubbel straffbarhet) lämnades av Sverige och kunde accepteras av övriga medlemsstater.  En del tekniska frågor återstår att förhandla.</w:t>
      </w:r>
      <w:r w:rsidRPr="00C52755">
        <w:t xml:space="preserve"> Sverige har ett parlamentariskt förbehåll eftersom riksdagens godkännande av rambeslutet krävs innan det kan antas av Sverige. Ett sådant godkännande kommer att föreläggas riksdagen under det andra halvåret 2007.</w:t>
      </w:r>
    </w:p>
    <w:p w:rsidR="00420FC5" w:rsidRPr="00C52755" w:rsidRDefault="00420FC5">
      <w:pPr>
        <w:pStyle w:val="RKnormal"/>
      </w:pPr>
    </w:p>
    <w:p w:rsidR="00420FC5" w:rsidRPr="00C52755" w:rsidRDefault="00420FC5">
      <w:pPr>
        <w:pStyle w:val="RKnormal"/>
      </w:pPr>
      <w:r w:rsidRPr="00C52755">
        <w:t>Rambeslut om ett europeiskt bevisupptagningsbeslut avseende föremål, handlingar eller uppgifter som skall företes i brottmål bygger på principen om ömsesidigt erkännande och innebär att ett beslut i en medlemsstat om att vissa föremål skall omhändertas för att kunna användas som bevisning i en rättegång skall verkställas i den stat där föremålet finns. Endast ett fåtal vägransgrunder anges och rambeslutet introducerar tidsfrister för hanteringen. Genomförandet av rambeslutet i nationell rätt kommer troligen</w:t>
      </w:r>
      <w:r w:rsidRPr="00C52755">
        <w:t xml:space="preserve"> att sättas till sedvanliga två år från antagandet. </w:t>
      </w:r>
    </w:p>
    <w:p w:rsidR="00420FC5" w:rsidRPr="00C52755" w:rsidRDefault="00420FC5">
      <w:pPr>
        <w:pStyle w:val="RKnormal"/>
      </w:pPr>
    </w:p>
    <w:p w:rsidR="00420FC5" w:rsidRPr="00C52755" w:rsidRDefault="00420FC5">
      <w:pPr>
        <w:pStyle w:val="RKnormal"/>
        <w:rPr>
          <w:i/>
          <w:iCs/>
        </w:rPr>
      </w:pPr>
      <w:r w:rsidRPr="00C52755">
        <w:rPr>
          <w:i/>
          <w:iCs/>
        </w:rPr>
        <w:t>Svensk ståndpunkt</w:t>
      </w:r>
    </w:p>
    <w:p w:rsidR="00420FC5" w:rsidRPr="00C52755" w:rsidRDefault="00420FC5">
      <w:pPr>
        <w:pStyle w:val="RKnormal"/>
      </w:pPr>
      <w:r w:rsidRPr="00C52755">
        <w:t>Sverige är positivt inställt till rambeslutet och att påbörja arbetet med att ersätta traditionell rättslig hjälp med motsvarande för</w:t>
      </w:r>
      <w:r w:rsidRPr="00C52755">
        <w:softHyphen/>
        <w:t>faranden baserade på principen om ömsesidigt erkännande. Rambeslutet har många fördelar, t.ex. tidsfrister, avskaffande av krav på dubbel straffbar</w:t>
      </w:r>
      <w:r w:rsidRPr="00C52755">
        <w:softHyphen/>
        <w:t xml:space="preserve">het och ett minimum av avslagsgrunder. </w:t>
      </w:r>
    </w:p>
    <w:p w:rsidR="00420FC5" w:rsidRPr="00C52755" w:rsidRDefault="00420FC5">
      <w:pPr>
        <w:pStyle w:val="RKnormal"/>
      </w:pPr>
    </w:p>
    <w:p w:rsidR="00420FC5" w:rsidRPr="00C52755" w:rsidRDefault="00420FC5">
      <w:pPr>
        <w:pStyle w:val="RKnormal"/>
      </w:pPr>
      <w:r w:rsidRPr="00C52755">
        <w:t>Sverige vill gärna att återstående delar (viss teknisk fråga samt beaktandesatserna och intyget) förhandlas färdigt snarast möjligt så att den politiska överenskommelsen även kan innefatta dessa frågor. Sverige har alltjämt kvar sin parlamentariska granskningsreservation, vilken inte kommer att kunna lyftas förrän tidigast hösten/vintern 2007.</w:t>
      </w:r>
    </w:p>
    <w:p w:rsidR="00420FC5" w:rsidRPr="00C52755" w:rsidRDefault="00420FC5">
      <w:pPr>
        <w:pStyle w:val="RKnormal"/>
      </w:pPr>
    </w:p>
    <w:p w:rsidR="00420FC5" w:rsidRPr="00C52755" w:rsidRDefault="00420FC5">
      <w:pPr>
        <w:pStyle w:val="Rubrik4"/>
        <w:rPr>
          <w:i w:val="0"/>
          <w:iCs/>
        </w:rPr>
      </w:pPr>
      <w:r w:rsidRPr="00C52755">
        <w:t>- Lägesrapport om kommissionens arbete med europeisk avtals</w:t>
      </w:r>
      <w:r w:rsidRPr="00C52755">
        <w:softHyphen/>
        <w:t xml:space="preserve">rätt </w:t>
      </w:r>
      <w:r w:rsidRPr="00C52755">
        <w:rPr>
          <w:i w:val="0"/>
          <w:iCs/>
        </w:rPr>
        <w:t>(BA)</w:t>
      </w:r>
    </w:p>
    <w:p w:rsidR="00420FC5" w:rsidRPr="00C52755" w:rsidRDefault="00420FC5">
      <w:pPr>
        <w:pStyle w:val="RKnormal"/>
      </w:pPr>
      <w:r w:rsidRPr="00C52755">
        <w:t xml:space="preserve"> </w:t>
      </w:r>
    </w:p>
    <w:p w:rsidR="00420FC5" w:rsidRPr="00C52755" w:rsidRDefault="00420FC5">
      <w:pPr>
        <w:pStyle w:val="RKnormal"/>
        <w:rPr>
          <w:i/>
          <w:iCs/>
        </w:rPr>
      </w:pPr>
      <w:r w:rsidRPr="00C52755">
        <w:rPr>
          <w:i/>
          <w:iCs/>
        </w:rPr>
        <w:t>Avsikten med behandlingen vid rådsmötet</w:t>
      </w:r>
    </w:p>
    <w:p w:rsidR="00420FC5" w:rsidRPr="00C52755" w:rsidRDefault="00420FC5">
      <w:pPr>
        <w:pStyle w:val="RKnormal"/>
      </w:pPr>
      <w:r w:rsidRPr="00C52755">
        <w:t>Informationspunkt. På begäran av Estland väntas kommissionen lämna en redogörelse för ett pågående arbete på avtalsrättens område. Ingen diskussion väntas.</w:t>
      </w:r>
    </w:p>
    <w:p w:rsidR="00420FC5" w:rsidRPr="00C52755" w:rsidRDefault="00420FC5">
      <w:pPr>
        <w:pStyle w:val="RKnormal"/>
      </w:pPr>
    </w:p>
    <w:p w:rsidR="00420FC5" w:rsidRPr="00C52755" w:rsidRDefault="00420FC5">
      <w:pPr>
        <w:pStyle w:val="RKnormal"/>
        <w:rPr>
          <w:i/>
          <w:iCs/>
        </w:rPr>
      </w:pPr>
      <w:r w:rsidRPr="00C52755">
        <w:rPr>
          <w:i/>
          <w:iCs/>
        </w:rPr>
        <w:t>Allmänt om arbetet</w:t>
      </w:r>
    </w:p>
    <w:p w:rsidR="00420FC5" w:rsidRPr="00C52755" w:rsidRDefault="00420FC5">
      <w:pPr>
        <w:pStyle w:val="RKnormal"/>
      </w:pPr>
      <w:r w:rsidRPr="00C52755">
        <w:t>Kommissionen har lagt fram tre meddelanden om europeisk avtalsrätt.</w:t>
      </w:r>
    </w:p>
    <w:p w:rsidR="00420FC5" w:rsidRPr="00C52755" w:rsidRDefault="00420FC5">
      <w:pPr>
        <w:pStyle w:val="RKnormal"/>
      </w:pPr>
      <w:r w:rsidRPr="00C52755">
        <w:t>I meddelandena har ett antal vägar an</w:t>
      </w:r>
      <w:r w:rsidRPr="00C52755">
        <w:softHyphen/>
        <w:t xml:space="preserve">visats för att uppnå avtalsrättslig samordning. </w:t>
      </w:r>
    </w:p>
    <w:p w:rsidR="00420FC5" w:rsidRPr="00C52755" w:rsidRDefault="00420FC5">
      <w:pPr>
        <w:pStyle w:val="RKnormal"/>
      </w:pPr>
    </w:p>
    <w:p w:rsidR="00420FC5" w:rsidRPr="00C52755" w:rsidRDefault="00420FC5">
      <w:pPr>
        <w:pStyle w:val="RKnormal"/>
      </w:pPr>
      <w:r w:rsidRPr="00C52755">
        <w:t>En av dessa vägar utgörs av åtgär</w:t>
      </w:r>
      <w:r w:rsidRPr="00C52755">
        <w:softHyphen/>
        <w:t>der för att förbättra kvaliteten på den del av det nuva</w:t>
      </w:r>
      <w:r w:rsidRPr="00C52755">
        <w:softHyphen/>
        <w:t>rande och framtida gemenskapsrättsliga regelverket som har avtals</w:t>
      </w:r>
      <w:r w:rsidRPr="00C52755">
        <w:softHyphen/>
        <w:t>rättslig inriktning. Den metod som anvisas för detta är skapan</w:t>
      </w:r>
      <w:r w:rsidRPr="00C52755">
        <w:softHyphen/>
        <w:t>det av en gemen</w:t>
      </w:r>
      <w:r w:rsidRPr="00C52755">
        <w:softHyphen/>
        <w:t>sam referensram (</w:t>
      </w:r>
      <w:r w:rsidRPr="00C52755">
        <w:rPr>
          <w:i/>
          <w:iCs/>
        </w:rPr>
        <w:t>Common Frame of Reference, CFR</w:t>
      </w:r>
      <w:r w:rsidRPr="00C52755">
        <w:t xml:space="preserve">). </w:t>
      </w:r>
    </w:p>
    <w:p w:rsidR="00420FC5" w:rsidRPr="00C52755" w:rsidRDefault="00420FC5">
      <w:pPr>
        <w:pStyle w:val="RKnormal"/>
      </w:pPr>
    </w:p>
    <w:p w:rsidR="00420FC5" w:rsidRPr="00C52755" w:rsidRDefault="00420FC5">
      <w:pPr>
        <w:pStyle w:val="RKnormal"/>
      </w:pPr>
      <w:r w:rsidRPr="00C52755">
        <w:t>Referensramen skall vara ett dokument som antas av medlemsstaterna och skall syfta till att fastställa gemensamma principer och gemensamma definitioner av centrala avtals</w:t>
      </w:r>
      <w:r w:rsidRPr="00C52755">
        <w:softHyphen/>
        <w:t>rättsliga begrepp. När medlemsstaterna väl har enat sig om inne</w:t>
      </w:r>
      <w:r w:rsidRPr="00C52755">
        <w:softHyphen/>
        <w:t>hållet är det tänkt att referens</w:t>
      </w:r>
      <w:r w:rsidRPr="00C52755">
        <w:softHyphen/>
        <w:t>ramen skall kunna användas som ett slags uppslagsbok när be</w:t>
      </w:r>
      <w:r w:rsidRPr="00C52755">
        <w:softHyphen/>
        <w:t>fintliga EG-direktiv revideras eller nya tas fram. Enligt den presente</w:t>
      </w:r>
      <w:r w:rsidRPr="00C52755">
        <w:softHyphen/>
        <w:t>rade tidsplanen är målsättningen att ramen skall kunna an</w:t>
      </w:r>
      <w:r w:rsidRPr="00C52755">
        <w:softHyphen/>
        <w:t xml:space="preserve">tas år 2009.  </w:t>
      </w:r>
    </w:p>
    <w:p w:rsidR="00420FC5" w:rsidRPr="00C52755" w:rsidRDefault="00420FC5">
      <w:pPr>
        <w:pStyle w:val="Rubrik4"/>
        <w:rPr>
          <w:b w:val="0"/>
          <w:bCs/>
        </w:rPr>
      </w:pPr>
      <w:r w:rsidRPr="00C52755">
        <w:rPr>
          <w:b w:val="0"/>
          <w:bCs/>
        </w:rPr>
        <w:t>Hur arbetet bedrivs</w:t>
      </w:r>
    </w:p>
    <w:p w:rsidR="00420FC5" w:rsidRPr="00C52755" w:rsidRDefault="00420FC5">
      <w:pPr>
        <w:pStyle w:val="RKnormal"/>
      </w:pPr>
      <w:r w:rsidRPr="00C52755">
        <w:t xml:space="preserve">För arbetet med referensramen finns </w:t>
      </w:r>
      <w:r w:rsidRPr="00C52755">
        <w:rPr>
          <w:u w:val="single"/>
        </w:rPr>
        <w:t>dels</w:t>
      </w:r>
      <w:r w:rsidRPr="00C52755">
        <w:t xml:space="preserve"> ett forskarnätverk, </w:t>
      </w:r>
      <w:r w:rsidRPr="00C52755">
        <w:rPr>
          <w:u w:val="single"/>
        </w:rPr>
        <w:t>dels</w:t>
      </w:r>
      <w:r w:rsidRPr="00C52755">
        <w:t xml:space="preserve"> det s.k. nätver</w:t>
      </w:r>
      <w:r w:rsidRPr="00C52755">
        <w:softHyphen/>
        <w:t>ket för referensra</w:t>
      </w:r>
      <w:r w:rsidRPr="00C52755">
        <w:softHyphen/>
        <w:t xml:space="preserve">men (CFR-net), </w:t>
      </w:r>
      <w:r w:rsidRPr="00C52755">
        <w:rPr>
          <w:u w:val="single"/>
        </w:rPr>
        <w:t>dels</w:t>
      </w:r>
      <w:r w:rsidRPr="00C52755">
        <w:t xml:space="preserve"> ett nätverk sammansatt av exper</w:t>
      </w:r>
      <w:r w:rsidRPr="00C52755">
        <w:softHyphen/>
        <w:t>ter från medlems</w:t>
      </w:r>
      <w:r w:rsidRPr="00C52755">
        <w:softHyphen/>
        <w:t xml:space="preserve">staterna. </w:t>
      </w:r>
    </w:p>
    <w:p w:rsidR="00420FC5" w:rsidRPr="00C52755" w:rsidRDefault="00420FC5">
      <w:pPr>
        <w:pStyle w:val="RKnormal"/>
      </w:pPr>
    </w:p>
    <w:p w:rsidR="00420FC5" w:rsidRPr="00C52755" w:rsidRDefault="00420FC5">
      <w:pPr>
        <w:pStyle w:val="RKnormal"/>
        <w:numPr>
          <w:ilvl w:val="0"/>
          <w:numId w:val="25"/>
        </w:numPr>
      </w:pPr>
      <w:r w:rsidRPr="00C52755">
        <w:t>Forskarnätverket: Utgörs av de universitet och forskningsinstitutio</w:t>
      </w:r>
      <w:r w:rsidRPr="00C52755">
        <w:softHyphen/>
        <w:t xml:space="preserve">ner från vilka kommissionen har upphandlat avtalsrättslig forskning. Viss svensk representation finns genom bl.a. Göteborgs universitet och Handelshögskolan i Stockholm. </w:t>
      </w:r>
    </w:p>
    <w:p w:rsidR="00420FC5" w:rsidRPr="00C52755" w:rsidRDefault="00420FC5">
      <w:pPr>
        <w:pStyle w:val="RKnormal"/>
      </w:pPr>
    </w:p>
    <w:p w:rsidR="00420FC5" w:rsidRPr="00C52755" w:rsidRDefault="00420FC5">
      <w:pPr>
        <w:pStyle w:val="RKnormal"/>
        <w:numPr>
          <w:ilvl w:val="0"/>
          <w:numId w:val="25"/>
        </w:numPr>
      </w:pPr>
      <w:r w:rsidRPr="00C52755">
        <w:t>CFR-net: Utgörs av intressenter av olika slag (”stakeholders”). Semi</w:t>
      </w:r>
      <w:r w:rsidRPr="00C52755">
        <w:softHyphen/>
        <w:t>narier anordnas vid vilka forskarna presenterar sina rön för dessa in</w:t>
      </w:r>
      <w:r w:rsidRPr="00C52755">
        <w:softHyphen/>
        <w:t xml:space="preserve">tressenter. I nätverket ingår från svensk sida bl.a. företrädare för Teknikföretagen och Företagarna samt ett par advokater.  </w:t>
      </w:r>
    </w:p>
    <w:p w:rsidR="00420FC5" w:rsidRPr="00C52755" w:rsidRDefault="00420FC5">
      <w:pPr>
        <w:pStyle w:val="RKnormal"/>
      </w:pPr>
    </w:p>
    <w:p w:rsidR="00420FC5" w:rsidRPr="00C52755" w:rsidRDefault="00420FC5">
      <w:pPr>
        <w:pStyle w:val="RKnormal"/>
        <w:numPr>
          <w:ilvl w:val="0"/>
          <w:numId w:val="25"/>
        </w:numPr>
      </w:pPr>
      <w:r w:rsidRPr="00C52755">
        <w:t>Nätverket av experter från medlemsstaterna: Möten har hittills hållits ungefär en gång per termin och är kommissionens kanal för att infor</w:t>
      </w:r>
      <w:r w:rsidRPr="00C52755">
        <w:softHyphen/>
        <w:t>mera medlemsstaterna. Inga materiella diskussioner förs.</w:t>
      </w:r>
    </w:p>
    <w:p w:rsidR="00420FC5" w:rsidRPr="00C52755" w:rsidRDefault="00420FC5">
      <w:pPr>
        <w:pStyle w:val="RKnormal"/>
      </w:pPr>
    </w:p>
    <w:p w:rsidR="00420FC5" w:rsidRPr="00C52755" w:rsidRDefault="00420FC5">
      <w:pPr>
        <w:pStyle w:val="RKnormal"/>
      </w:pPr>
      <w:r w:rsidRPr="00C52755">
        <w:t>Vid hittills två tillfällen (London, Wien) har också ordnats större konfe</w:t>
      </w:r>
      <w:r w:rsidRPr="00C52755">
        <w:softHyphen/>
        <w:t>renser dit med</w:t>
      </w:r>
      <w:r w:rsidRPr="00C52755">
        <w:softHyphen/>
        <w:t>lemsstaterna, företrädare för Europaparlamentet och olika intressenter bjudits in för gemen</w:t>
      </w:r>
      <w:r w:rsidRPr="00C52755">
        <w:softHyphen/>
        <w:t>samma dis</w:t>
      </w:r>
      <w:r w:rsidRPr="00C52755">
        <w:softHyphen/>
        <w:t>kussioner.</w:t>
      </w:r>
    </w:p>
    <w:p w:rsidR="00420FC5" w:rsidRPr="00C52755" w:rsidRDefault="00420FC5">
      <w:pPr>
        <w:pStyle w:val="RKnormal"/>
      </w:pPr>
    </w:p>
    <w:p w:rsidR="00420FC5" w:rsidRPr="00C52755" w:rsidRDefault="00420FC5">
      <w:pPr>
        <w:pStyle w:val="RKnormal"/>
      </w:pPr>
      <w:r w:rsidRPr="00C52755">
        <w:t xml:space="preserve">Enligt villkoren för upphandlingen skall forskarna presentera sitt arbete för kommissionen före utgången av år 2007. </w:t>
      </w:r>
    </w:p>
    <w:p w:rsidR="00420FC5" w:rsidRPr="00C52755" w:rsidRDefault="00420FC5">
      <w:pPr>
        <w:pStyle w:val="RKnormal"/>
        <w:rPr>
          <w:i/>
          <w:iCs/>
        </w:rPr>
      </w:pPr>
    </w:p>
    <w:p w:rsidR="00420FC5" w:rsidRPr="00C52755" w:rsidRDefault="00420FC5">
      <w:pPr>
        <w:pStyle w:val="RKnormal"/>
        <w:rPr>
          <w:i/>
          <w:iCs/>
        </w:rPr>
      </w:pPr>
      <w:r w:rsidRPr="00C52755">
        <w:rPr>
          <w:i/>
          <w:iCs/>
        </w:rPr>
        <w:t>Svensk ståndpunkt på nuvarande stadium</w:t>
      </w:r>
    </w:p>
    <w:p w:rsidR="00420FC5" w:rsidRPr="00C52755" w:rsidRDefault="00420FC5">
      <w:pPr>
        <w:pStyle w:val="RKnormal"/>
      </w:pPr>
      <w:r w:rsidRPr="00C52755">
        <w:t>I en rådsresolution som antogs år 2004 har Sverige och övriga medlems</w:t>
      </w:r>
      <w:r w:rsidRPr="00C52755">
        <w:softHyphen/>
        <w:t>stater i all</w:t>
      </w:r>
      <w:r w:rsidRPr="00C52755">
        <w:softHyphen/>
        <w:t>männa ordalag välkomnat tanken på en gemensam referensram. Själva arbetet befinner sig dock i en preliminär fas och något ställningsta</w:t>
      </w:r>
      <w:r w:rsidRPr="00C52755">
        <w:softHyphen/>
        <w:t xml:space="preserve">gande i sak kan därför inte göras på detta stadium.  </w:t>
      </w:r>
    </w:p>
    <w:p w:rsidR="00420FC5" w:rsidRPr="00C52755" w:rsidRDefault="00420FC5">
      <w:pPr>
        <w:rPr>
          <w:rFonts w:ascii="OrigGarmnd BT" w:hAnsi="OrigGarmnd BT"/>
        </w:rPr>
      </w:pPr>
    </w:p>
    <w:p w:rsidR="00420FC5" w:rsidRPr="00C52755" w:rsidRDefault="00420FC5">
      <w:pPr>
        <w:rPr>
          <w:rFonts w:ascii="OrigGarmnd BT" w:hAnsi="OrigGarmnd BT"/>
          <w:b/>
          <w:bCs/>
          <w:i/>
          <w:iCs/>
        </w:rPr>
      </w:pPr>
    </w:p>
    <w:p w:rsidR="00420FC5" w:rsidRPr="00C52755" w:rsidRDefault="00420FC5">
      <w:pPr>
        <w:rPr>
          <w:rFonts w:ascii="OrigGarmnd BT" w:hAnsi="OrigGarmnd BT"/>
          <w:b/>
          <w:bCs/>
          <w:sz w:val="22"/>
        </w:rPr>
      </w:pPr>
      <w:r w:rsidRPr="00C52755">
        <w:rPr>
          <w:rFonts w:ascii="OrigGarmnd BT" w:hAnsi="OrigGarmnd BT"/>
          <w:b/>
          <w:bCs/>
          <w:i/>
          <w:iCs/>
        </w:rPr>
        <w:t xml:space="preserve">- Brev från kommissionär Frattini om barns rättigheter; dataspel </w:t>
      </w:r>
      <w:r w:rsidRPr="00C52755">
        <w:rPr>
          <w:rFonts w:ascii="OrigGarmnd BT" w:hAnsi="OrigGarmnd BT"/>
          <w:b/>
          <w:bCs/>
        </w:rPr>
        <w:t>(BA)</w:t>
      </w:r>
    </w:p>
    <w:p w:rsidR="00420FC5" w:rsidRPr="00C52755" w:rsidRDefault="00420FC5">
      <w:pPr>
        <w:rPr>
          <w:rFonts w:ascii="OrigGarmnd BT" w:hAnsi="OrigGarmnd BT"/>
        </w:rPr>
      </w:pPr>
    </w:p>
    <w:p w:rsidR="00420FC5" w:rsidRPr="00C52755" w:rsidRDefault="00420FC5">
      <w:pPr>
        <w:pStyle w:val="RKnormal"/>
      </w:pPr>
      <w:r w:rsidRPr="00C52755">
        <w:t xml:space="preserve">EU-kommissionären Franco Frattini har i ett brev ställt till samtliga justitieministrar i EU framfört önskemål om att vid RIF-rådet ha en informell, inledande diskussion om olika åtgärder för att skydda barn från grovt våld i interaktiva datorspel. Han önskar åtgärder både inom medlemsstaterna och på EU-nivå.  Han föreslår ett offentlig-privat partnerskap för att skapa en uppförandekod för produktion av interaktiva spel och att det i början av 2007 anordnas en speciell konferens om barn och den interaktiva </w:t>
      </w:r>
      <w:r w:rsidRPr="00C52755">
        <w:t xml:space="preserve">världen.  </w:t>
      </w:r>
    </w:p>
    <w:p w:rsidR="00420FC5" w:rsidRPr="00C52755" w:rsidRDefault="00420FC5">
      <w:pPr>
        <w:pStyle w:val="RKnormal"/>
      </w:pPr>
    </w:p>
    <w:p w:rsidR="00420FC5" w:rsidRPr="00C52755" w:rsidRDefault="00420FC5">
      <w:pPr>
        <w:pStyle w:val="RKnormal"/>
        <w:rPr>
          <w:bCs/>
          <w:i/>
          <w:iCs/>
        </w:rPr>
      </w:pPr>
      <w:r w:rsidRPr="00C52755">
        <w:rPr>
          <w:bCs/>
          <w:i/>
          <w:iCs/>
        </w:rPr>
        <w:t>Nuvarande åtgärder för skydd av barn</w:t>
      </w:r>
    </w:p>
    <w:p w:rsidR="00420FC5" w:rsidRPr="00C52755" w:rsidRDefault="00420FC5">
      <w:pPr>
        <w:pStyle w:val="RKnormal"/>
      </w:pPr>
      <w:r w:rsidRPr="00C52755">
        <w:t xml:space="preserve">Skydd av barn från skadligt medieinnehåll är ett av målen för den svenska mediepolitiken.  </w:t>
      </w:r>
    </w:p>
    <w:p w:rsidR="00420FC5" w:rsidRPr="00C52755" w:rsidRDefault="00420FC5">
      <w:pPr>
        <w:pStyle w:val="RKnormal"/>
      </w:pPr>
    </w:p>
    <w:p w:rsidR="00420FC5" w:rsidRPr="00C52755" w:rsidRDefault="00420FC5">
      <w:pPr>
        <w:pStyle w:val="RKnormal"/>
        <w:rPr>
          <w:i/>
        </w:rPr>
      </w:pPr>
      <w:r w:rsidRPr="00C52755">
        <w:rPr>
          <w:i/>
        </w:rPr>
        <w:t xml:space="preserve">Inom EU och det svenska Medierådet  </w:t>
      </w:r>
    </w:p>
    <w:p w:rsidR="00420FC5" w:rsidRPr="00C52755" w:rsidRDefault="00420FC5">
      <w:pPr>
        <w:pStyle w:val="RKnormal"/>
      </w:pPr>
      <w:r w:rsidRPr="00C52755">
        <w:rPr>
          <w:rFonts w:cs="Helv"/>
          <w:color w:val="000000"/>
          <w:szCs w:val="24"/>
          <w:lang w:eastAsia="sv-SE"/>
        </w:rPr>
        <w:t xml:space="preserve">EU-kommissionens direktorat Media and Information Society ger sedan flera år stöd till åtgärder för skydd av minderåriga  genom projektet Safer Internet Plus Program (2005-2008).  Projektet syftar till en säkrare användning av Internet och omfattar även datorspel, bl. a. eftersom de till stor del spelas on-line.  I varje EU-land finns i dag en s.k. awareness node vilken i Sverige utgörs av Medierådet. Medieådet är </w:t>
      </w:r>
      <w:r w:rsidRPr="00C52755">
        <w:t xml:space="preserve">en statlig kommitté under Utbildnings- och kulturdepartementet och arbetar med skydd av barn mot skadligt medieinnehåll med inriktning på Internet och dator- och TV-spel.  </w:t>
      </w:r>
    </w:p>
    <w:p w:rsidR="00420FC5" w:rsidRPr="00C52755" w:rsidRDefault="00420FC5">
      <w:pPr>
        <w:pStyle w:val="RKnormal"/>
      </w:pPr>
    </w:p>
    <w:p w:rsidR="00420FC5" w:rsidRPr="00C52755" w:rsidRDefault="00420FC5">
      <w:pPr>
        <w:pStyle w:val="RKnormal"/>
        <w:rPr>
          <w:i/>
        </w:rPr>
      </w:pPr>
      <w:r w:rsidRPr="00C52755">
        <w:rPr>
          <w:i/>
        </w:rPr>
        <w:t xml:space="preserve">Branschens åtgärder </w:t>
      </w:r>
    </w:p>
    <w:p w:rsidR="00420FC5" w:rsidRPr="00C52755" w:rsidRDefault="00420FC5">
      <w:pPr>
        <w:pStyle w:val="RKnormal"/>
      </w:pPr>
      <w:r w:rsidRPr="00C52755">
        <w:t xml:space="preserve">Det inom EU gemensamma åldersmärkningssystemet PEGI (Pan-European Game Information), lanserades i april 2003  av ISFE (Interactive Software Federation of Europe) som är en europeisk branschorganisation för interaktiva spel. Den svenska branschen har anslutit sig till systemet genom branschorganisationen MDTS (Multimedia, dator- och TV-spel).  </w:t>
      </w:r>
    </w:p>
    <w:p w:rsidR="00420FC5" w:rsidRPr="00C52755" w:rsidRDefault="00420FC5">
      <w:pPr>
        <w:pStyle w:val="RKnormal"/>
      </w:pPr>
    </w:p>
    <w:p w:rsidR="00420FC5" w:rsidRPr="00C52755" w:rsidRDefault="00420FC5">
      <w:pPr>
        <w:pStyle w:val="RKnormal"/>
      </w:pPr>
      <w:r w:rsidRPr="00C52755">
        <w:t xml:space="preserve">Över 90 procent av de svenska återförsäljarna i Sverige har skrivit under ett ”letter of conduct” där de förbinder sig att informera konsumenterna om åldersmärkningen samt att följa PEGI-märkningen och inte sälja spel till barn som är yngre än de rekommenderade åldersgränsen. Av de 16 länder där PEGI-systemet är i bruk är Sverige hittills det enda land som genomdrivit en sådan policy.  </w:t>
      </w:r>
    </w:p>
    <w:p w:rsidR="00420FC5" w:rsidRPr="00C52755" w:rsidRDefault="00420FC5">
      <w:pPr>
        <w:pStyle w:val="RKnormal"/>
      </w:pPr>
    </w:p>
    <w:p w:rsidR="00420FC5" w:rsidRPr="00C52755" w:rsidRDefault="00420FC5">
      <w:pPr>
        <w:pStyle w:val="RKnormal"/>
        <w:rPr>
          <w:i/>
        </w:rPr>
      </w:pPr>
      <w:r w:rsidRPr="00C52755">
        <w:rPr>
          <w:i/>
        </w:rPr>
        <w:t xml:space="preserve">Nationell lagstiftning </w:t>
      </w:r>
    </w:p>
    <w:p w:rsidR="00420FC5" w:rsidRPr="00C52755" w:rsidRDefault="00420FC5">
      <w:pPr>
        <w:pStyle w:val="RKnormal"/>
      </w:pPr>
      <w:r w:rsidRPr="00C52755">
        <w:t>I svensk lagstiftning finns bestämmelser som gör det möjligt att ingripa rättsligt mot innehållet i ett dator- eller TV-spel. Straffbestämmelser finns i brottsbalkens regler om olaga våldsskildring. Det är även brottsligt att skildra barn i pornografisk bild (barnpornografibrott) och att lämna ut filmer, datorspel m. m. med ingående och verklighetstrogna våldsinslag till ungdomar under 15 år (otillåten utlämning av teknisk upptagning).  Innehållet i ett dataspel kan således i efterhand prövas mot den svens</w:t>
      </w:r>
      <w:r w:rsidRPr="00C52755">
        <w:t xml:space="preserve">ka lagstiftningen.  </w:t>
      </w:r>
    </w:p>
    <w:p w:rsidR="00420FC5" w:rsidRPr="00C52755" w:rsidRDefault="00420FC5">
      <w:pPr>
        <w:pStyle w:val="RKnormal"/>
        <w:rPr>
          <w:i/>
        </w:rPr>
      </w:pPr>
    </w:p>
    <w:p w:rsidR="00420FC5" w:rsidRPr="00C52755" w:rsidRDefault="00420FC5">
      <w:pPr>
        <w:pStyle w:val="RKnormal"/>
        <w:rPr>
          <w:i/>
        </w:rPr>
      </w:pPr>
      <w:r w:rsidRPr="00C52755">
        <w:rPr>
          <w:i/>
        </w:rPr>
        <w:t xml:space="preserve">Hur påverkar datorspel barn och unga? </w:t>
      </w:r>
    </w:p>
    <w:p w:rsidR="00420FC5" w:rsidRPr="00C52755" w:rsidRDefault="00420FC5">
      <w:pPr>
        <w:pStyle w:val="RKnormal"/>
      </w:pPr>
      <w:r w:rsidRPr="00C52755">
        <w:t xml:space="preserve">Frattini uttrycker i sitt brev oro över att interaktiva datorspel inger barn föreställningen att våld är ett naturligt beteende. Detta motsägs av en nyligen genomförd svensk undersökning av barn och ungas medievanor,  ”Ungar och Medier 2006.” Enligt undersökningens resultat förmår barn och unga att skilja på fiktivt våld och reellt våld. De uppfattar nyhetsvåld som betydligt mer skrämmande än fiktivt våld i rörliga bildmedier.  Mest skrämmande uppfattar barn det är att se andra barn lida.  </w:t>
      </w:r>
    </w:p>
    <w:p w:rsidR="00420FC5" w:rsidRPr="00C52755" w:rsidRDefault="00420FC5">
      <w:pPr>
        <w:pStyle w:val="RKnormal"/>
      </w:pPr>
    </w:p>
    <w:p w:rsidR="00420FC5" w:rsidRPr="00C52755" w:rsidRDefault="00420FC5">
      <w:pPr>
        <w:pStyle w:val="RKnormal"/>
        <w:rPr>
          <w:bCs/>
          <w:i/>
          <w:iCs/>
        </w:rPr>
      </w:pPr>
      <w:r w:rsidRPr="00C52755">
        <w:rPr>
          <w:bCs/>
          <w:i/>
          <w:iCs/>
        </w:rPr>
        <w:t>Tidigare behandling i EU-nämnden respektive rådet</w:t>
      </w:r>
    </w:p>
    <w:p w:rsidR="00420FC5" w:rsidRPr="00C52755" w:rsidRDefault="00420FC5">
      <w:pPr>
        <w:pStyle w:val="RKnormal"/>
      </w:pPr>
      <w:r w:rsidRPr="00C52755">
        <w:t xml:space="preserve">EU-nämnden behandlade i maj frågan om skydd av minderåriga inför rådsmötet (utbildning, ungdom och kultur) den 18 maj. </w:t>
      </w:r>
    </w:p>
    <w:p w:rsidR="00420FC5" w:rsidRPr="00C52755" w:rsidRDefault="00420FC5">
      <w:pPr>
        <w:pStyle w:val="RKnormal"/>
      </w:pPr>
    </w:p>
    <w:p w:rsidR="00420FC5" w:rsidRPr="00C52755" w:rsidRDefault="00420FC5">
      <w:pPr>
        <w:pStyle w:val="RKnormal"/>
        <w:rPr>
          <w:i/>
          <w:iCs/>
        </w:rPr>
      </w:pPr>
      <w:r w:rsidRPr="00C52755">
        <w:rPr>
          <w:i/>
          <w:iCs/>
        </w:rPr>
        <w:t>Svensk ståndpunkt</w:t>
      </w:r>
    </w:p>
    <w:p w:rsidR="00420FC5" w:rsidRPr="00C52755" w:rsidRDefault="00420FC5">
      <w:pPr>
        <w:pStyle w:val="RKnormal"/>
      </w:pPr>
      <w:r w:rsidRPr="00C52755">
        <w:t>Skydd av barn från skadligt medieinnehåll är ett prioriterat område</w:t>
      </w:r>
    </w:p>
    <w:p w:rsidR="00420FC5" w:rsidRPr="00C52755" w:rsidRDefault="00420FC5">
      <w:pPr>
        <w:pStyle w:val="RKnormal"/>
      </w:pPr>
      <w:r w:rsidRPr="00C52755">
        <w:t>för regeringen. De åtgärder som genomförs för att öka kunskap om den interaktiva spelvärlden, branschens självreglerande arbetet och samarbetet mellan stat och bransch fungerar väl i Sverige. Att stärka branschens självreglerande arbetet och öka mediekunskapen hos föräldrar, andra vuxna och barn och unga är rätt väg att skydda barn mot skadligt medieinnehåll.</w:t>
      </w:r>
    </w:p>
    <w:p w:rsidR="00420FC5" w:rsidRPr="00C52755" w:rsidRDefault="00420FC5">
      <w:pPr>
        <w:rPr>
          <w:rFonts w:ascii="OrigGarmnd BT" w:hAnsi="OrigGarmnd BT"/>
          <w:b/>
          <w:bCs/>
        </w:rPr>
      </w:pPr>
    </w:p>
    <w:p w:rsidR="00420FC5" w:rsidRPr="00C52755" w:rsidRDefault="00420FC5">
      <w:pPr>
        <w:rPr>
          <w:rFonts w:ascii="OrigGarmnd BT" w:hAnsi="OrigGarmnd BT"/>
          <w:b/>
          <w:bCs/>
        </w:rPr>
      </w:pPr>
    </w:p>
    <w:p w:rsidR="00420FC5" w:rsidRPr="00C52755" w:rsidRDefault="00420FC5">
      <w:pPr>
        <w:rPr>
          <w:rFonts w:ascii="OrigGarmnd BT" w:hAnsi="OrigGarmnd BT"/>
          <w:b/>
        </w:rPr>
      </w:pPr>
      <w:r w:rsidRPr="00C52755">
        <w:rPr>
          <w:rFonts w:ascii="OrigGarmnd BT" w:hAnsi="OrigGarmnd BT"/>
          <w:b/>
        </w:rPr>
        <w:t>GEMENSAMMA KOMMITTÉN PÅ MINISTERNIVÅ</w:t>
      </w:r>
    </w:p>
    <w:p w:rsidR="00420FC5" w:rsidRPr="00C52755" w:rsidRDefault="00420FC5">
      <w:pPr>
        <w:rPr>
          <w:rFonts w:ascii="OrigGarmnd BT" w:hAnsi="OrigGarmnd BT"/>
          <w:b/>
        </w:rPr>
      </w:pPr>
    </w:p>
    <w:p w:rsidR="00420FC5" w:rsidRPr="00C52755" w:rsidRDefault="00420FC5">
      <w:pPr>
        <w:rPr>
          <w:rFonts w:ascii="OrigGarmnd BT" w:hAnsi="OrigGarmnd BT"/>
          <w:b/>
        </w:rPr>
      </w:pPr>
      <w:r w:rsidRPr="00C52755">
        <w:rPr>
          <w:rFonts w:ascii="OrigGarmnd BT" w:hAnsi="OrigGarmnd BT"/>
          <w:b/>
        </w:rPr>
        <w:t>1. Godkännande av den preliminära dagordningen</w:t>
      </w:r>
    </w:p>
    <w:p w:rsidR="00420FC5" w:rsidRPr="00C52755" w:rsidRDefault="00420FC5">
      <w:pPr>
        <w:rPr>
          <w:rFonts w:ascii="OrigGarmnd BT" w:hAnsi="OrigGarmnd BT"/>
          <w:b/>
        </w:rPr>
      </w:pPr>
    </w:p>
    <w:p w:rsidR="00420FC5" w:rsidRPr="00C52755" w:rsidRDefault="00420FC5">
      <w:pPr>
        <w:rPr>
          <w:rFonts w:ascii="OrigGarmnd BT" w:hAnsi="OrigGarmnd BT"/>
        </w:rPr>
      </w:pPr>
      <w:r w:rsidRPr="00C52755">
        <w:rPr>
          <w:rFonts w:ascii="OrigGarmnd BT" w:hAnsi="OrigGarmnd BT"/>
        </w:rPr>
        <w:t>Se bifogad preliminär dagordning.</w:t>
      </w:r>
    </w:p>
    <w:p w:rsidR="00420FC5" w:rsidRPr="00C52755" w:rsidRDefault="00420FC5">
      <w:pPr>
        <w:rPr>
          <w:rFonts w:ascii="OrigGarmnd BT" w:hAnsi="OrigGarmnd BT"/>
        </w:rPr>
      </w:pPr>
    </w:p>
    <w:p w:rsidR="00420FC5" w:rsidRPr="00C52755" w:rsidRDefault="00420FC5">
      <w:pPr>
        <w:rPr>
          <w:rFonts w:ascii="OrigGarmnd BT" w:hAnsi="OrigGarmnd BT"/>
        </w:rPr>
      </w:pPr>
    </w:p>
    <w:p w:rsidR="00420FC5" w:rsidRPr="00C52755" w:rsidRDefault="00420FC5">
      <w:pPr>
        <w:ind w:left="567" w:hanging="567"/>
      </w:pPr>
      <w:r w:rsidRPr="00C52755">
        <w:rPr>
          <w:rFonts w:ascii="OrigGarmnd BT" w:hAnsi="OrigGarmnd BT"/>
          <w:b/>
          <w:bCs/>
        </w:rPr>
        <w:t>2.</w:t>
      </w:r>
      <w:r w:rsidRPr="00C52755">
        <w:rPr>
          <w:rFonts w:ascii="OrigGarmnd BT" w:hAnsi="OrigGarmnd BT"/>
        </w:rPr>
        <w:t xml:space="preserve"> </w:t>
      </w:r>
      <w:r w:rsidRPr="00C52755">
        <w:rPr>
          <w:rFonts w:ascii="OrigGarmnd BT" w:hAnsi="OrigGarmnd BT"/>
          <w:b/>
          <w:bCs/>
        </w:rPr>
        <w:t>Rambeslut om skydd av personuppgifter (BA)</w:t>
      </w:r>
    </w:p>
    <w:p w:rsidR="00420FC5" w:rsidRPr="00C52755" w:rsidRDefault="00420FC5">
      <w:pPr>
        <w:ind w:left="567" w:hanging="567"/>
        <w:rPr>
          <w:rFonts w:ascii="OrigGarmnd BT" w:hAnsi="OrigGarmnd BT"/>
        </w:rPr>
      </w:pPr>
    </w:p>
    <w:p w:rsidR="00420FC5" w:rsidRPr="00C52755" w:rsidRDefault="00420FC5">
      <w:pPr>
        <w:pStyle w:val="Brdtext"/>
        <w:rPr>
          <w:rFonts w:ascii="OrigGarmnd BT" w:hAnsi="OrigGarmnd BT"/>
          <w:i/>
          <w:iCs/>
        </w:rPr>
      </w:pPr>
      <w:r w:rsidRPr="00C52755">
        <w:rPr>
          <w:rFonts w:ascii="OrigGarmnd BT" w:hAnsi="OrigGarmnd BT"/>
          <w:i/>
          <w:iCs/>
        </w:rPr>
        <w:t>Avsikten med behandlingen i rådet</w:t>
      </w:r>
    </w:p>
    <w:p w:rsidR="00420FC5" w:rsidRPr="00C52755" w:rsidRDefault="00420FC5">
      <w:pPr>
        <w:pStyle w:val="RKnormal"/>
      </w:pPr>
      <w:r w:rsidRPr="00C52755">
        <w:t>Diskussionspunkt</w:t>
      </w:r>
    </w:p>
    <w:p w:rsidR="00420FC5" w:rsidRPr="00C52755" w:rsidRDefault="00420FC5">
      <w:pPr>
        <w:pStyle w:val="Brdtext"/>
        <w:rPr>
          <w:szCs w:val="24"/>
        </w:rPr>
      </w:pPr>
    </w:p>
    <w:p w:rsidR="00420FC5" w:rsidRPr="00C52755" w:rsidRDefault="00420FC5">
      <w:pPr>
        <w:pStyle w:val="Brdtext"/>
        <w:rPr>
          <w:rFonts w:ascii="OrigGarmnd BT" w:hAnsi="OrigGarmnd BT"/>
          <w:szCs w:val="24"/>
        </w:rPr>
      </w:pPr>
      <w:r w:rsidRPr="00C52755">
        <w:rPr>
          <w:rFonts w:ascii="OrigGarmnd BT" w:hAnsi="OrigGarmnd BT"/>
          <w:i/>
          <w:iCs/>
          <w:szCs w:val="24"/>
        </w:rPr>
        <w:t>Bakgrund</w:t>
      </w:r>
    </w:p>
    <w:p w:rsidR="00420FC5" w:rsidRPr="00C52755" w:rsidRDefault="00420FC5">
      <w:pPr>
        <w:pStyle w:val="RKnormal"/>
      </w:pPr>
      <w:r w:rsidRPr="00C52755">
        <w:t xml:space="preserve">För närvarande finns inget sammanhållet instrument för dataskyddsbestämmelser som gäller EU:s brottsbekämpande och straffrättsliga samarbete (tredje pelaren). Inom första pelaren styrs skyddet av personuppgifter av dataskyddsdirektivet, men detta är inte tillämpligt inom tredje pelaren. </w:t>
      </w:r>
    </w:p>
    <w:p w:rsidR="00420FC5" w:rsidRPr="00C52755" w:rsidRDefault="00420FC5">
      <w:pPr>
        <w:pStyle w:val="RKnormal"/>
      </w:pPr>
    </w:p>
    <w:p w:rsidR="00420FC5" w:rsidRPr="00C52755" w:rsidRDefault="00420FC5">
      <w:pPr>
        <w:pStyle w:val="RKnormal"/>
      </w:pPr>
      <w:r w:rsidRPr="00C52755">
        <w:t>Kommissionen presenterade ett förslag till rambeslut i oktober 2005 och förhandlingarna inleddes på allvar under våren 2006. Syftet med kommissionens förslag är att säkerställa skyddet av personuppgifter som behandlas inom ramen för det brottsbekämpande och straffrättsliga samarbetet i EU. Flera medlemsstater, däribland Sverige, har under förhandlingarnas gång ifrågasatt den höga detaljeringsgraden i förslaget och efterfrågat ett enklare och mer övergripande instrument. Europaparlamentet å sin sida anser at</w:t>
      </w:r>
      <w:r w:rsidRPr="00C52755">
        <w:t xml:space="preserve">t rambeslutet bör vara än mer detaljerat i vissa hänseenden. </w:t>
      </w:r>
    </w:p>
    <w:p w:rsidR="00420FC5" w:rsidRPr="00C52755" w:rsidRDefault="00420FC5">
      <w:pPr>
        <w:pStyle w:val="RKnormal"/>
      </w:pPr>
    </w:p>
    <w:p w:rsidR="00420FC5" w:rsidRPr="00C52755" w:rsidRDefault="00420FC5">
      <w:pPr>
        <w:pStyle w:val="RKnormal"/>
      </w:pPr>
      <w:r w:rsidRPr="00C52755">
        <w:t>Under förhandlingarna har några medlemsstater motsatt sig att rambeslutet även skall täcka den strikt nationella behandlingen av personuppgifter. Vissa medlemsstater menar att en sådan reglering saknar rättslig grund. Sverige, tillsammans med ett antal andra medlemsstater, anser att rambeslutet i första hand bör ta sikte på informationsutbyte mellan medlemsstaterna men att en allmänt hållen och övergripande reglering kan tillåtas även avseende strikt nationell behandling av personuppgifter.</w:t>
      </w:r>
    </w:p>
    <w:p w:rsidR="00420FC5" w:rsidRPr="00C52755" w:rsidRDefault="00420FC5">
      <w:pPr>
        <w:pStyle w:val="RKnormal"/>
        <w:rPr>
          <w:szCs w:val="24"/>
        </w:rPr>
      </w:pPr>
    </w:p>
    <w:p w:rsidR="00420FC5" w:rsidRPr="00C52755" w:rsidRDefault="00420FC5">
      <w:pPr>
        <w:pStyle w:val="RKnormal"/>
        <w:rPr>
          <w:i/>
          <w:iCs/>
          <w:szCs w:val="24"/>
        </w:rPr>
      </w:pPr>
      <w:r w:rsidRPr="00C52755">
        <w:rPr>
          <w:i/>
          <w:iCs/>
          <w:szCs w:val="24"/>
        </w:rPr>
        <w:t>Svensk ståndpunkt</w:t>
      </w:r>
    </w:p>
    <w:p w:rsidR="00420FC5" w:rsidRPr="00C52755" w:rsidRDefault="00420FC5">
      <w:pPr>
        <w:pStyle w:val="RKnormal"/>
      </w:pPr>
      <w:r w:rsidRPr="00C52755">
        <w:t>Sverige välkomnar förslaget och anser att det utgör ett nödvändigt komplement till de förslag om informationsutbyte som har tagits fram den senaste tiden. Det är viktigt att EU strävar efter en balans mellan brottsbekämpande åtgärder och skydd för individens integritet. Det är önskvärt att nuvarande och kommande instrument inom tredje pelaren får ett gemensamt dataskydd. Detta skydd bör ges en allmän utformning och huvudsakligen vara inriktat på grundläggande principer för behandling av personuppgifter. En</w:t>
      </w:r>
      <w:r w:rsidRPr="00C52755">
        <w:t xml:space="preserve"> reglering som är alltför detaljerad riskerar att få negativa konsekvenser för svenska myndigheters verksamhet utan att något mervärde uppnås. </w:t>
      </w:r>
    </w:p>
    <w:p w:rsidR="00420FC5" w:rsidRPr="00C52755" w:rsidRDefault="00420FC5"/>
    <w:p w:rsidR="00420FC5" w:rsidRPr="00C52755" w:rsidRDefault="00420FC5">
      <w:r w:rsidRPr="00C52755">
        <w:rPr>
          <w:rFonts w:ascii="OrigGarmnd BT" w:hAnsi="OrigGarmnd BT"/>
          <w:szCs w:val="24"/>
        </w:rPr>
        <w:t xml:space="preserve">Se vidare i </w:t>
      </w:r>
      <w:r w:rsidRPr="00C52755">
        <w:rPr>
          <w:rFonts w:ascii="OrigGarmnd BT" w:hAnsi="OrigGarmnd BT"/>
          <w:szCs w:val="24"/>
          <w:u w:val="single"/>
        </w:rPr>
        <w:t>bifogad promemoria.</w:t>
      </w:r>
    </w:p>
    <w:p w:rsidR="00420FC5" w:rsidRPr="00C52755" w:rsidRDefault="00420FC5">
      <w:pPr>
        <w:rPr>
          <w:rFonts w:ascii="OrigGarmnd BT" w:hAnsi="OrigGarmnd BT"/>
        </w:rPr>
      </w:pPr>
    </w:p>
    <w:p w:rsidR="00420FC5" w:rsidRPr="00C52755" w:rsidRDefault="00420FC5">
      <w:pPr>
        <w:rPr>
          <w:rFonts w:ascii="OrigGarmnd BT" w:hAnsi="OrigGarmnd BT"/>
          <w:b/>
          <w:bCs/>
        </w:rPr>
      </w:pPr>
    </w:p>
    <w:p w:rsidR="00420FC5" w:rsidRPr="00C52755" w:rsidRDefault="00420FC5">
      <w:pPr>
        <w:pStyle w:val="RKnormal"/>
        <w:rPr>
          <w:b/>
          <w:bCs/>
        </w:rPr>
      </w:pPr>
      <w:r w:rsidRPr="00C52755">
        <w:rPr>
          <w:b/>
          <w:bCs/>
        </w:rPr>
        <w:t>3. Fullständigt genomförande av Schengenregelverket</w:t>
      </w:r>
    </w:p>
    <w:p w:rsidR="00420FC5" w:rsidRPr="00C52755" w:rsidRDefault="00420FC5">
      <w:pPr>
        <w:pStyle w:val="RKnormal"/>
        <w:rPr>
          <w:b/>
          <w:bCs/>
        </w:rPr>
      </w:pPr>
      <w:r w:rsidRPr="00C52755">
        <w:rPr>
          <w:b/>
          <w:bCs/>
        </w:rPr>
        <w:t>a) Utkast till rådets slutsatser om beredskapen hos de tio nya medlemsstaterna att genomföra samtliga bestämmelser i Schengenregelverket utom SIS</w:t>
      </w:r>
      <w:r w:rsidRPr="00C52755">
        <w:rPr>
          <w:b/>
          <w:bCs/>
        </w:rPr>
        <w:noBreakHyphen/>
        <w:t>relaterade frågor</w:t>
      </w:r>
    </w:p>
    <w:p w:rsidR="00420FC5" w:rsidRPr="00C52755" w:rsidRDefault="00420FC5">
      <w:pPr>
        <w:pStyle w:val="RKnormal"/>
        <w:rPr>
          <w:b/>
          <w:bCs/>
        </w:rPr>
      </w:pPr>
      <w:r w:rsidRPr="00C52755">
        <w:rPr>
          <w:b/>
          <w:bCs/>
        </w:rPr>
        <w:t>b) SIS II</w:t>
      </w:r>
    </w:p>
    <w:p w:rsidR="00420FC5" w:rsidRPr="00C52755" w:rsidRDefault="00420FC5">
      <w:pPr>
        <w:pStyle w:val="RKnormal"/>
        <w:rPr>
          <w:b/>
          <w:bCs/>
        </w:rPr>
      </w:pPr>
      <w:r w:rsidRPr="00C52755">
        <w:rPr>
          <w:b/>
          <w:bCs/>
        </w:rPr>
        <w:t>c) SISone4all</w:t>
      </w:r>
    </w:p>
    <w:p w:rsidR="00420FC5" w:rsidRPr="00C52755" w:rsidRDefault="00420FC5">
      <w:pPr>
        <w:pStyle w:val="RKnormal"/>
      </w:pPr>
      <w:r w:rsidRPr="00C52755">
        <w:rPr>
          <w:b/>
          <w:bCs/>
        </w:rPr>
        <w:t xml:space="preserve">d) Tidsplan för Schengenutvärdering av de nya </w:t>
      </w:r>
      <w:r w:rsidRPr="00C52755">
        <w:rPr>
          <w:b/>
          <w:bCs/>
        </w:rPr>
        <w:tab/>
        <w:t>medlemsstaterna 2007</w:t>
      </w:r>
    </w:p>
    <w:p w:rsidR="00420FC5" w:rsidRPr="00C52755" w:rsidRDefault="00420FC5">
      <w:pPr>
        <w:rPr>
          <w:rFonts w:ascii="OrigGarmnd BT" w:hAnsi="OrigGarmnd BT"/>
          <w:b/>
          <w:bCs/>
        </w:rPr>
      </w:pPr>
      <w:r w:rsidRPr="00C52755">
        <w:rPr>
          <w:rFonts w:ascii="OrigGarmnd BT" w:hAnsi="OrigGarmnd BT"/>
          <w:b/>
          <w:bCs/>
        </w:rPr>
        <w:t>(BA)</w:t>
      </w:r>
    </w:p>
    <w:p w:rsidR="00420FC5" w:rsidRPr="00C52755" w:rsidRDefault="00420FC5">
      <w:pPr>
        <w:pStyle w:val="RKnormal"/>
      </w:pPr>
    </w:p>
    <w:p w:rsidR="00420FC5" w:rsidRPr="00C52755" w:rsidRDefault="00420FC5">
      <w:pPr>
        <w:pStyle w:val="RKnormal"/>
      </w:pPr>
      <w:r w:rsidRPr="00C52755">
        <w:t>Se under punkt 13 ovan.</w:t>
      </w:r>
    </w:p>
    <w:p w:rsidR="00420FC5" w:rsidRPr="00C52755" w:rsidRDefault="00420FC5">
      <w:pPr>
        <w:pStyle w:val="RKnormal"/>
      </w:pPr>
    </w:p>
    <w:p w:rsidR="00420FC5" w:rsidRPr="00C52755" w:rsidRDefault="00420FC5">
      <w:pPr>
        <w:pStyle w:val="RKnormal"/>
        <w:rPr>
          <w:b/>
          <w:bCs/>
        </w:rPr>
      </w:pPr>
    </w:p>
    <w:p w:rsidR="00420FC5" w:rsidRPr="00C52755" w:rsidRDefault="00420FC5">
      <w:pPr>
        <w:pStyle w:val="RKnormal"/>
        <w:rPr>
          <w:b/>
        </w:rPr>
      </w:pPr>
      <w:r w:rsidRPr="00C52755">
        <w:rPr>
          <w:b/>
          <w:bCs/>
        </w:rPr>
        <w:t xml:space="preserve">4. </w:t>
      </w:r>
      <w:r w:rsidRPr="00C52755">
        <w:rPr>
          <w:b/>
        </w:rPr>
        <w:t xml:space="preserve">Rådets förordning om ändring av rådets förordning (EG) nr 539/2001 om fastställande av förteckningen över tredje länder vars medborgare är skyldiga att inneha visering när de passerar de yttre gränserna och av förteckningen över de tredje länder vars medborgare är undantagna från detta krav (TB) </w:t>
      </w:r>
    </w:p>
    <w:p w:rsidR="00420FC5" w:rsidRPr="00C52755" w:rsidRDefault="00420FC5">
      <w:pPr>
        <w:rPr>
          <w:rFonts w:ascii="OrigGarmnd BT" w:hAnsi="OrigGarmnd BT"/>
          <w:b/>
          <w:bCs/>
        </w:rPr>
      </w:pPr>
    </w:p>
    <w:p w:rsidR="00420FC5" w:rsidRPr="00C52755" w:rsidRDefault="00420FC5">
      <w:pPr>
        <w:rPr>
          <w:rFonts w:ascii="OrigGarmnd BT" w:hAnsi="OrigGarmnd BT"/>
        </w:rPr>
      </w:pPr>
      <w:r w:rsidRPr="00C52755">
        <w:rPr>
          <w:rFonts w:ascii="OrigGarmnd BT" w:hAnsi="OrigGarmnd BT"/>
        </w:rPr>
        <w:t xml:space="preserve">Se under punkt 14 ovan. </w:t>
      </w:r>
    </w:p>
    <w:p w:rsidR="00420FC5" w:rsidRPr="00C52755" w:rsidRDefault="00420FC5">
      <w:pPr>
        <w:rPr>
          <w:rFonts w:ascii="OrigGarmnd BT" w:hAnsi="OrigGarmnd BT"/>
        </w:rPr>
      </w:pPr>
    </w:p>
    <w:p w:rsidR="00420FC5" w:rsidRPr="00C52755" w:rsidRDefault="00420FC5">
      <w:pPr>
        <w:rPr>
          <w:rFonts w:ascii="OrigGarmnd BT" w:hAnsi="OrigGarmnd BT"/>
        </w:rPr>
      </w:pPr>
    </w:p>
    <w:p w:rsidR="00420FC5" w:rsidRPr="00C52755" w:rsidRDefault="00420FC5">
      <w:pPr>
        <w:ind w:left="567" w:hanging="567"/>
        <w:rPr>
          <w:rFonts w:ascii="OrigGarmnd BT" w:hAnsi="OrigGarmnd BT"/>
          <w:b/>
          <w:bCs/>
        </w:rPr>
      </w:pPr>
      <w:r w:rsidRPr="00C52755">
        <w:rPr>
          <w:rFonts w:ascii="OrigGarmnd BT" w:hAnsi="OrigGarmnd BT"/>
          <w:b/>
          <w:bCs/>
        </w:rPr>
        <w:t>5. Övriga frågor</w:t>
      </w:r>
    </w:p>
    <w:p w:rsidR="00420FC5" w:rsidRPr="00C52755" w:rsidRDefault="00420FC5">
      <w:pPr>
        <w:rPr>
          <w:rFonts w:ascii="OrigGarmnd BT" w:hAnsi="OrigGarmnd BT"/>
          <w:b/>
          <w:bCs/>
        </w:rPr>
      </w:pPr>
      <w:r w:rsidRPr="00C52755">
        <w:rPr>
          <w:rFonts w:ascii="OrigGarmnd BT" w:hAnsi="OrigGarmnd BT"/>
          <w:b/>
          <w:bCs/>
        </w:rPr>
        <w:t>-</w:t>
      </w:r>
    </w:p>
    <w:p w:rsidR="00420FC5" w:rsidRPr="00C52755" w:rsidRDefault="00420FC5">
      <w:pPr>
        <w:ind w:left="567" w:hanging="567"/>
        <w:rPr>
          <w:rFonts w:ascii="OrigGarmnd BT" w:hAnsi="OrigGarmnd BT"/>
          <w:b/>
          <w:bCs/>
        </w:rPr>
      </w:pPr>
    </w:p>
    <w:p w:rsidR="00420FC5" w:rsidRPr="00C52755" w:rsidRDefault="00420FC5">
      <w:pPr>
        <w:rPr>
          <w:rFonts w:ascii="OrigGarmnd BT" w:hAnsi="OrigGarmnd BT"/>
          <w:b/>
        </w:rPr>
      </w:pPr>
    </w:p>
    <w:p w:rsidR="00420FC5" w:rsidRPr="00C52755" w:rsidRDefault="00420FC5">
      <w:pPr>
        <w:rPr>
          <w:rFonts w:ascii="OrigGarmnd BT" w:hAnsi="OrigGarmnd BT"/>
          <w:b/>
        </w:rPr>
      </w:pPr>
      <w:r w:rsidRPr="00C52755">
        <w:rPr>
          <w:rFonts w:ascii="OrigGarmnd BT" w:hAnsi="OrigGarmnd BT"/>
          <w:b/>
        </w:rPr>
        <w:t>(R): Rättsakt</w:t>
      </w:r>
      <w:r w:rsidRPr="00C52755">
        <w:rPr>
          <w:rFonts w:ascii="OrigGarmnd BT" w:hAnsi="OrigGarmnd BT"/>
          <w:b/>
        </w:rPr>
        <w:tab/>
      </w:r>
    </w:p>
    <w:p w:rsidR="00420FC5" w:rsidRPr="00C52755" w:rsidRDefault="00420FC5">
      <w:pPr>
        <w:rPr>
          <w:rFonts w:ascii="OrigGarmnd BT" w:hAnsi="OrigGarmnd BT"/>
          <w:b/>
        </w:rPr>
      </w:pPr>
    </w:p>
    <w:p w:rsidR="00420FC5" w:rsidRPr="00C52755" w:rsidRDefault="00420FC5">
      <w:pPr>
        <w:ind w:left="2880" w:firstLine="720"/>
        <w:rPr>
          <w:rFonts w:ascii="OrigGarmnd BT" w:hAnsi="OrigGarmnd BT"/>
          <w:b/>
        </w:rPr>
      </w:pPr>
      <w:r w:rsidRPr="00C52755">
        <w:rPr>
          <w:rFonts w:ascii="OrigGarmnd BT" w:hAnsi="OrigGarmnd BT"/>
          <w:b/>
        </w:rPr>
        <w:t>* * *</w:t>
      </w:r>
    </w:p>
    <w:sectPr w:rsidR="00420FC5" w:rsidRPr="00C52755">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FC5" w:rsidRPr="00C52755" w:rsidRDefault="00420FC5">
      <w:r w:rsidRPr="00C52755">
        <w:separator/>
      </w:r>
    </w:p>
  </w:endnote>
  <w:endnote w:type="continuationSeparator" w:id="0">
    <w:p w:rsidR="00420FC5" w:rsidRPr="00C52755" w:rsidRDefault="00420FC5">
      <w:r w:rsidRPr="00C527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FC5" w:rsidRPr="00C52755" w:rsidRDefault="00420FC5">
      <w:r w:rsidRPr="00C52755">
        <w:separator/>
      </w:r>
    </w:p>
  </w:footnote>
  <w:footnote w:type="continuationSeparator" w:id="0">
    <w:p w:rsidR="00420FC5" w:rsidRPr="00C52755" w:rsidRDefault="00420FC5">
      <w:r w:rsidRPr="00C52755">
        <w:continuationSeparator/>
      </w:r>
    </w:p>
  </w:footnote>
  <w:footnote w:id="1">
    <w:p w:rsidR="00420FC5" w:rsidRPr="00C52755" w:rsidRDefault="00420FC5">
      <w:pPr>
        <w:pStyle w:val="RKnormal"/>
      </w:pPr>
      <w:r w:rsidRPr="00C52755">
        <w:rPr>
          <w:rStyle w:val="Fotnotsreferens"/>
        </w:rPr>
        <w:footnoteRef/>
      </w:r>
      <w:r w:rsidRPr="00C52755">
        <w:t xml:space="preserve"> 8436/05 PROCIV 51 FIN 143 + ADD 1</w:t>
      </w:r>
    </w:p>
    <w:p w:rsidR="00420FC5" w:rsidRPr="00C52755" w:rsidRDefault="00420FC5">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FC5" w:rsidRPr="00C52755" w:rsidRDefault="00420FC5">
    <w:pPr>
      <w:pStyle w:val="Sidhuvud"/>
      <w:framePr w:wrap="around" w:vAnchor="text" w:hAnchor="margin" w:xAlign="right" w:y="1"/>
      <w:rPr>
        <w:rStyle w:val="Sidnummer"/>
      </w:rPr>
    </w:pPr>
    <w:r w:rsidRPr="00C52755">
      <w:rPr>
        <w:rStyle w:val="Sidnummer"/>
      </w:rPr>
      <w:fldChar w:fldCharType="begin" w:fldLock="1"/>
    </w:r>
    <w:r w:rsidRPr="00C52755">
      <w:rPr>
        <w:rStyle w:val="Sidnummer"/>
      </w:rPr>
      <w:instrText xml:space="preserve">PAGE  </w:instrText>
    </w:r>
    <w:r w:rsidRPr="00C52755">
      <w:rPr>
        <w:rStyle w:val="Sidnummer"/>
      </w:rPr>
      <w:fldChar w:fldCharType="separate"/>
    </w:r>
    <w:r w:rsidRPr="00C52755">
      <w:rPr>
        <w:rStyle w:val="Sidnummer"/>
      </w:rPr>
      <w:t>4</w:t>
    </w:r>
    <w:r w:rsidRPr="00C52755">
      <w:rPr>
        <w:rStyle w:val="Sidnummer"/>
      </w:rPr>
      <w:fldChar w:fldCharType="end"/>
    </w:r>
  </w:p>
  <w:p w:rsidR="00420FC5" w:rsidRPr="00C52755" w:rsidRDefault="00420FC5">
    <w:pPr>
      <w:pStyle w:val="Sidhuvud"/>
      <w:ind w:right="360"/>
    </w:pPr>
  </w:p>
  <w:p w:rsidR="00420FC5" w:rsidRPr="00C52755" w:rsidRDefault="00420FC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FC5" w:rsidRPr="00C52755" w:rsidRDefault="00420FC5">
    <w:pPr>
      <w:pStyle w:val="Sidhuvud"/>
      <w:framePr w:wrap="around" w:vAnchor="text" w:hAnchor="margin" w:xAlign="right" w:y="1"/>
      <w:rPr>
        <w:rStyle w:val="Sidnummer"/>
      </w:rPr>
    </w:pPr>
    <w:r w:rsidRPr="00C52755">
      <w:rPr>
        <w:rStyle w:val="Sidnummer"/>
      </w:rPr>
      <w:fldChar w:fldCharType="begin" w:fldLock="1"/>
    </w:r>
    <w:r w:rsidRPr="00C52755">
      <w:rPr>
        <w:rStyle w:val="Sidnummer"/>
      </w:rPr>
      <w:instrText xml:space="preserve">PAGE  </w:instrText>
    </w:r>
    <w:r w:rsidRPr="00C52755">
      <w:rPr>
        <w:rStyle w:val="Sidnummer"/>
      </w:rPr>
      <w:fldChar w:fldCharType="separate"/>
    </w:r>
    <w:r w:rsidRPr="00C52755">
      <w:rPr>
        <w:rStyle w:val="Sidnummer"/>
      </w:rPr>
      <w:t>19</w:t>
    </w:r>
    <w:r w:rsidRPr="00C52755">
      <w:rPr>
        <w:rStyle w:val="Sidnummer"/>
      </w:rPr>
      <w:fldChar w:fldCharType="end"/>
    </w:r>
  </w:p>
  <w:p w:rsidR="00420FC5" w:rsidRPr="00C52755" w:rsidRDefault="00420FC5">
    <w:pPr>
      <w:pStyle w:val="Sidhuvud"/>
      <w:ind w:right="360"/>
    </w:pPr>
  </w:p>
  <w:p w:rsidR="00420FC5" w:rsidRPr="00C52755" w:rsidRDefault="00420FC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FC5" w:rsidRPr="00C52755" w:rsidRDefault="00C52755">
    <w:pPr>
      <w:framePr w:w="2948" w:h="1321" w:hRule="exact" w:wrap="notBeside" w:vAnchor="page" w:hAnchor="page" w:x="1362" w:y="653"/>
    </w:pPr>
    <w:r w:rsidRPr="00C5275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20FC5" w:rsidRPr="00C52755" w:rsidRDefault="00420F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9"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6"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18" w15:restartNumberingAfterBreak="0">
    <w:nsid w:val="4A7F2B7D"/>
    <w:multiLevelType w:val="hybridMultilevel"/>
    <w:tmpl w:val="53147882"/>
    <w:lvl w:ilvl="0" w:tplc="0AF22DD2">
      <w:start w:val="1"/>
      <w:numFmt w:val="lowerLetter"/>
      <w:lvlText w:val="%1)"/>
      <w:lvlJc w:val="left"/>
      <w:pPr>
        <w:tabs>
          <w:tab w:val="num" w:pos="720"/>
        </w:tabs>
        <w:ind w:left="720" w:hanging="360"/>
      </w:pPr>
      <w:rPr>
        <w:rFonts w:ascii="OrigGarmnd BT" w:hAnsi="OrigGarmnd BT" w:cs="Times New Roman" w:hint="default"/>
        <w:i/>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24"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62292288">
    <w:abstractNumId w:val="19"/>
  </w:num>
  <w:num w:numId="2" w16cid:durableId="1633709952">
    <w:abstractNumId w:val="17"/>
  </w:num>
  <w:num w:numId="3" w16cid:durableId="1426613423">
    <w:abstractNumId w:val="8"/>
  </w:num>
  <w:num w:numId="4" w16cid:durableId="1424764388">
    <w:abstractNumId w:val="3"/>
  </w:num>
  <w:num w:numId="5" w16cid:durableId="1317102087">
    <w:abstractNumId w:val="23"/>
  </w:num>
  <w:num w:numId="6" w16cid:durableId="1993680578">
    <w:abstractNumId w:val="15"/>
  </w:num>
  <w:num w:numId="7" w16cid:durableId="673723142">
    <w:abstractNumId w:val="5"/>
  </w:num>
  <w:num w:numId="8" w16cid:durableId="834146323">
    <w:abstractNumId w:val="22"/>
  </w:num>
  <w:num w:numId="9" w16cid:durableId="1374110530">
    <w:abstractNumId w:val="4"/>
  </w:num>
  <w:num w:numId="10" w16cid:durableId="2096971733">
    <w:abstractNumId w:val="20"/>
  </w:num>
  <w:num w:numId="11" w16cid:durableId="539512576">
    <w:abstractNumId w:val="11"/>
  </w:num>
  <w:num w:numId="12" w16cid:durableId="1923875701">
    <w:abstractNumId w:val="7"/>
  </w:num>
  <w:num w:numId="13" w16cid:durableId="1072967951">
    <w:abstractNumId w:val="13"/>
  </w:num>
  <w:num w:numId="14" w16cid:durableId="1139609386">
    <w:abstractNumId w:val="1"/>
  </w:num>
  <w:num w:numId="15" w16cid:durableId="1607349097">
    <w:abstractNumId w:val="9"/>
  </w:num>
  <w:num w:numId="16" w16cid:durableId="288441917">
    <w:abstractNumId w:val="6"/>
  </w:num>
  <w:num w:numId="17" w16cid:durableId="1573807911">
    <w:abstractNumId w:val="0"/>
  </w:num>
  <w:num w:numId="18" w16cid:durableId="462575620">
    <w:abstractNumId w:val="21"/>
  </w:num>
  <w:num w:numId="19" w16cid:durableId="1582449053">
    <w:abstractNumId w:val="12"/>
  </w:num>
  <w:num w:numId="20" w16cid:durableId="1721394537">
    <w:abstractNumId w:val="24"/>
  </w:num>
  <w:num w:numId="21" w16cid:durableId="701172629">
    <w:abstractNumId w:val="2"/>
  </w:num>
  <w:num w:numId="22" w16cid:durableId="278337050">
    <w:abstractNumId w:val="14"/>
  </w:num>
  <w:num w:numId="23" w16cid:durableId="368191893">
    <w:abstractNumId w:val="16"/>
  </w:num>
  <w:num w:numId="24" w16cid:durableId="2114082826">
    <w:abstractNumId w:val="25"/>
  </w:num>
  <w:num w:numId="25" w16cid:durableId="959266026">
    <w:abstractNumId w:val="10"/>
  </w:num>
  <w:num w:numId="26" w16cid:durableId="2286107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DA"/>
    <w:rsid w:val="00420FC5"/>
    <w:rsid w:val="00C52755"/>
    <w:rsid w:val="00D478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775DAE-07B6-407E-A514-8B7A08E1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semiHidden/>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Brdtext1">
    <w:name w:val="Brödtext1"/>
    <w:basedOn w:val="Normal"/>
    <w:semiHidden/>
    <w:pPr>
      <w:spacing w:line="320" w:lineRule="exact"/>
    </w:pPr>
    <w:rPr>
      <w:rFonts w:ascii="Garamond" w:hAnsi="Garamond"/>
    </w:rPr>
  </w:style>
  <w:style w:type="paragraph" w:styleId="Brdtext">
    <w:name w:val="Body Text"/>
    <w:basedOn w:val="Normal"/>
    <w:semiHidden/>
    <w:pPr>
      <w:spacing w:line="320" w:lineRule="exact"/>
    </w:pPr>
  </w:style>
  <w:style w:type="paragraph" w:styleId="Sidfot">
    <w:name w:val="footer"/>
    <w:basedOn w:val="Normal"/>
    <w:semiHidden/>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semiHidden/>
    <w:pPr>
      <w:numPr>
        <w:numId w:val="23"/>
      </w:numPr>
      <w:overflowPunct w:val="0"/>
      <w:autoSpaceDE w:val="0"/>
      <w:autoSpaceDN w:val="0"/>
      <w:adjustRightInd w:val="0"/>
      <w:textAlignment w:val="baseline"/>
    </w:pPr>
    <w:rPr>
      <w:sz w:val="32"/>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6899</Words>
  <Characters>42918</Characters>
  <Application>Microsoft Office Word</Application>
  <DocSecurity>4</DocSecurity>
  <Lines>1072</Lines>
  <Paragraphs>345</Paragraphs>
  <ScaleCrop>false</ScaleCrop>
  <HeadingPairs>
    <vt:vector size="2" baseType="variant">
      <vt:variant>
        <vt:lpstr>Titel</vt:lpstr>
      </vt:variant>
      <vt:variant>
        <vt:i4>1</vt:i4>
      </vt:variant>
    </vt:vector>
  </HeadingPairs>
  <TitlesOfParts>
    <vt:vector size="1" baseType="lpstr">
      <vt:lpstr>Kommenterad</vt:lpstr>
    </vt:vector>
  </TitlesOfParts>
  <Company>UD</Company>
  <LinksUpToDate>false</LinksUpToDate>
  <CharactersWithSpaces>49472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2006-11-27T12:08:00Z</cp:lastPrinted>
  <dcterms:created xsi:type="dcterms:W3CDTF">2025-12-17T03:57:00Z</dcterms:created>
  <dcterms:modified xsi:type="dcterms:W3CDTF">2025-12-17T03:57:00Z</dcterms:modified>
</cp:coreProperties>
</file>