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775063">
        <w:trPr>
          <w:cantSplit/>
          <w:trHeight w:val="346"/>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A171C5">
              <w:rPr>
                <w:b/>
              </w:rPr>
              <w:t>20</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A171C5">
              <w:t>12-15</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621FF0">
              <w:t>11.30-</w:t>
            </w:r>
            <w:r w:rsidR="00E24297">
              <w:t xml:space="preserve"> 13.05</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5865B5" w:rsidRDefault="005865B5"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727"/>
      </w:tblGrid>
      <w:tr w:rsidR="00717F37" w:rsidTr="00EA0E0E">
        <w:tc>
          <w:tcPr>
            <w:tcW w:w="567" w:type="dxa"/>
          </w:tcPr>
          <w:p w:rsidR="00717F37" w:rsidRDefault="00717F37" w:rsidP="00717F37">
            <w:pPr>
              <w:tabs>
                <w:tab w:val="left" w:pos="1701"/>
              </w:tabs>
              <w:rPr>
                <w:b/>
                <w:snapToGrid w:val="0"/>
              </w:rPr>
            </w:pPr>
            <w:r>
              <w:rPr>
                <w:b/>
                <w:snapToGrid w:val="0"/>
              </w:rPr>
              <w:t>§ 1</w:t>
            </w:r>
          </w:p>
        </w:tc>
        <w:tc>
          <w:tcPr>
            <w:tcW w:w="7727" w:type="dxa"/>
          </w:tcPr>
          <w:p w:rsidR="00717F37" w:rsidRDefault="00717F37" w:rsidP="00717F37">
            <w:pPr>
              <w:outlineLvl w:val="0"/>
              <w:rPr>
                <w:b/>
              </w:rPr>
            </w:pPr>
            <w:r w:rsidRPr="00717F37">
              <w:rPr>
                <w:b/>
              </w:rPr>
              <w:t>Fråga om medgivande till deltagande på distans</w:t>
            </w:r>
          </w:p>
          <w:p w:rsidR="00EA0E0E" w:rsidRDefault="00EA0E0E" w:rsidP="00717F37">
            <w:pPr>
              <w:outlineLvl w:val="0"/>
            </w:pPr>
            <w:r w:rsidRPr="00EA0E0E">
              <w:t>Utskottet medgav deltagande på distans</w:t>
            </w:r>
            <w:r>
              <w:t xml:space="preserve"> för följande ordinarie </w:t>
            </w:r>
            <w:r w:rsidR="00775063">
              <w:t xml:space="preserve">ledamöter och suppleanter: </w:t>
            </w:r>
          </w:p>
          <w:p w:rsidR="00457EA5" w:rsidRDefault="00457EA5" w:rsidP="00457EA5">
            <w:pPr>
              <w:outlineLvl w:val="0"/>
            </w:pPr>
            <w:r>
              <w:t xml:space="preserve">Adnan Dibrani (S), </w:t>
            </w:r>
            <w:r w:rsidRPr="00501817">
              <w:t xml:space="preserve">Ingela Nylund Watz (S), Ingemar Nilsson (S), Eva Lindh (S), Jan Ericson (M), Mattias Karlsson i Luleå (M), Sofia Westergren (M), </w:t>
            </w:r>
            <w:r>
              <w:t>Oscar Sjöstedt (SD), Dennis Dioukarev (SD),</w:t>
            </w:r>
            <w:r w:rsidRPr="00501817">
              <w:t xml:space="preserve"> </w:t>
            </w:r>
            <w:r>
              <w:t xml:space="preserve">Charlotte Quensel (SD), </w:t>
            </w:r>
            <w:r w:rsidRPr="00501817">
              <w:t xml:space="preserve">Alexander Christiansson (SD), </w:t>
            </w:r>
            <w:r>
              <w:t xml:space="preserve">Lars Thomsson (C), Ulla Andersson (V), och </w:t>
            </w:r>
            <w:r w:rsidRPr="00501817">
              <w:t>Karolina Skog (MP)</w:t>
            </w:r>
            <w:r>
              <w:t>.</w:t>
            </w:r>
            <w:r w:rsidRPr="00501817">
              <w:t xml:space="preserve"> </w:t>
            </w:r>
          </w:p>
          <w:p w:rsidR="00717F37" w:rsidRDefault="00717F37" w:rsidP="00717F37">
            <w:pPr>
              <w:outlineLvl w:val="0"/>
              <w:rPr>
                <w:b/>
              </w:rPr>
            </w:pPr>
          </w:p>
        </w:tc>
      </w:tr>
      <w:tr w:rsidR="00621FF0" w:rsidTr="00EA0E0E">
        <w:tc>
          <w:tcPr>
            <w:tcW w:w="567" w:type="dxa"/>
          </w:tcPr>
          <w:p w:rsidR="00621FF0" w:rsidRDefault="005865B5" w:rsidP="00717F37">
            <w:pPr>
              <w:tabs>
                <w:tab w:val="left" w:pos="1701"/>
              </w:tabs>
              <w:rPr>
                <w:b/>
                <w:snapToGrid w:val="0"/>
              </w:rPr>
            </w:pPr>
            <w:r>
              <w:rPr>
                <w:b/>
                <w:snapToGrid w:val="0"/>
              </w:rPr>
              <w:t>§ 2</w:t>
            </w:r>
          </w:p>
        </w:tc>
        <w:tc>
          <w:tcPr>
            <w:tcW w:w="7727" w:type="dxa"/>
          </w:tcPr>
          <w:p w:rsidR="005865B5" w:rsidRDefault="00621FF0" w:rsidP="00717F37">
            <w:pPr>
              <w:outlineLvl w:val="0"/>
              <w:rPr>
                <w:rFonts w:eastAsiaTheme="minorHAnsi"/>
                <w:color w:val="000000"/>
                <w:szCs w:val="24"/>
                <w:lang w:eastAsia="en-US"/>
              </w:rPr>
            </w:pPr>
            <w:r>
              <w:rPr>
                <w:rFonts w:eastAsiaTheme="minorHAnsi"/>
                <w:b/>
                <w:bCs/>
                <w:color w:val="000000"/>
                <w:szCs w:val="24"/>
                <w:lang w:eastAsia="en-US"/>
              </w:rPr>
              <w:t>Kommissionens förslag till delegerad akt om taxonomin</w:t>
            </w:r>
            <w:r>
              <w:rPr>
                <w:rFonts w:eastAsiaTheme="minorHAnsi"/>
                <w:b/>
                <w:bCs/>
                <w:color w:val="000000"/>
                <w:szCs w:val="24"/>
                <w:lang w:eastAsia="en-US"/>
              </w:rPr>
              <w:br/>
            </w:r>
            <w:r>
              <w:rPr>
                <w:rFonts w:eastAsiaTheme="minorHAnsi"/>
                <w:color w:val="000000"/>
                <w:szCs w:val="24"/>
                <w:lang w:eastAsia="en-US"/>
              </w:rPr>
              <w:t xml:space="preserve">Utskottet överlade med </w:t>
            </w:r>
            <w:r w:rsidR="00EA0E0E">
              <w:rPr>
                <w:rFonts w:eastAsiaTheme="minorHAnsi"/>
                <w:color w:val="000000"/>
                <w:szCs w:val="24"/>
                <w:lang w:eastAsia="en-US"/>
              </w:rPr>
              <w:t>f</w:t>
            </w:r>
            <w:r>
              <w:rPr>
                <w:rFonts w:eastAsiaTheme="minorHAnsi"/>
                <w:color w:val="000000"/>
                <w:szCs w:val="24"/>
                <w:lang w:eastAsia="en-US"/>
              </w:rPr>
              <w:t>inansmarknadsminister Per Bolund</w:t>
            </w:r>
            <w:r w:rsidR="005865B5">
              <w:rPr>
                <w:rFonts w:eastAsiaTheme="minorHAnsi"/>
                <w:color w:val="000000"/>
                <w:szCs w:val="24"/>
                <w:lang w:eastAsia="en-US"/>
              </w:rPr>
              <w:t xml:space="preserve">. </w:t>
            </w:r>
          </w:p>
          <w:p w:rsidR="00621FF0" w:rsidRDefault="005865B5" w:rsidP="00717F37">
            <w:pPr>
              <w:outlineLvl w:val="0"/>
              <w:rPr>
                <w:b/>
              </w:rPr>
            </w:pPr>
            <w:r>
              <w:rPr>
                <w:rFonts w:eastAsiaTheme="minorHAnsi"/>
                <w:color w:val="000000"/>
                <w:szCs w:val="24"/>
                <w:lang w:eastAsia="en-US"/>
              </w:rPr>
              <w:t>Medföljande tjänstemän var</w:t>
            </w:r>
            <w:r w:rsidR="00621FF0">
              <w:rPr>
                <w:rFonts w:eastAsiaTheme="minorHAnsi"/>
                <w:color w:val="000000"/>
                <w:szCs w:val="24"/>
                <w:lang w:eastAsia="en-US"/>
              </w:rPr>
              <w:t xml:space="preserve"> statssekreterar</w:t>
            </w:r>
            <w:r w:rsidR="00EA0E0E">
              <w:rPr>
                <w:rFonts w:eastAsiaTheme="minorHAnsi"/>
                <w:color w:val="000000"/>
                <w:szCs w:val="24"/>
                <w:lang w:eastAsia="en-US"/>
              </w:rPr>
              <w:t>e</w:t>
            </w:r>
            <w:r w:rsidR="00621FF0">
              <w:rPr>
                <w:rFonts w:eastAsiaTheme="minorHAnsi"/>
                <w:color w:val="000000"/>
                <w:szCs w:val="24"/>
                <w:lang w:eastAsia="en-US"/>
              </w:rPr>
              <w:t xml:space="preserve"> Ulf Holm och </w:t>
            </w:r>
            <w:r>
              <w:rPr>
                <w:rFonts w:eastAsiaTheme="minorHAnsi"/>
                <w:color w:val="000000"/>
                <w:szCs w:val="24"/>
                <w:lang w:eastAsia="en-US"/>
              </w:rPr>
              <w:t xml:space="preserve">departementsråd </w:t>
            </w:r>
            <w:r w:rsidR="00EA0E0E">
              <w:rPr>
                <w:rFonts w:eastAsiaTheme="minorHAnsi"/>
                <w:color w:val="000000"/>
                <w:szCs w:val="24"/>
                <w:lang w:eastAsia="en-US"/>
              </w:rPr>
              <w:t>Thomas Nielsen</w:t>
            </w:r>
            <w:r>
              <w:rPr>
                <w:rFonts w:eastAsiaTheme="minorHAnsi"/>
                <w:color w:val="000000"/>
                <w:szCs w:val="24"/>
                <w:lang w:eastAsia="en-US"/>
              </w:rPr>
              <w:t xml:space="preserve">. </w:t>
            </w:r>
          </w:p>
          <w:p w:rsidR="00EA0E0E" w:rsidRDefault="00EA0E0E" w:rsidP="00EA0E0E">
            <w:pPr>
              <w:outlineLvl w:val="0"/>
              <w:rPr>
                <w:bCs/>
                <w:szCs w:val="24"/>
              </w:rPr>
            </w:pPr>
          </w:p>
          <w:p w:rsidR="00EA0E0E" w:rsidRPr="00D43BBD" w:rsidRDefault="00EA0E0E" w:rsidP="00EA0E0E">
            <w:pPr>
              <w:outlineLvl w:val="0"/>
              <w:rPr>
                <w:bCs/>
                <w:szCs w:val="24"/>
              </w:rPr>
            </w:pPr>
            <w:r w:rsidRPr="00D43BBD">
              <w:rPr>
                <w:bCs/>
                <w:szCs w:val="24"/>
              </w:rPr>
              <w:t xml:space="preserve">Underlag för överläggningen </w:t>
            </w:r>
            <w:r>
              <w:rPr>
                <w:bCs/>
                <w:szCs w:val="24"/>
              </w:rPr>
              <w:t>utgjordes av ett överläggnings-</w:t>
            </w:r>
            <w:r w:rsidRPr="00D43BBD">
              <w:rPr>
                <w:bCs/>
                <w:szCs w:val="24"/>
              </w:rPr>
              <w:t>PM och en presentation (</w:t>
            </w:r>
            <w:proofErr w:type="gramStart"/>
            <w:r w:rsidR="005865B5">
              <w:t>864-2020</w:t>
            </w:r>
            <w:proofErr w:type="gramEnd"/>
            <w:r w:rsidR="005865B5">
              <w:t>/21</w:t>
            </w:r>
            <w:r w:rsidRPr="00D43BBD">
              <w:rPr>
                <w:bCs/>
                <w:szCs w:val="24"/>
              </w:rPr>
              <w:t>), samt en muntlig föredragning av stats</w:t>
            </w:r>
            <w:r>
              <w:rPr>
                <w:bCs/>
                <w:szCs w:val="24"/>
              </w:rPr>
              <w:t>rådet.</w:t>
            </w:r>
          </w:p>
          <w:p w:rsidR="00EA0E0E" w:rsidRPr="00D43BBD" w:rsidRDefault="00EA0E0E" w:rsidP="00EA0E0E">
            <w:pPr>
              <w:outlineLvl w:val="0"/>
              <w:rPr>
                <w:bCs/>
                <w:szCs w:val="24"/>
              </w:rPr>
            </w:pPr>
          </w:p>
          <w:p w:rsidR="00EA0E0E" w:rsidRDefault="00EA0E0E" w:rsidP="00EA0E0E">
            <w:pPr>
              <w:outlineLvl w:val="0"/>
              <w:rPr>
                <w:bCs/>
                <w:szCs w:val="24"/>
              </w:rPr>
            </w:pPr>
            <w:r>
              <w:rPr>
                <w:bCs/>
                <w:szCs w:val="24"/>
              </w:rPr>
              <w:t>Statsrådet</w:t>
            </w:r>
            <w:r w:rsidRPr="00542CC6">
              <w:rPr>
                <w:bCs/>
                <w:szCs w:val="24"/>
              </w:rPr>
              <w:t xml:space="preserve"> redogjorde för regeringens ståndpunkt i enlighet med </w:t>
            </w:r>
            <w:r>
              <w:rPr>
                <w:bCs/>
                <w:szCs w:val="24"/>
              </w:rPr>
              <w:t>promemorian</w:t>
            </w:r>
            <w:r w:rsidRPr="00542CC6">
              <w:rPr>
                <w:bCs/>
                <w:szCs w:val="24"/>
              </w:rPr>
              <w:t xml:space="preserve">: </w:t>
            </w:r>
          </w:p>
          <w:p w:rsidR="00EA0E0E" w:rsidRPr="00EA0E0E" w:rsidRDefault="00EA0E0E" w:rsidP="00EA0E0E">
            <w:pPr>
              <w:pStyle w:val="Liststycke"/>
              <w:numPr>
                <w:ilvl w:val="0"/>
                <w:numId w:val="23"/>
              </w:numPr>
              <w:outlineLvl w:val="0"/>
              <w:rPr>
                <w:bCs/>
                <w:szCs w:val="24"/>
              </w:rPr>
            </w:pPr>
            <w:r w:rsidRPr="00EA0E0E">
              <w:rPr>
                <w:bCs/>
                <w:szCs w:val="24"/>
              </w:rPr>
              <w:t xml:space="preserve">Regeringen stödjer det övergripande syftet med taxonomin. Det är viktigt att taxonomin bidrar till klimatnyttan. Utkastet till delegerad akt innehåller dock på vissa områden väsentliga brister som regeringen ska påtala i svaret på konsultationen. </w:t>
            </w:r>
          </w:p>
          <w:p w:rsidR="00EA0E0E" w:rsidRPr="00EA0E0E" w:rsidRDefault="00EA0E0E" w:rsidP="00EA0E0E">
            <w:pPr>
              <w:pStyle w:val="Liststycke"/>
              <w:numPr>
                <w:ilvl w:val="0"/>
                <w:numId w:val="23"/>
              </w:numPr>
              <w:outlineLvl w:val="0"/>
              <w:rPr>
                <w:bCs/>
                <w:szCs w:val="24"/>
              </w:rPr>
            </w:pPr>
            <w:r w:rsidRPr="00EA0E0E">
              <w:rPr>
                <w:bCs/>
                <w:szCs w:val="24"/>
              </w:rPr>
              <w:t xml:space="preserve">Regeringen behöver agera aktivt mot kommissionen för att få igenom de för Sverige helt centrala förändringarna i bl.a. de skogliga och energirelaterade delarna av förslaget.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de mycket detaljerade kraven riskerar att öka den administrativa bördan utan att tillföra klimatnytta och att de i stället medför motsatta incitament för t.ex. skogsägare och jord-brukare. Proportionalitet, väl analyserade konsekvenser och transparens i åtgärderna bör eftersträvas.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taxonomin bör bidra till att skapa obrutna håll-bara värdekedjor i t.ex. bioekonomin – från jord- och skogsbruk, till produktion av hållbara biodrivmedel och användning av biobränsle. </w:t>
            </w:r>
          </w:p>
          <w:p w:rsidR="00EA0E0E" w:rsidRPr="00EA0E0E" w:rsidRDefault="00EA0E0E" w:rsidP="00EA0E0E">
            <w:pPr>
              <w:outlineLvl w:val="0"/>
              <w:rPr>
                <w:bCs/>
                <w:i/>
                <w:szCs w:val="24"/>
              </w:rPr>
            </w:pPr>
          </w:p>
          <w:p w:rsidR="00EA0E0E" w:rsidRPr="00EA0E0E" w:rsidRDefault="00EA0E0E" w:rsidP="00775063">
            <w:pPr>
              <w:ind w:left="720"/>
              <w:outlineLvl w:val="0"/>
              <w:rPr>
                <w:bCs/>
                <w:i/>
                <w:szCs w:val="24"/>
              </w:rPr>
            </w:pPr>
            <w:r w:rsidRPr="00EA0E0E">
              <w:rPr>
                <w:bCs/>
                <w:i/>
                <w:szCs w:val="24"/>
              </w:rPr>
              <w:t xml:space="preserve">Skog </w:t>
            </w:r>
          </w:p>
          <w:p w:rsidR="00EA0E0E" w:rsidRPr="00EA0E0E" w:rsidRDefault="00EA0E0E" w:rsidP="00EA0E0E">
            <w:pPr>
              <w:pStyle w:val="Liststycke"/>
              <w:numPr>
                <w:ilvl w:val="0"/>
                <w:numId w:val="23"/>
              </w:numPr>
              <w:outlineLvl w:val="0"/>
              <w:rPr>
                <w:bCs/>
                <w:szCs w:val="24"/>
              </w:rPr>
            </w:pPr>
            <w:r w:rsidRPr="00EA0E0E">
              <w:rPr>
                <w:bCs/>
                <w:szCs w:val="24"/>
              </w:rPr>
              <w:t xml:space="preserve">Regeringen motsätter sig det nya begreppet ”förbättrat skogsbruk” (eng. </w:t>
            </w:r>
            <w:proofErr w:type="spellStart"/>
            <w:r w:rsidRPr="00B548B7">
              <w:rPr>
                <w:bCs/>
                <w:i/>
                <w:szCs w:val="24"/>
              </w:rPr>
              <w:t>improved</w:t>
            </w:r>
            <w:proofErr w:type="spellEnd"/>
            <w:r w:rsidRPr="00B548B7">
              <w:rPr>
                <w:bCs/>
                <w:i/>
                <w:szCs w:val="24"/>
              </w:rPr>
              <w:t xml:space="preserve"> </w:t>
            </w:r>
            <w:proofErr w:type="spellStart"/>
            <w:r w:rsidRPr="00B548B7">
              <w:rPr>
                <w:bCs/>
                <w:i/>
                <w:szCs w:val="24"/>
              </w:rPr>
              <w:t>forest</w:t>
            </w:r>
            <w:proofErr w:type="spellEnd"/>
            <w:r w:rsidRPr="00B548B7">
              <w:rPr>
                <w:bCs/>
                <w:i/>
                <w:szCs w:val="24"/>
              </w:rPr>
              <w:t xml:space="preserve"> management)</w:t>
            </w:r>
            <w:r w:rsidRPr="00EA0E0E">
              <w:rPr>
                <w:bCs/>
                <w:szCs w:val="24"/>
              </w:rPr>
              <w:t xml:space="preserve"> och anser att förslaget bör baseras på existerande definitioner av hållbart skogsbruk. Förslaget bör vidare främja åtgärder som är förenliga med den svenska skogspolitiken som bygger på jämställda mål för hållbart brukande och bevarande. </w:t>
            </w:r>
          </w:p>
          <w:p w:rsidR="00EA0E0E" w:rsidRPr="00EA0E0E" w:rsidRDefault="00EA0E0E" w:rsidP="00EA0E0E">
            <w:pPr>
              <w:pStyle w:val="Liststycke"/>
              <w:numPr>
                <w:ilvl w:val="0"/>
                <w:numId w:val="23"/>
              </w:numPr>
              <w:outlineLvl w:val="0"/>
              <w:rPr>
                <w:bCs/>
                <w:szCs w:val="24"/>
              </w:rPr>
            </w:pPr>
            <w:r w:rsidRPr="00EA0E0E">
              <w:rPr>
                <w:bCs/>
                <w:szCs w:val="24"/>
              </w:rPr>
              <w:lastRenderedPageBreak/>
              <w:t xml:space="preserve">Regeringen anser att kommissionen bör följa lagstiftarnas krav om att kriterierna ska vara i linje med det reviderade </w:t>
            </w:r>
            <w:proofErr w:type="spellStart"/>
            <w:r w:rsidRPr="00EA0E0E">
              <w:rPr>
                <w:bCs/>
                <w:szCs w:val="24"/>
              </w:rPr>
              <w:t>förnybartdirektivet</w:t>
            </w:r>
            <w:proofErr w:type="spellEnd"/>
            <w:r w:rsidRPr="00EA0E0E">
              <w:rPr>
                <w:bCs/>
                <w:szCs w:val="24"/>
              </w:rPr>
              <w:t xml:space="preserve"> (RED II). </w:t>
            </w:r>
          </w:p>
          <w:p w:rsidR="00EA0E0E" w:rsidRPr="00EA0E0E" w:rsidRDefault="00EA0E0E" w:rsidP="00EA0E0E">
            <w:pPr>
              <w:outlineLvl w:val="0"/>
              <w:rPr>
                <w:bCs/>
                <w:i/>
                <w:szCs w:val="24"/>
              </w:rPr>
            </w:pPr>
          </w:p>
          <w:p w:rsidR="00EA0E0E" w:rsidRPr="00EA0E0E" w:rsidRDefault="00EA0E0E" w:rsidP="00775063">
            <w:pPr>
              <w:ind w:left="720"/>
              <w:outlineLvl w:val="0"/>
              <w:rPr>
                <w:bCs/>
                <w:i/>
                <w:szCs w:val="24"/>
              </w:rPr>
            </w:pPr>
            <w:r w:rsidRPr="00EA0E0E">
              <w:rPr>
                <w:bCs/>
                <w:i/>
                <w:szCs w:val="24"/>
              </w:rPr>
              <w:t xml:space="preserve">Energi- och transportsektorn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den delegerade aktens krav inte ska gå längre än existerande EU-lagstiftning med relevans för förnybar energi och energiomställningen.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taxonomin inte får bli kontraproduktiv för energiomställningen eller motverka svenska transportföretags strävan att uppnå klimatneutralitet och fasa ut fossila bränslen.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taxonomin bör bidra till överflyttning till energieffektiva trafikslag som järnväg och sjöfart.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vattenkraften har en viktig roll för att nå uppställda mål på klimat- och energiområdet, inte minst genom sin roll som reglerkraft.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de föreslagna kriterierna ska utformas på ett sådant sätt att de inte ställer längre gående krav på en enskild vattenkraftsanläggning än de krav som följer ramdirektivet för vatten och relevanta bestämmelser i art- och habitatdirektivet.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all bioenergi och biobränsle som lever upp till kraven i </w:t>
            </w:r>
            <w:proofErr w:type="spellStart"/>
            <w:r w:rsidRPr="00EA0E0E">
              <w:rPr>
                <w:bCs/>
                <w:szCs w:val="24"/>
              </w:rPr>
              <w:t>förnybartdirektivets</w:t>
            </w:r>
            <w:proofErr w:type="spellEnd"/>
            <w:r w:rsidRPr="00EA0E0E">
              <w:rPr>
                <w:bCs/>
                <w:szCs w:val="24"/>
              </w:rPr>
              <w:t xml:space="preserve"> hållbarhetskriterier ska anses hållbara i den delegerade akten, vilket också anges i förordningen. Regeringen anser också att aktiviteter som involverar hållbar bioenergi inte ska klassificeras som omställningsverksamhet. </w:t>
            </w:r>
          </w:p>
          <w:p w:rsidR="00EA0E0E" w:rsidRPr="00EA0E0E" w:rsidRDefault="00EA0E0E" w:rsidP="00775063">
            <w:pPr>
              <w:pStyle w:val="Liststycke"/>
              <w:numPr>
                <w:ilvl w:val="0"/>
                <w:numId w:val="23"/>
              </w:numPr>
              <w:outlineLvl w:val="0"/>
              <w:rPr>
                <w:bCs/>
                <w:szCs w:val="24"/>
              </w:rPr>
            </w:pPr>
            <w:r w:rsidRPr="00EA0E0E">
              <w:rPr>
                <w:bCs/>
                <w:szCs w:val="24"/>
              </w:rPr>
              <w:t xml:space="preserve">Regeringen anser att transporter som genomförs med förnybara bränslen som är hållbara enligt </w:t>
            </w:r>
            <w:proofErr w:type="spellStart"/>
            <w:r w:rsidRPr="00EA0E0E">
              <w:rPr>
                <w:bCs/>
                <w:szCs w:val="24"/>
              </w:rPr>
              <w:t>förnybartdirektivet</w:t>
            </w:r>
            <w:proofErr w:type="spellEnd"/>
            <w:r w:rsidRPr="00EA0E0E">
              <w:rPr>
                <w:bCs/>
                <w:szCs w:val="24"/>
              </w:rPr>
              <w:t xml:space="preserve"> ska vara taxonomikompatibla. </w:t>
            </w:r>
          </w:p>
          <w:p w:rsidR="00EA0E0E" w:rsidRPr="00EA0E0E" w:rsidRDefault="00EA0E0E" w:rsidP="00775063">
            <w:pPr>
              <w:pStyle w:val="Liststycke"/>
              <w:numPr>
                <w:ilvl w:val="0"/>
                <w:numId w:val="23"/>
              </w:numPr>
              <w:outlineLvl w:val="0"/>
              <w:rPr>
                <w:bCs/>
                <w:szCs w:val="24"/>
              </w:rPr>
            </w:pPr>
            <w:r w:rsidRPr="00EA0E0E">
              <w:rPr>
                <w:bCs/>
                <w:szCs w:val="24"/>
              </w:rPr>
              <w:t xml:space="preserve">Regeringen anser att all fossilfri el från nätet ska kunna användas, utan krav på nytillkommande förnybar elproduktion i produktion av vätgas och andra produkter. </w:t>
            </w:r>
          </w:p>
          <w:p w:rsidR="00EA0E0E" w:rsidRPr="00EA0E0E" w:rsidRDefault="00EA0E0E" w:rsidP="00775063">
            <w:pPr>
              <w:pStyle w:val="Liststycke"/>
              <w:numPr>
                <w:ilvl w:val="0"/>
                <w:numId w:val="23"/>
              </w:numPr>
              <w:outlineLvl w:val="0"/>
              <w:rPr>
                <w:bCs/>
                <w:szCs w:val="24"/>
              </w:rPr>
            </w:pPr>
            <w:r w:rsidRPr="00EA0E0E">
              <w:rPr>
                <w:bCs/>
                <w:szCs w:val="24"/>
              </w:rPr>
              <w:t xml:space="preserve">Regeringen anser att energiutvinning ur avfall är en viktig komponent i avfallshierarkin. </w:t>
            </w:r>
          </w:p>
          <w:p w:rsidR="00EA0E0E" w:rsidRPr="00EA0E0E" w:rsidRDefault="00EA0E0E" w:rsidP="00EA0E0E">
            <w:pPr>
              <w:outlineLvl w:val="0"/>
              <w:rPr>
                <w:bCs/>
                <w:i/>
                <w:szCs w:val="24"/>
              </w:rPr>
            </w:pPr>
          </w:p>
          <w:p w:rsidR="00EA0E0E" w:rsidRPr="00EA0E0E" w:rsidRDefault="00EA0E0E" w:rsidP="00775063">
            <w:pPr>
              <w:ind w:left="720"/>
              <w:outlineLvl w:val="0"/>
              <w:rPr>
                <w:bCs/>
                <w:i/>
                <w:szCs w:val="24"/>
              </w:rPr>
            </w:pPr>
            <w:r w:rsidRPr="00EA0E0E">
              <w:rPr>
                <w:bCs/>
                <w:i/>
                <w:szCs w:val="24"/>
              </w:rPr>
              <w:t xml:space="preserve">Byggnader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kraven för befintliga byggnader bör utgå ifrån den andel av byggnaderna på den lokala marknaden som är mest energieffektiv i stället för den bästa energiklassen. </w:t>
            </w:r>
          </w:p>
          <w:p w:rsidR="00EA0E0E" w:rsidRPr="00EA0E0E" w:rsidRDefault="00EA0E0E" w:rsidP="00EA0E0E">
            <w:pPr>
              <w:ind w:left="360"/>
              <w:outlineLvl w:val="0"/>
              <w:rPr>
                <w:bCs/>
                <w:szCs w:val="24"/>
              </w:rPr>
            </w:pPr>
          </w:p>
          <w:p w:rsidR="00EA0E0E" w:rsidRPr="00EA0E0E" w:rsidRDefault="00EA0E0E" w:rsidP="00775063">
            <w:pPr>
              <w:ind w:left="720"/>
              <w:outlineLvl w:val="0"/>
              <w:rPr>
                <w:bCs/>
                <w:i/>
                <w:szCs w:val="24"/>
              </w:rPr>
            </w:pPr>
            <w:r w:rsidRPr="00EA0E0E">
              <w:rPr>
                <w:bCs/>
                <w:i/>
                <w:szCs w:val="24"/>
              </w:rPr>
              <w:t xml:space="preserve">Jordbruk </w:t>
            </w:r>
          </w:p>
          <w:p w:rsidR="00EA0E0E" w:rsidRPr="00EA0E0E" w:rsidRDefault="00EA0E0E" w:rsidP="00EA0E0E">
            <w:pPr>
              <w:pStyle w:val="Liststycke"/>
              <w:numPr>
                <w:ilvl w:val="0"/>
                <w:numId w:val="23"/>
              </w:numPr>
              <w:outlineLvl w:val="0"/>
              <w:rPr>
                <w:bCs/>
                <w:szCs w:val="24"/>
              </w:rPr>
            </w:pPr>
            <w:r w:rsidRPr="00EA0E0E">
              <w:rPr>
                <w:bCs/>
                <w:szCs w:val="24"/>
              </w:rPr>
              <w:t xml:space="preserve">Regeringen anser att större hänsyn bör tas till mångfalden av natur- och lantbruksförhållanden i medlemsstaterna. Även mindre gårdar måste ges möjlighet att uppnå hållbarhetskraven. Det är viktigt att taxonomin i större utsträckning baseras på bl.a. villkoren för miljö, klimat och djurvälfärd i den gemensamma jordbrukspolitiken. </w:t>
            </w:r>
          </w:p>
          <w:p w:rsidR="00EA0E0E" w:rsidRDefault="00EA0E0E" w:rsidP="00EA0E0E">
            <w:pPr>
              <w:outlineLvl w:val="0"/>
              <w:rPr>
                <w:bCs/>
                <w:szCs w:val="24"/>
              </w:rPr>
            </w:pPr>
          </w:p>
          <w:p w:rsidR="00EA0E0E" w:rsidRPr="00EA0E0E" w:rsidRDefault="00EA0E0E" w:rsidP="00EA0E0E">
            <w:r>
              <w:t>Under mötet reviderades ståndpunkten</w:t>
            </w:r>
            <w:r w:rsidR="00C667DC">
              <w:t xml:space="preserve"> i punkt 10</w:t>
            </w:r>
            <w:r>
              <w:t xml:space="preserve"> på förslag av </w:t>
            </w:r>
            <w:r w:rsidR="00C667DC">
              <w:t xml:space="preserve">L-ledamoten </w:t>
            </w:r>
            <w:r w:rsidR="00D66104">
              <w:t xml:space="preserve">och med stöd av M-, SD-, KD-ledamöterna </w:t>
            </w:r>
            <w:r w:rsidR="00C667DC">
              <w:t xml:space="preserve">till </w:t>
            </w:r>
            <w:r w:rsidR="00775063">
              <w:t xml:space="preserve">att ha </w:t>
            </w:r>
            <w:r w:rsidR="00C667DC">
              <w:t xml:space="preserve">följande lydelse: </w:t>
            </w:r>
          </w:p>
          <w:p w:rsidR="00EA0E0E" w:rsidRPr="00EA0E0E" w:rsidRDefault="00EA0E0E" w:rsidP="00775063">
            <w:pPr>
              <w:pStyle w:val="Liststycke"/>
              <w:ind w:left="994"/>
              <w:outlineLvl w:val="0"/>
            </w:pPr>
            <w:r w:rsidRPr="00EA0E0E">
              <w:rPr>
                <w:bCs/>
                <w:szCs w:val="24"/>
              </w:rPr>
              <w:t xml:space="preserve">Regeringen anser att alla fossilfria energislag inklusive vattenkraft och kärnkraft spelar viktiga roller för att nå uppställda mål på klimatområdet. Vattenkraften inte minst genom sin roll som reglerkraft. </w:t>
            </w:r>
          </w:p>
          <w:p w:rsidR="00EA0E0E" w:rsidRPr="00EA0E0E" w:rsidRDefault="00EA0E0E" w:rsidP="00EA0E0E">
            <w:pPr>
              <w:outlineLvl w:val="0"/>
              <w:rPr>
                <w:bCs/>
                <w:szCs w:val="24"/>
              </w:rPr>
            </w:pPr>
            <w:r>
              <w:rPr>
                <w:bCs/>
                <w:szCs w:val="24"/>
              </w:rPr>
              <w:t xml:space="preserve"> </w:t>
            </w:r>
          </w:p>
          <w:p w:rsidR="00EA0E0E" w:rsidRDefault="00EA0E0E" w:rsidP="00EA0E0E">
            <w:r>
              <w:lastRenderedPageBreak/>
              <w:t xml:space="preserve">Ordföranden konstaterade att det fanns stöd för regeringens redovisade ståndpunkt </w:t>
            </w:r>
            <w:r w:rsidR="007013DE">
              <w:t xml:space="preserve">med </w:t>
            </w:r>
            <w:r>
              <w:t xml:space="preserve">den </w:t>
            </w:r>
            <w:r w:rsidR="007013DE">
              <w:t>reviderade</w:t>
            </w:r>
            <w:r>
              <w:t xml:space="preserve"> lydelsen under punkt 10. </w:t>
            </w:r>
          </w:p>
          <w:p w:rsidR="00EA0E0E" w:rsidRDefault="00EA0E0E" w:rsidP="00EA0E0E">
            <w:pPr>
              <w:outlineLvl w:val="0"/>
            </w:pPr>
          </w:p>
          <w:p w:rsidR="00EA0E0E" w:rsidRDefault="00EA0E0E" w:rsidP="00EA0E0E">
            <w:pPr>
              <w:outlineLvl w:val="0"/>
            </w:pPr>
            <w:r w:rsidRPr="00621FF0">
              <w:t xml:space="preserve">Avvikande </w:t>
            </w:r>
            <w:r>
              <w:t xml:space="preserve">ståndpunkt anmäldes av S-, MP-, V- och C-ledamöterna som ansåg att den ursprungliga lydelsen </w:t>
            </w:r>
            <w:r w:rsidR="00775063">
              <w:t xml:space="preserve">under punkt 10 </w:t>
            </w:r>
            <w:r>
              <w:t xml:space="preserve">skulle kvarstå. </w:t>
            </w:r>
          </w:p>
          <w:p w:rsidR="00EA0E0E" w:rsidRDefault="00EA0E0E" w:rsidP="00EA0E0E">
            <w:pPr>
              <w:outlineLvl w:val="0"/>
            </w:pPr>
          </w:p>
          <w:p w:rsidR="00EA0E0E" w:rsidRDefault="00EA0E0E" w:rsidP="00EA0E0E">
            <w:pPr>
              <w:outlineLvl w:val="0"/>
            </w:pPr>
            <w:r>
              <w:t xml:space="preserve">Avvikande ståndpunkt anmäldes av SD-ledamöterna som dels ansåg att den delegerade akten i fråga om bekämpningsmedel inte skulle innehålla någon referens till </w:t>
            </w:r>
            <w:r w:rsidR="00775063">
              <w:t>e</w:t>
            </w:r>
            <w:r>
              <w:t xml:space="preserve">koförordningen, dels att den inte skulle ta upp frivillig certifiering av skogsbruk. </w:t>
            </w:r>
          </w:p>
          <w:p w:rsidR="00775063" w:rsidRDefault="00775063" w:rsidP="00EA0E0E">
            <w:pPr>
              <w:outlineLvl w:val="0"/>
            </w:pPr>
          </w:p>
          <w:p w:rsidR="00D66104" w:rsidRDefault="00EA0E0E" w:rsidP="00D66104">
            <w:pPr>
              <w:outlineLvl w:val="0"/>
            </w:pPr>
            <w:r>
              <w:t>Avvikande ståndpunkt anmäldes av V-ledamoten</w:t>
            </w:r>
            <w:r w:rsidR="00D66104">
              <w:t xml:space="preserve"> om skogen, t.ex. borde regeringen inte vara kritisk till att använda begreppet ”förbättrat skogsbruk” (eng. </w:t>
            </w:r>
            <w:proofErr w:type="spellStart"/>
            <w:r w:rsidR="00D66104" w:rsidRPr="00EA0E0E">
              <w:rPr>
                <w:i/>
              </w:rPr>
              <w:t>improved</w:t>
            </w:r>
            <w:proofErr w:type="spellEnd"/>
            <w:r w:rsidR="00D66104" w:rsidRPr="00EA0E0E">
              <w:rPr>
                <w:i/>
              </w:rPr>
              <w:t xml:space="preserve"> </w:t>
            </w:r>
            <w:proofErr w:type="spellStart"/>
            <w:r w:rsidR="00D66104" w:rsidRPr="00EA0E0E">
              <w:rPr>
                <w:i/>
              </w:rPr>
              <w:t>forest</w:t>
            </w:r>
            <w:proofErr w:type="spellEnd"/>
            <w:r w:rsidR="00D66104" w:rsidRPr="00EA0E0E">
              <w:rPr>
                <w:i/>
              </w:rPr>
              <w:t xml:space="preserve"> management</w:t>
            </w:r>
            <w:r w:rsidR="00D66104">
              <w:t>).</w:t>
            </w:r>
          </w:p>
          <w:p w:rsidR="00621FF0" w:rsidRDefault="00621FF0" w:rsidP="00717F37">
            <w:pPr>
              <w:outlineLvl w:val="0"/>
              <w:rPr>
                <w:b/>
              </w:rPr>
            </w:pPr>
          </w:p>
          <w:p w:rsidR="00621FF0" w:rsidRPr="00EA0E0E" w:rsidRDefault="00EA0E0E" w:rsidP="00717F37">
            <w:pPr>
              <w:outlineLvl w:val="0"/>
            </w:pPr>
            <w:r w:rsidRPr="00EA0E0E">
              <w:t xml:space="preserve">Denna paragraf förklarades omedelbart justerad. </w:t>
            </w:r>
          </w:p>
          <w:p w:rsidR="00EA0E0E" w:rsidRDefault="00EA0E0E" w:rsidP="00717F37">
            <w:pPr>
              <w:outlineLvl w:val="0"/>
              <w:rPr>
                <w:b/>
              </w:rPr>
            </w:pPr>
          </w:p>
        </w:tc>
      </w:tr>
      <w:tr w:rsidR="00717F37" w:rsidTr="00EA0E0E">
        <w:tc>
          <w:tcPr>
            <w:tcW w:w="567" w:type="dxa"/>
          </w:tcPr>
          <w:p w:rsidR="00717F37" w:rsidRDefault="00717F37" w:rsidP="00717F37">
            <w:pPr>
              <w:tabs>
                <w:tab w:val="left" w:pos="1701"/>
              </w:tabs>
              <w:rPr>
                <w:b/>
                <w:snapToGrid w:val="0"/>
              </w:rPr>
            </w:pPr>
            <w:r>
              <w:rPr>
                <w:b/>
                <w:snapToGrid w:val="0"/>
              </w:rPr>
              <w:lastRenderedPageBreak/>
              <w:t xml:space="preserve">§ </w:t>
            </w:r>
            <w:r w:rsidR="00E24297">
              <w:rPr>
                <w:b/>
                <w:snapToGrid w:val="0"/>
              </w:rPr>
              <w:t>3</w:t>
            </w:r>
          </w:p>
        </w:tc>
        <w:tc>
          <w:tcPr>
            <w:tcW w:w="7727" w:type="dxa"/>
          </w:tcPr>
          <w:p w:rsidR="00717F37" w:rsidRPr="00457EA5" w:rsidRDefault="00717F37" w:rsidP="00717F37">
            <w:pPr>
              <w:outlineLvl w:val="0"/>
            </w:pPr>
            <w:r>
              <w:rPr>
                <w:b/>
              </w:rPr>
              <w:t>Anmälningar</w:t>
            </w:r>
            <w:r w:rsidR="00457EA5">
              <w:rPr>
                <w:b/>
              </w:rPr>
              <w:br/>
            </w:r>
            <w:r w:rsidR="00457EA5" w:rsidRPr="00457EA5">
              <w:t>Utskottet beslutade att sammanträd</w:t>
            </w:r>
            <w:r w:rsidR="00457EA5">
              <w:t>a</w:t>
            </w:r>
            <w:r w:rsidR="00457EA5" w:rsidRPr="00457EA5">
              <w:t xml:space="preserve"> under arbetsplenum i kammaren den 17 december. </w:t>
            </w:r>
          </w:p>
          <w:p w:rsidR="00717F37" w:rsidRDefault="00717F37" w:rsidP="00717F37">
            <w:pPr>
              <w:outlineLvl w:val="0"/>
              <w:rPr>
                <w:b/>
              </w:rPr>
            </w:pPr>
          </w:p>
        </w:tc>
      </w:tr>
      <w:tr w:rsidR="00717F37" w:rsidTr="00EA0E0E">
        <w:tc>
          <w:tcPr>
            <w:tcW w:w="567" w:type="dxa"/>
          </w:tcPr>
          <w:p w:rsidR="00717F37" w:rsidRDefault="00717F37" w:rsidP="00717F37">
            <w:pPr>
              <w:tabs>
                <w:tab w:val="left" w:pos="1701"/>
              </w:tabs>
              <w:rPr>
                <w:b/>
                <w:snapToGrid w:val="0"/>
              </w:rPr>
            </w:pPr>
            <w:r>
              <w:rPr>
                <w:b/>
                <w:snapToGrid w:val="0"/>
              </w:rPr>
              <w:t xml:space="preserve">§ </w:t>
            </w:r>
            <w:r w:rsidR="00E24297">
              <w:rPr>
                <w:b/>
                <w:snapToGrid w:val="0"/>
              </w:rPr>
              <w:t>4</w:t>
            </w:r>
          </w:p>
        </w:tc>
        <w:tc>
          <w:tcPr>
            <w:tcW w:w="7727" w:type="dxa"/>
          </w:tcPr>
          <w:p w:rsidR="00717F37" w:rsidRDefault="00717F37" w:rsidP="00717F3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r w:rsidR="005865B5">
              <w:rPr>
                <w:b/>
                <w:color w:val="000000"/>
                <w:szCs w:val="24"/>
              </w:rPr>
              <w:br/>
            </w:r>
            <w:r w:rsidR="005865B5" w:rsidRPr="005865B5">
              <w:rPr>
                <w:color w:val="000000"/>
                <w:szCs w:val="24"/>
              </w:rPr>
              <w:t xml:space="preserve">Utskottet justerade protokoll nr. </w:t>
            </w:r>
            <w:r w:rsidR="005865B5">
              <w:rPr>
                <w:color w:val="000000"/>
                <w:szCs w:val="24"/>
              </w:rPr>
              <w:t>2020/21:19.</w:t>
            </w:r>
          </w:p>
          <w:p w:rsidR="00717F37" w:rsidRPr="00AD47F5" w:rsidRDefault="00717F37" w:rsidP="00717F37">
            <w:pPr>
              <w:widowControl/>
              <w:autoSpaceDE w:val="0"/>
              <w:autoSpaceDN w:val="0"/>
              <w:adjustRightInd w:val="0"/>
              <w:rPr>
                <w:b/>
                <w:color w:val="000000"/>
                <w:szCs w:val="24"/>
              </w:rPr>
            </w:pPr>
          </w:p>
        </w:tc>
      </w:tr>
      <w:tr w:rsidR="00717F37" w:rsidTr="00EA0E0E">
        <w:tc>
          <w:tcPr>
            <w:tcW w:w="567" w:type="dxa"/>
          </w:tcPr>
          <w:p w:rsidR="00717F37" w:rsidRDefault="00717F37" w:rsidP="00717F37">
            <w:pPr>
              <w:tabs>
                <w:tab w:val="left" w:pos="1701"/>
              </w:tabs>
              <w:rPr>
                <w:b/>
                <w:snapToGrid w:val="0"/>
              </w:rPr>
            </w:pPr>
            <w:r>
              <w:rPr>
                <w:b/>
                <w:snapToGrid w:val="0"/>
              </w:rPr>
              <w:t xml:space="preserve">§ </w:t>
            </w:r>
            <w:r w:rsidR="00E24297">
              <w:rPr>
                <w:b/>
                <w:snapToGrid w:val="0"/>
              </w:rPr>
              <w:t>5</w:t>
            </w:r>
          </w:p>
        </w:tc>
        <w:tc>
          <w:tcPr>
            <w:tcW w:w="7727" w:type="dxa"/>
          </w:tcPr>
          <w:p w:rsidR="00457EA5" w:rsidRDefault="00621FF0" w:rsidP="00457EA5">
            <w:pPr>
              <w:widowControl/>
              <w:autoSpaceDE w:val="0"/>
              <w:autoSpaceDN w:val="0"/>
              <w:adjustRightInd w:val="0"/>
              <w:rPr>
                <w:color w:val="000000"/>
                <w:szCs w:val="24"/>
              </w:rPr>
            </w:pPr>
            <w:r w:rsidRPr="00621FF0">
              <w:rPr>
                <w:b/>
                <w:bCs/>
                <w:color w:val="000000"/>
                <w:szCs w:val="24"/>
              </w:rPr>
              <w:t>Förslag till Europaparlamentets och rådets förordning om marknader för kryptotillgångar och om ändring av direktiv (EU) 2019/1937</w:t>
            </w:r>
            <w:r w:rsidRPr="00621FF0">
              <w:rPr>
                <w:b/>
                <w:bCs/>
                <w:color w:val="000000"/>
                <w:szCs w:val="24"/>
              </w:rPr>
              <w:br/>
            </w:r>
            <w:r w:rsidR="00457EA5">
              <w:rPr>
                <w:color w:val="000000"/>
                <w:szCs w:val="24"/>
              </w:rPr>
              <w:t>Utskottet inledde s</w:t>
            </w:r>
            <w:r w:rsidRPr="00621FF0">
              <w:rPr>
                <w:color w:val="000000"/>
                <w:szCs w:val="24"/>
              </w:rPr>
              <w:t>ubsidiaritetsprövning</w:t>
            </w:r>
            <w:r w:rsidR="00457EA5">
              <w:rPr>
                <w:color w:val="000000"/>
                <w:szCs w:val="24"/>
              </w:rPr>
              <w:t xml:space="preserve">en av </w:t>
            </w:r>
            <w:r w:rsidRPr="00621FF0">
              <w:rPr>
                <w:color w:val="000000"/>
                <w:szCs w:val="24"/>
              </w:rPr>
              <w:t>COM 2020(593)</w:t>
            </w:r>
            <w:r w:rsidR="00457EA5">
              <w:rPr>
                <w:color w:val="000000"/>
                <w:szCs w:val="24"/>
              </w:rPr>
              <w:t xml:space="preserve">. </w:t>
            </w:r>
          </w:p>
          <w:p w:rsidR="00457EA5" w:rsidRDefault="00457EA5" w:rsidP="00457EA5">
            <w:pPr>
              <w:widowControl/>
              <w:autoSpaceDE w:val="0"/>
              <w:autoSpaceDN w:val="0"/>
              <w:adjustRightInd w:val="0"/>
              <w:rPr>
                <w:color w:val="000000"/>
                <w:szCs w:val="24"/>
              </w:rPr>
            </w:pPr>
          </w:p>
          <w:p w:rsidR="00621FF0" w:rsidRDefault="00457EA5" w:rsidP="00457EA5">
            <w:pPr>
              <w:widowControl/>
              <w:autoSpaceDE w:val="0"/>
              <w:autoSpaceDN w:val="0"/>
              <w:adjustRightInd w:val="0"/>
              <w:rPr>
                <w:color w:val="000000"/>
                <w:szCs w:val="24"/>
              </w:rPr>
            </w:pPr>
            <w:r>
              <w:rPr>
                <w:color w:val="000000"/>
                <w:szCs w:val="24"/>
              </w:rPr>
              <w:t>Utskottet ansåg att förslaget inte strider mot s</w:t>
            </w:r>
            <w:r w:rsidRPr="00621FF0">
              <w:rPr>
                <w:color w:val="000000"/>
                <w:szCs w:val="24"/>
              </w:rPr>
              <w:t>ubsidiaritets</w:t>
            </w:r>
            <w:r>
              <w:rPr>
                <w:color w:val="000000"/>
                <w:szCs w:val="24"/>
              </w:rPr>
              <w:t xml:space="preserve">principen. </w:t>
            </w:r>
          </w:p>
          <w:p w:rsidR="00717F37" w:rsidRPr="00305C38" w:rsidRDefault="00717F37" w:rsidP="00837476">
            <w:pPr>
              <w:outlineLvl w:val="0"/>
              <w:rPr>
                <w:color w:val="000000"/>
                <w:szCs w:val="24"/>
              </w:rPr>
            </w:pPr>
          </w:p>
        </w:tc>
      </w:tr>
      <w:tr w:rsidR="00717F37" w:rsidTr="00EA0E0E">
        <w:tc>
          <w:tcPr>
            <w:tcW w:w="567" w:type="dxa"/>
          </w:tcPr>
          <w:p w:rsidR="00717F37" w:rsidRDefault="00717F37" w:rsidP="00717F37">
            <w:pPr>
              <w:tabs>
                <w:tab w:val="left" w:pos="1701"/>
              </w:tabs>
              <w:rPr>
                <w:b/>
                <w:snapToGrid w:val="0"/>
              </w:rPr>
            </w:pPr>
            <w:r>
              <w:rPr>
                <w:b/>
                <w:snapToGrid w:val="0"/>
              </w:rPr>
              <w:t xml:space="preserve">§ </w:t>
            </w:r>
            <w:r w:rsidR="00E24297">
              <w:rPr>
                <w:b/>
                <w:snapToGrid w:val="0"/>
              </w:rPr>
              <w:t>6</w:t>
            </w:r>
          </w:p>
        </w:tc>
        <w:tc>
          <w:tcPr>
            <w:tcW w:w="7727" w:type="dxa"/>
          </w:tcPr>
          <w:p w:rsidR="00457EA5" w:rsidRDefault="00621FF0" w:rsidP="00457EA5">
            <w:pPr>
              <w:widowControl/>
              <w:autoSpaceDE w:val="0"/>
              <w:autoSpaceDN w:val="0"/>
              <w:adjustRightInd w:val="0"/>
              <w:rPr>
                <w:color w:val="000000"/>
                <w:szCs w:val="24"/>
              </w:rPr>
            </w:pPr>
            <w:r w:rsidRPr="00621FF0">
              <w:rPr>
                <w:b/>
                <w:bCs/>
                <w:color w:val="000000"/>
                <w:szCs w:val="24"/>
              </w:rPr>
              <w:t>Förslag till Europaparlamentets och rådets förordning om en pilotordning för marknadsinfrastrukturer som baseras på teknik för distribuerade liggare</w:t>
            </w:r>
            <w:r w:rsidRPr="00621FF0">
              <w:rPr>
                <w:b/>
                <w:bCs/>
                <w:color w:val="000000"/>
                <w:szCs w:val="24"/>
              </w:rPr>
              <w:br/>
            </w:r>
            <w:r w:rsidR="00457EA5">
              <w:rPr>
                <w:color w:val="000000"/>
                <w:szCs w:val="24"/>
              </w:rPr>
              <w:t>Utskottet inledde s</w:t>
            </w:r>
            <w:r w:rsidR="00457EA5" w:rsidRPr="00621FF0">
              <w:rPr>
                <w:color w:val="000000"/>
                <w:szCs w:val="24"/>
              </w:rPr>
              <w:t>ubsidiaritetsprövning</w:t>
            </w:r>
            <w:r w:rsidR="00457EA5">
              <w:rPr>
                <w:color w:val="000000"/>
                <w:szCs w:val="24"/>
              </w:rPr>
              <w:t xml:space="preserve">en av </w:t>
            </w:r>
            <w:r w:rsidR="00457EA5" w:rsidRPr="00621FF0">
              <w:rPr>
                <w:color w:val="000000"/>
                <w:szCs w:val="24"/>
              </w:rPr>
              <w:t>COM 2020(59</w:t>
            </w:r>
            <w:r w:rsidR="00457EA5">
              <w:rPr>
                <w:color w:val="000000"/>
                <w:szCs w:val="24"/>
              </w:rPr>
              <w:t>4</w:t>
            </w:r>
            <w:r w:rsidR="00457EA5" w:rsidRPr="00621FF0">
              <w:rPr>
                <w:color w:val="000000"/>
                <w:szCs w:val="24"/>
              </w:rPr>
              <w:t>)</w:t>
            </w:r>
            <w:r w:rsidR="00457EA5">
              <w:rPr>
                <w:color w:val="000000"/>
                <w:szCs w:val="24"/>
              </w:rPr>
              <w:t xml:space="preserve">. </w:t>
            </w:r>
          </w:p>
          <w:p w:rsidR="00457EA5" w:rsidRDefault="00457EA5" w:rsidP="00457EA5">
            <w:pPr>
              <w:widowControl/>
              <w:autoSpaceDE w:val="0"/>
              <w:autoSpaceDN w:val="0"/>
              <w:adjustRightInd w:val="0"/>
              <w:rPr>
                <w:color w:val="000000"/>
                <w:szCs w:val="24"/>
              </w:rPr>
            </w:pPr>
          </w:p>
          <w:p w:rsidR="00457EA5" w:rsidRDefault="00457EA5" w:rsidP="00457EA5">
            <w:pPr>
              <w:widowControl/>
              <w:autoSpaceDE w:val="0"/>
              <w:autoSpaceDN w:val="0"/>
              <w:adjustRightInd w:val="0"/>
              <w:rPr>
                <w:color w:val="000000"/>
                <w:szCs w:val="24"/>
              </w:rPr>
            </w:pPr>
            <w:r>
              <w:rPr>
                <w:color w:val="000000"/>
                <w:szCs w:val="24"/>
              </w:rPr>
              <w:t>Utskottet ansåg att förslaget inte strider mot s</w:t>
            </w:r>
            <w:r w:rsidRPr="00621FF0">
              <w:rPr>
                <w:color w:val="000000"/>
                <w:szCs w:val="24"/>
              </w:rPr>
              <w:t>ubsidiaritets</w:t>
            </w:r>
            <w:r>
              <w:rPr>
                <w:color w:val="000000"/>
                <w:szCs w:val="24"/>
              </w:rPr>
              <w:t xml:space="preserve">principen. </w:t>
            </w:r>
          </w:p>
          <w:p w:rsidR="00717F37" w:rsidRPr="00305C38" w:rsidRDefault="00717F37" w:rsidP="00837476">
            <w:pPr>
              <w:outlineLvl w:val="0"/>
              <w:rPr>
                <w:color w:val="000000"/>
                <w:szCs w:val="24"/>
              </w:rPr>
            </w:pPr>
          </w:p>
        </w:tc>
      </w:tr>
      <w:tr w:rsidR="00717F37" w:rsidTr="00EA0E0E">
        <w:tc>
          <w:tcPr>
            <w:tcW w:w="567" w:type="dxa"/>
          </w:tcPr>
          <w:p w:rsidR="00717F37" w:rsidRDefault="00717F37" w:rsidP="00717F37">
            <w:pPr>
              <w:tabs>
                <w:tab w:val="left" w:pos="1701"/>
              </w:tabs>
              <w:rPr>
                <w:b/>
                <w:snapToGrid w:val="0"/>
              </w:rPr>
            </w:pPr>
            <w:r>
              <w:rPr>
                <w:b/>
                <w:snapToGrid w:val="0"/>
              </w:rPr>
              <w:t xml:space="preserve">§ </w:t>
            </w:r>
            <w:r w:rsidR="00E24297">
              <w:rPr>
                <w:b/>
                <w:snapToGrid w:val="0"/>
              </w:rPr>
              <w:t>7</w:t>
            </w:r>
          </w:p>
          <w:p w:rsidR="00717F37" w:rsidRDefault="00717F37" w:rsidP="00717F37">
            <w:pPr>
              <w:tabs>
                <w:tab w:val="left" w:pos="1701"/>
              </w:tabs>
              <w:rPr>
                <w:b/>
                <w:snapToGrid w:val="0"/>
              </w:rPr>
            </w:pPr>
          </w:p>
        </w:tc>
        <w:tc>
          <w:tcPr>
            <w:tcW w:w="7727" w:type="dxa"/>
          </w:tcPr>
          <w:p w:rsidR="00621FF0" w:rsidRDefault="00621FF0" w:rsidP="00621FF0">
            <w:pPr>
              <w:autoSpaceDE w:val="0"/>
              <w:autoSpaceDN w:val="0"/>
              <w:adjustRightInd w:val="0"/>
              <w:rPr>
                <w:rFonts w:eastAsiaTheme="minorHAnsi"/>
                <w:b/>
                <w:bCs/>
                <w:color w:val="000000"/>
                <w:szCs w:val="24"/>
                <w:lang w:eastAsia="en-US"/>
              </w:rPr>
            </w:pPr>
            <w:r>
              <w:rPr>
                <w:rFonts w:eastAsiaTheme="minorHAnsi"/>
                <w:b/>
                <w:bCs/>
                <w:color w:val="000000"/>
                <w:szCs w:val="24"/>
                <w:lang w:eastAsia="en-US"/>
              </w:rPr>
              <w:t>Pandemilag</w:t>
            </w:r>
          </w:p>
          <w:p w:rsidR="00457EA5" w:rsidRDefault="00457EA5" w:rsidP="00457EA5">
            <w:pPr>
              <w:autoSpaceDE w:val="0"/>
              <w:autoSpaceDN w:val="0"/>
              <w:adjustRightInd w:val="0"/>
              <w:rPr>
                <w:rFonts w:eastAsiaTheme="minorHAnsi"/>
                <w:color w:val="000000"/>
                <w:szCs w:val="24"/>
                <w:lang w:eastAsia="en-US"/>
              </w:rPr>
            </w:pPr>
            <w:r>
              <w:rPr>
                <w:rFonts w:eastAsiaTheme="minorHAnsi"/>
                <w:color w:val="000000"/>
                <w:szCs w:val="24"/>
                <w:lang w:eastAsia="en-US"/>
              </w:rPr>
              <w:t>Utskottet behandlade fråga</w:t>
            </w:r>
            <w:r w:rsidR="00E24297">
              <w:rPr>
                <w:rFonts w:eastAsiaTheme="minorHAnsi"/>
                <w:color w:val="000000"/>
                <w:szCs w:val="24"/>
                <w:lang w:eastAsia="en-US"/>
              </w:rPr>
              <w:t>n</w:t>
            </w:r>
            <w:r>
              <w:rPr>
                <w:rFonts w:eastAsiaTheme="minorHAnsi"/>
                <w:color w:val="000000"/>
                <w:szCs w:val="24"/>
                <w:lang w:eastAsia="en-US"/>
              </w:rPr>
              <w:t xml:space="preserve"> om yttrande</w:t>
            </w:r>
            <w:r w:rsidR="00621FF0">
              <w:rPr>
                <w:rFonts w:eastAsiaTheme="minorHAnsi"/>
                <w:color w:val="000000"/>
                <w:szCs w:val="24"/>
                <w:lang w:eastAsia="en-US"/>
              </w:rPr>
              <w:t xml:space="preserve"> till socialutskottet om förslag till utskottsinitiativ</w:t>
            </w:r>
            <w:r>
              <w:rPr>
                <w:rFonts w:eastAsiaTheme="minorHAnsi"/>
                <w:color w:val="000000"/>
                <w:szCs w:val="24"/>
                <w:lang w:eastAsia="en-US"/>
              </w:rPr>
              <w:t xml:space="preserve">. </w:t>
            </w:r>
          </w:p>
          <w:p w:rsidR="00457EA5" w:rsidRDefault="00457EA5" w:rsidP="00457EA5">
            <w:pPr>
              <w:autoSpaceDE w:val="0"/>
              <w:autoSpaceDN w:val="0"/>
              <w:adjustRightInd w:val="0"/>
              <w:rPr>
                <w:rFonts w:eastAsiaTheme="minorHAnsi"/>
                <w:color w:val="000000"/>
                <w:szCs w:val="24"/>
                <w:lang w:eastAsia="en-US"/>
              </w:rPr>
            </w:pPr>
          </w:p>
          <w:p w:rsidR="00E24297" w:rsidRDefault="00457EA5" w:rsidP="00457EA5">
            <w:pPr>
              <w:autoSpaceDE w:val="0"/>
              <w:autoSpaceDN w:val="0"/>
              <w:adjustRightInd w:val="0"/>
              <w:rPr>
                <w:rFonts w:eastAsiaTheme="minorHAnsi"/>
                <w:color w:val="000000"/>
                <w:szCs w:val="24"/>
                <w:lang w:eastAsia="en-US"/>
              </w:rPr>
            </w:pPr>
            <w:r>
              <w:rPr>
                <w:rFonts w:eastAsiaTheme="minorHAnsi"/>
                <w:color w:val="000000"/>
                <w:szCs w:val="24"/>
                <w:lang w:eastAsia="en-US"/>
              </w:rPr>
              <w:t xml:space="preserve">Utskottet beslutade att inte yttra sig. </w:t>
            </w:r>
          </w:p>
          <w:p w:rsidR="00E24297" w:rsidRDefault="00E24297" w:rsidP="00457EA5">
            <w:pPr>
              <w:autoSpaceDE w:val="0"/>
              <w:autoSpaceDN w:val="0"/>
              <w:adjustRightInd w:val="0"/>
              <w:rPr>
                <w:rFonts w:eastAsiaTheme="minorHAnsi"/>
                <w:color w:val="000000"/>
                <w:szCs w:val="24"/>
                <w:lang w:eastAsia="en-US"/>
              </w:rPr>
            </w:pPr>
          </w:p>
          <w:p w:rsidR="00E24297" w:rsidRPr="00EA0E0E" w:rsidRDefault="00E24297" w:rsidP="00E24297">
            <w:pPr>
              <w:outlineLvl w:val="0"/>
            </w:pPr>
            <w:r w:rsidRPr="00EA0E0E">
              <w:t xml:space="preserve">Denna paragraf förklarades omedelbart justerad. </w:t>
            </w:r>
          </w:p>
          <w:p w:rsidR="00717F37" w:rsidRPr="00305C38" w:rsidRDefault="00717F37" w:rsidP="00457EA5">
            <w:pPr>
              <w:autoSpaceDE w:val="0"/>
              <w:autoSpaceDN w:val="0"/>
              <w:adjustRightInd w:val="0"/>
              <w:rPr>
                <w:color w:val="000000"/>
                <w:szCs w:val="24"/>
              </w:rPr>
            </w:pPr>
          </w:p>
        </w:tc>
      </w:tr>
      <w:tr w:rsidR="00D12ED4" w:rsidTr="00EA0E0E">
        <w:trPr>
          <w:trHeight w:val="707"/>
        </w:trPr>
        <w:tc>
          <w:tcPr>
            <w:tcW w:w="567" w:type="dxa"/>
          </w:tcPr>
          <w:p w:rsidR="00183CBA" w:rsidRDefault="00717F37" w:rsidP="00541406">
            <w:pPr>
              <w:tabs>
                <w:tab w:val="left" w:pos="1701"/>
              </w:tabs>
              <w:rPr>
                <w:b/>
                <w:snapToGrid w:val="0"/>
              </w:rPr>
            </w:pPr>
            <w:r>
              <w:rPr>
                <w:b/>
                <w:snapToGrid w:val="0"/>
              </w:rPr>
              <w:t xml:space="preserve">§ </w:t>
            </w:r>
            <w:r w:rsidR="00E24297">
              <w:rPr>
                <w:b/>
                <w:snapToGrid w:val="0"/>
              </w:rPr>
              <w:t>8</w:t>
            </w:r>
          </w:p>
        </w:tc>
        <w:tc>
          <w:tcPr>
            <w:tcW w:w="7727" w:type="dxa"/>
          </w:tcPr>
          <w:p w:rsidR="00EF57E7" w:rsidRDefault="00621FF0" w:rsidP="00D021DB">
            <w:pPr>
              <w:outlineLvl w:val="0"/>
              <w:rPr>
                <w:b/>
                <w:bCs/>
              </w:rPr>
            </w:pPr>
            <w:r w:rsidRPr="00621FF0">
              <w:rPr>
                <w:b/>
                <w:bCs/>
              </w:rPr>
              <w:t>Övrigt</w:t>
            </w:r>
          </w:p>
          <w:p w:rsidR="00E24297" w:rsidRDefault="00E24297" w:rsidP="00D021DB">
            <w:pPr>
              <w:outlineLvl w:val="0"/>
              <w:rPr>
                <w:bCs/>
              </w:rPr>
            </w:pPr>
            <w:r w:rsidRPr="00E24297">
              <w:rPr>
                <w:bCs/>
              </w:rPr>
              <w:t xml:space="preserve">KD- och </w:t>
            </w:r>
            <w:r>
              <w:rPr>
                <w:bCs/>
              </w:rPr>
              <w:t xml:space="preserve">M-ledamöterna anmälde </w:t>
            </w:r>
            <w:r w:rsidR="00D04D45">
              <w:rPr>
                <w:bCs/>
              </w:rPr>
              <w:t xml:space="preserve">var sina </w:t>
            </w:r>
            <w:r>
              <w:rPr>
                <w:bCs/>
              </w:rPr>
              <w:t xml:space="preserve">förslag till utskottsinitiativ. </w:t>
            </w:r>
          </w:p>
          <w:p w:rsidR="00E24297" w:rsidRDefault="00E24297" w:rsidP="00D021DB">
            <w:pPr>
              <w:outlineLvl w:val="0"/>
              <w:rPr>
                <w:bCs/>
              </w:rPr>
            </w:pPr>
            <w:r>
              <w:rPr>
                <w:bCs/>
              </w:rPr>
              <w:t xml:space="preserve">Förslagen bordlades. </w:t>
            </w:r>
          </w:p>
          <w:p w:rsidR="00837476" w:rsidRDefault="00837476" w:rsidP="00D021DB">
            <w:pPr>
              <w:outlineLvl w:val="0"/>
              <w:rPr>
                <w:bCs/>
              </w:rPr>
            </w:pPr>
          </w:p>
          <w:p w:rsidR="00837476" w:rsidRPr="00837476" w:rsidRDefault="00837476" w:rsidP="00837476">
            <w:pPr>
              <w:outlineLvl w:val="0"/>
              <w:rPr>
                <w:bCs/>
              </w:rPr>
            </w:pPr>
            <w:bookmarkStart w:id="0" w:name="_Hlk58947035"/>
            <w:r>
              <w:rPr>
                <w:bCs/>
              </w:rPr>
              <w:t>Eva Lind</w:t>
            </w:r>
            <w:r w:rsidR="004E3126">
              <w:rPr>
                <w:bCs/>
              </w:rPr>
              <w:t>h</w:t>
            </w:r>
            <w:r>
              <w:rPr>
                <w:bCs/>
              </w:rPr>
              <w:t xml:space="preserve"> (S) informerade om att </w:t>
            </w:r>
            <w:r>
              <w:t xml:space="preserve">finansutskottets forsknings- och framtidsgrupp </w:t>
            </w:r>
            <w:r>
              <w:rPr>
                <w:bCs/>
              </w:rPr>
              <w:t xml:space="preserve">föreslår att det utskottsspecifika temat för forsknings-förmiddagen den 8 april blir </w:t>
            </w:r>
            <w:r>
              <w:t>”Hur ska den framtida välfärden i kommuner och regioner finansieras?”.</w:t>
            </w:r>
          </w:p>
          <w:bookmarkEnd w:id="0"/>
          <w:p w:rsidR="00837476" w:rsidRPr="00E24297" w:rsidRDefault="00837476" w:rsidP="00D021DB">
            <w:pPr>
              <w:outlineLvl w:val="0"/>
              <w:rPr>
                <w:bCs/>
              </w:rPr>
            </w:pPr>
          </w:p>
        </w:tc>
      </w:tr>
      <w:tr w:rsidR="00CD7E8B" w:rsidTr="00EA0E0E">
        <w:trPr>
          <w:trHeight w:val="707"/>
        </w:trPr>
        <w:tc>
          <w:tcPr>
            <w:tcW w:w="567" w:type="dxa"/>
          </w:tcPr>
          <w:p w:rsidR="00CD7E8B" w:rsidRDefault="00CD7E8B" w:rsidP="000C726F">
            <w:pPr>
              <w:tabs>
                <w:tab w:val="left" w:pos="1701"/>
              </w:tabs>
              <w:rPr>
                <w:b/>
                <w:snapToGrid w:val="0"/>
              </w:rPr>
            </w:pPr>
            <w:r>
              <w:rPr>
                <w:b/>
                <w:snapToGrid w:val="0"/>
              </w:rPr>
              <w:lastRenderedPageBreak/>
              <w:t xml:space="preserve">§ </w:t>
            </w:r>
            <w:r w:rsidR="00E24297">
              <w:rPr>
                <w:b/>
                <w:snapToGrid w:val="0"/>
              </w:rPr>
              <w:t>9</w:t>
            </w:r>
          </w:p>
        </w:tc>
        <w:tc>
          <w:tcPr>
            <w:tcW w:w="7727" w:type="dxa"/>
          </w:tcPr>
          <w:p w:rsidR="00CD7E8B" w:rsidRDefault="00AD47F5" w:rsidP="00D021DB">
            <w:pPr>
              <w:outlineLvl w:val="0"/>
              <w:rPr>
                <w:b/>
                <w:bCs/>
              </w:rPr>
            </w:pPr>
            <w:r w:rsidRPr="00AD47F5">
              <w:rPr>
                <w:b/>
                <w:bCs/>
              </w:rPr>
              <w:t>Nästa sammanträde</w:t>
            </w:r>
          </w:p>
          <w:p w:rsidR="00E24297" w:rsidRPr="00E24297" w:rsidRDefault="00E24297" w:rsidP="00D021DB">
            <w:pPr>
              <w:outlineLvl w:val="0"/>
              <w:rPr>
                <w:bCs/>
              </w:rPr>
            </w:pPr>
            <w:r w:rsidRPr="00E24297">
              <w:rPr>
                <w:bCs/>
              </w:rPr>
              <w:t>Torsdag 17 december kl. 8.45</w:t>
            </w:r>
          </w:p>
        </w:tc>
      </w:tr>
      <w:tr w:rsidR="00D12ED4" w:rsidTr="00EA0E0E">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727" w:type="dxa"/>
          </w:tcPr>
          <w:p w:rsidR="00E24297" w:rsidRDefault="00E24297" w:rsidP="00C15B79">
            <w:pPr>
              <w:outlineLvl w:val="0"/>
              <w:rPr>
                <w:bCs/>
              </w:rPr>
            </w:pPr>
          </w:p>
          <w:p w:rsidR="00CD7E8B" w:rsidRPr="00CD7E8B" w:rsidRDefault="00CD7E8B" w:rsidP="00C15B79">
            <w:pPr>
              <w:outlineLvl w:val="0"/>
              <w:rPr>
                <w:bCs/>
              </w:rPr>
            </w:pPr>
            <w:bookmarkStart w:id="1" w:name="_GoBack"/>
            <w:bookmarkEnd w:id="1"/>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E24297" w:rsidP="00C15B79">
            <w:pPr>
              <w:outlineLvl w:val="0"/>
              <w:rPr>
                <w:bCs/>
              </w:rPr>
            </w:pPr>
            <w:r>
              <w:rPr>
                <w:bCs/>
              </w:rPr>
              <w:t>Åsa Westlund</w:t>
            </w:r>
          </w:p>
          <w:p w:rsidR="00CD7E8B" w:rsidRPr="00CD7E8B" w:rsidRDefault="00CD7E8B" w:rsidP="00C15B79">
            <w:pPr>
              <w:outlineLvl w:val="0"/>
              <w:rPr>
                <w:bCs/>
              </w:rPr>
            </w:pPr>
          </w:p>
          <w:p w:rsidR="00D12ED4" w:rsidRPr="00D12ED4" w:rsidRDefault="00D12ED4" w:rsidP="00C15B79">
            <w:pPr>
              <w:outlineLvl w:val="0"/>
              <w:rPr>
                <w:bCs/>
              </w:rPr>
            </w:pPr>
          </w:p>
        </w:tc>
      </w:tr>
      <w:tr w:rsidR="002C538C" w:rsidTr="00EA0E0E">
        <w:tc>
          <w:tcPr>
            <w:tcW w:w="8294"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457EA5">
        <w:rPr>
          <w:sz w:val="22"/>
          <w:szCs w:val="22"/>
        </w:rPr>
        <w:t>20</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403"/>
        <w:gridCol w:w="567"/>
        <w:gridCol w:w="284"/>
        <w:gridCol w:w="328"/>
        <w:gridCol w:w="395"/>
        <w:gridCol w:w="396"/>
        <w:gridCol w:w="395"/>
        <w:gridCol w:w="333"/>
      </w:tblGrid>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621FF0"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§2</w:t>
            </w:r>
          </w:p>
        </w:tc>
        <w:tc>
          <w:tcPr>
            <w:tcW w:w="970" w:type="dxa"/>
            <w:gridSpan w:val="2"/>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w:t>
            </w:r>
            <w:proofErr w:type="gramStart"/>
            <w:r>
              <w:rPr>
                <w:sz w:val="22"/>
                <w:szCs w:val="22"/>
              </w:rPr>
              <w:t>3</w:t>
            </w:r>
            <w:r w:rsidR="00457EA5">
              <w:rPr>
                <w:sz w:val="22"/>
                <w:szCs w:val="22"/>
              </w:rPr>
              <w:t>-</w:t>
            </w:r>
            <w:r w:rsidR="00E24297">
              <w:rPr>
                <w:sz w:val="22"/>
                <w:szCs w:val="22"/>
              </w:rPr>
              <w:t xml:space="preserve"> 9</w:t>
            </w:r>
            <w:proofErr w:type="gramEnd"/>
          </w:p>
        </w:tc>
        <w:tc>
          <w:tcPr>
            <w:tcW w:w="612"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X</w:t>
            </w: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21FF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E24297">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40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6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284"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2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E24297">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621FF0"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621FF0"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1F64CD" w:rsidRPr="000E151F" w:rsidRDefault="00621FF0" w:rsidP="006B55D9">
            <w:pPr>
              <w:rPr>
                <w:sz w:val="22"/>
                <w:szCs w:val="22"/>
              </w:rPr>
            </w:pPr>
            <w:r>
              <w:rPr>
                <w:sz w:val="22"/>
                <w:szCs w:val="22"/>
              </w:rPr>
              <w:t>X</w:t>
            </w:r>
          </w:p>
        </w:tc>
        <w:tc>
          <w:tcPr>
            <w:tcW w:w="56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E24297">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21FF0"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6F6AA0" w:rsidRPr="000E151F" w:rsidRDefault="00621FF0" w:rsidP="006B55D9">
            <w:pPr>
              <w:rPr>
                <w:sz w:val="22"/>
                <w:szCs w:val="22"/>
              </w:rPr>
            </w:pPr>
            <w:r>
              <w:rPr>
                <w:sz w:val="22"/>
                <w:szCs w:val="22"/>
              </w:rPr>
              <w:t>O</w:t>
            </w:r>
          </w:p>
        </w:tc>
        <w:tc>
          <w:tcPr>
            <w:tcW w:w="56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E24297">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 xml:space="preserve">Ilona Szatmari </w:t>
            </w:r>
            <w:proofErr w:type="gramStart"/>
            <w:r w:rsidRPr="00CB0940">
              <w:rPr>
                <w:snapToGrid w:val="0"/>
                <w:sz w:val="22"/>
                <w:szCs w:val="22"/>
              </w:rPr>
              <w:t>Waldau  (</w:t>
            </w:r>
            <w:proofErr w:type="gramEnd"/>
            <w:r w:rsidRPr="00CB0940">
              <w:rPr>
                <w:snapToGrid w:val="0"/>
                <w:sz w:val="22"/>
                <w:szCs w:val="22"/>
              </w:rPr>
              <w:t>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r w:rsidR="00E24297" w:rsidRPr="000E151F" w:rsidTr="004A336A">
        <w:tc>
          <w:tcPr>
            <w:tcW w:w="4395"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spacing w:line="360" w:lineRule="auto"/>
              <w:rPr>
                <w:b/>
                <w:szCs w:val="22"/>
              </w:rPr>
            </w:pPr>
          </w:p>
        </w:tc>
        <w:tc>
          <w:tcPr>
            <w:tcW w:w="488"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spacing w:line="360" w:lineRule="auto"/>
              <w:rPr>
                <w:sz w:val="22"/>
                <w:szCs w:val="22"/>
              </w:rPr>
            </w:pPr>
            <w:r>
              <w:rPr>
                <w:sz w:val="22"/>
                <w:szCs w:val="22"/>
              </w:rPr>
              <w:t>§1</w:t>
            </w:r>
          </w:p>
        </w:tc>
        <w:tc>
          <w:tcPr>
            <w:tcW w:w="507"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r>
              <w:rPr>
                <w:sz w:val="22"/>
                <w:szCs w:val="22"/>
              </w:rPr>
              <w:t>§2</w:t>
            </w:r>
          </w:p>
        </w:tc>
        <w:tc>
          <w:tcPr>
            <w:tcW w:w="396"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p>
        </w:tc>
        <w:tc>
          <w:tcPr>
            <w:tcW w:w="970" w:type="dxa"/>
            <w:gridSpan w:val="2"/>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r>
              <w:rPr>
                <w:sz w:val="22"/>
                <w:szCs w:val="22"/>
              </w:rPr>
              <w:t>§</w:t>
            </w:r>
            <w:proofErr w:type="gramStart"/>
            <w:r>
              <w:rPr>
                <w:sz w:val="22"/>
                <w:szCs w:val="22"/>
              </w:rPr>
              <w:t>3-9</w:t>
            </w:r>
            <w:proofErr w:type="gramEnd"/>
          </w:p>
        </w:tc>
        <w:tc>
          <w:tcPr>
            <w:tcW w:w="284"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pStyle w:val="Rubrik4"/>
              <w:rPr>
                <w:b w:val="0"/>
                <w:szCs w:val="22"/>
              </w:rPr>
            </w:pPr>
          </w:p>
        </w:tc>
        <w:tc>
          <w:tcPr>
            <w:tcW w:w="328"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spacing w:line="360" w:lineRule="auto"/>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E24297" w:rsidRPr="000E151F" w:rsidRDefault="00E24297" w:rsidP="00457EA5">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pacing w:val="4"/>
                <w:kern w:val="16"/>
                <w:sz w:val="22"/>
                <w:szCs w:val="22"/>
              </w:rPr>
            </w:pPr>
            <w:r w:rsidRPr="00457EA5">
              <w:rPr>
                <w:b/>
                <w:i/>
                <w:spacing w:val="4"/>
                <w:kern w:val="16"/>
                <w:sz w:val="22"/>
                <w:szCs w:val="22"/>
              </w:rPr>
              <w:t>Extra supple</w:t>
            </w:r>
            <w:r>
              <w:rPr>
                <w:b/>
                <w:i/>
                <w:spacing w:val="4"/>
                <w:kern w:val="16"/>
                <w:sz w:val="22"/>
                <w:szCs w:val="22"/>
              </w:rPr>
              <w:t>a</w:t>
            </w:r>
            <w:r w:rsidRPr="00457EA5">
              <w:rPr>
                <w:b/>
                <w:i/>
                <w:spacing w:val="4"/>
                <w:kern w:val="16"/>
                <w:sz w:val="22"/>
                <w:szCs w:val="22"/>
              </w:rPr>
              <w:t>nter</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N</w:t>
            </w: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V</w:t>
            </w: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N</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V</w:t>
            </w: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N</w:t>
            </w: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V</w:t>
            </w: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N</w:t>
            </w: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V</w:t>
            </w: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N</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V</w:t>
            </w: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N</w:t>
            </w: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457EA5">
            <w:pPr>
              <w:rPr>
                <w:sz w:val="22"/>
                <w:szCs w:val="22"/>
              </w:rPr>
            </w:pPr>
            <w:r w:rsidRPr="000E151F">
              <w:rPr>
                <w:sz w:val="22"/>
                <w:szCs w:val="22"/>
              </w:rPr>
              <w:t>V</w:t>
            </w: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Pr>
                <w:snapToGrid w:val="0"/>
                <w:sz w:val="22"/>
                <w:szCs w:val="22"/>
              </w:rPr>
              <w:t>Mats Nordberg (SD)</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Pr>
                <w:snapToGrid w:val="0"/>
                <w:sz w:val="22"/>
                <w:szCs w:val="22"/>
              </w:rPr>
              <w:t>Elin Segerlind (V)</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Isak From (S)</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Pr="00457EA5" w:rsidRDefault="00457EA5" w:rsidP="006B55D9">
            <w:pPr>
              <w:tabs>
                <w:tab w:val="left" w:pos="497"/>
              </w:tabs>
              <w:rPr>
                <w:snapToGrid w:val="0"/>
                <w:sz w:val="22"/>
                <w:szCs w:val="22"/>
              </w:rPr>
            </w:pPr>
            <w:r w:rsidRPr="00457EA5">
              <w:rPr>
                <w:snapToGrid w:val="0"/>
                <w:sz w:val="22"/>
                <w:szCs w:val="22"/>
              </w:rPr>
              <w:t>Jessica Rosencrantz</w:t>
            </w:r>
            <w:r>
              <w:rPr>
                <w:snapToGrid w:val="0"/>
                <w:sz w:val="22"/>
                <w:szCs w:val="22"/>
              </w:rPr>
              <w:t xml:space="preserve"> (M)</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John Widegren (MJU)</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Kjell-Arne Ottosson (KD)</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Kristina Yngwe (C)</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Pr="00457EA5" w:rsidRDefault="00457EA5" w:rsidP="006B55D9">
            <w:pPr>
              <w:tabs>
                <w:tab w:val="left" w:pos="497"/>
              </w:tabs>
              <w:rPr>
                <w:snapToGrid w:val="0"/>
                <w:sz w:val="22"/>
                <w:szCs w:val="22"/>
              </w:rPr>
            </w:pPr>
            <w:r w:rsidRPr="00457EA5">
              <w:rPr>
                <w:snapToGrid w:val="0"/>
                <w:sz w:val="22"/>
                <w:szCs w:val="22"/>
              </w:rPr>
              <w:t>Marlene Burwick (S)</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Pr="00457EA5" w:rsidRDefault="00457EA5" w:rsidP="006B55D9">
            <w:pPr>
              <w:tabs>
                <w:tab w:val="left" w:pos="497"/>
              </w:tabs>
              <w:rPr>
                <w:snapToGrid w:val="0"/>
                <w:sz w:val="22"/>
                <w:szCs w:val="22"/>
              </w:rPr>
            </w:pPr>
            <w:r w:rsidRPr="00457EA5">
              <w:rPr>
                <w:snapToGrid w:val="0"/>
                <w:sz w:val="22"/>
                <w:szCs w:val="22"/>
              </w:rPr>
              <w:t>Nina Lundström (L)</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Pr="00457EA5" w:rsidRDefault="00457EA5" w:rsidP="006B55D9">
            <w:pPr>
              <w:tabs>
                <w:tab w:val="left" w:pos="497"/>
              </w:tabs>
              <w:rPr>
                <w:snapToGrid w:val="0"/>
                <w:sz w:val="22"/>
                <w:szCs w:val="22"/>
              </w:rPr>
            </w:pPr>
            <w:r w:rsidRPr="00457EA5">
              <w:rPr>
                <w:snapToGrid w:val="0"/>
                <w:sz w:val="22"/>
                <w:szCs w:val="22"/>
              </w:rPr>
              <w:t xml:space="preserve">Peter Helander (C)  </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Pr="00457EA5" w:rsidRDefault="00457EA5" w:rsidP="006B55D9">
            <w:pPr>
              <w:tabs>
                <w:tab w:val="left" w:pos="497"/>
              </w:tabs>
              <w:rPr>
                <w:snapToGrid w:val="0"/>
                <w:sz w:val="22"/>
                <w:szCs w:val="22"/>
              </w:rPr>
            </w:pPr>
            <w:r w:rsidRPr="00457EA5">
              <w:rPr>
                <w:snapToGrid w:val="0"/>
                <w:sz w:val="22"/>
                <w:szCs w:val="22"/>
              </w:rPr>
              <w:t>Ulrika Heie (C)</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Pr="00457EA5" w:rsidRDefault="00457EA5" w:rsidP="006B55D9">
            <w:pPr>
              <w:tabs>
                <w:tab w:val="left" w:pos="497"/>
              </w:tabs>
              <w:rPr>
                <w:snapToGrid w:val="0"/>
                <w:sz w:val="22"/>
                <w:szCs w:val="22"/>
              </w:rPr>
            </w:pPr>
            <w:r w:rsidRPr="00457EA5">
              <w:rPr>
                <w:snapToGrid w:val="0"/>
                <w:sz w:val="22"/>
                <w:szCs w:val="22"/>
              </w:rPr>
              <w:t>Yasmine Eriksson (SD)</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Magnus Oscarsson (KD)</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Malin Larsson (S)</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Maria Gardfjell (MP)</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r w:rsidR="00457EA5" w:rsidRPr="000E151F" w:rsidTr="00E24297">
        <w:tc>
          <w:tcPr>
            <w:tcW w:w="4395" w:type="dxa"/>
            <w:tcBorders>
              <w:top w:val="single" w:sz="4" w:space="0" w:color="auto"/>
              <w:left w:val="single" w:sz="4" w:space="0" w:color="auto"/>
              <w:bottom w:val="single" w:sz="4" w:space="0" w:color="auto"/>
              <w:right w:val="single" w:sz="4" w:space="0" w:color="auto"/>
            </w:tcBorders>
          </w:tcPr>
          <w:p w:rsidR="00457EA5" w:rsidRDefault="00457EA5" w:rsidP="006B55D9">
            <w:pPr>
              <w:tabs>
                <w:tab w:val="left" w:pos="497"/>
              </w:tabs>
              <w:rPr>
                <w:snapToGrid w:val="0"/>
                <w:sz w:val="22"/>
                <w:szCs w:val="22"/>
              </w:rPr>
            </w:pPr>
            <w:r w:rsidRPr="00457EA5">
              <w:rPr>
                <w:snapToGrid w:val="0"/>
                <w:sz w:val="22"/>
                <w:szCs w:val="22"/>
              </w:rPr>
              <w:t>Markus Selin (S)</w:t>
            </w:r>
          </w:p>
        </w:tc>
        <w:tc>
          <w:tcPr>
            <w:tcW w:w="48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40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284"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28"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457EA5" w:rsidRPr="000E151F" w:rsidRDefault="00457EA5"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2"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EFD9A1"/>
    <w:multiLevelType w:val="hybridMultilevel"/>
    <w:tmpl w:val="7B2A79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C264A6"/>
    <w:multiLevelType w:val="hybridMultilevel"/>
    <w:tmpl w:val="D3B416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E9965B"/>
    <w:multiLevelType w:val="hybridMultilevel"/>
    <w:tmpl w:val="ED9CB5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3B8419B"/>
    <w:multiLevelType w:val="hybridMultilevel"/>
    <w:tmpl w:val="4D7537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4E3C59"/>
    <w:multiLevelType w:val="hybridMultilevel"/>
    <w:tmpl w:val="18C387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1B316949"/>
    <w:multiLevelType w:val="hybridMultilevel"/>
    <w:tmpl w:val="A5FC6892"/>
    <w:lvl w:ilvl="0" w:tplc="28303E4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29308F9"/>
    <w:multiLevelType w:val="hybridMultilevel"/>
    <w:tmpl w:val="D9DC4CAA"/>
    <w:lvl w:ilvl="0" w:tplc="28303E4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13222D"/>
    <w:multiLevelType w:val="hybridMultilevel"/>
    <w:tmpl w:val="A402933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15" w15:restartNumberingAfterBreak="0">
    <w:nsid w:val="335E47BA"/>
    <w:multiLevelType w:val="hybridMultilevel"/>
    <w:tmpl w:val="5D40CC88"/>
    <w:lvl w:ilvl="0" w:tplc="28303E4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9929EC"/>
    <w:multiLevelType w:val="hybridMultilevel"/>
    <w:tmpl w:val="F175F6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E86721"/>
    <w:multiLevelType w:val="hybridMultilevel"/>
    <w:tmpl w:val="59045CA4"/>
    <w:lvl w:ilvl="0" w:tplc="28303E4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D42503"/>
    <w:multiLevelType w:val="hybridMultilevel"/>
    <w:tmpl w:val="2E027336"/>
    <w:lvl w:ilvl="0" w:tplc="28303E4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BE5595"/>
    <w:multiLevelType w:val="hybridMultilevel"/>
    <w:tmpl w:val="6AD5D3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260AC5"/>
    <w:multiLevelType w:val="hybridMultilevel"/>
    <w:tmpl w:val="AF60654C"/>
    <w:lvl w:ilvl="0" w:tplc="28303E4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F15AA8"/>
    <w:multiLevelType w:val="hybridMultilevel"/>
    <w:tmpl w:val="5558768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8BD7002"/>
    <w:multiLevelType w:val="hybridMultilevel"/>
    <w:tmpl w:val="97E2466A"/>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6A0D3DAA"/>
    <w:multiLevelType w:val="hybridMultilevel"/>
    <w:tmpl w:val="48BE15C0"/>
    <w:lvl w:ilvl="0" w:tplc="041D000F">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36409FA"/>
    <w:multiLevelType w:val="hybridMultilevel"/>
    <w:tmpl w:val="FEC211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4"/>
  </w:num>
  <w:num w:numId="4">
    <w:abstractNumId w:val="8"/>
  </w:num>
  <w:num w:numId="5">
    <w:abstractNumId w:val="26"/>
  </w:num>
  <w:num w:numId="6">
    <w:abstractNumId w:val="5"/>
  </w:num>
  <w:num w:numId="7">
    <w:abstractNumId w:val="18"/>
  </w:num>
  <w:num w:numId="8">
    <w:abstractNumId w:val="9"/>
  </w:num>
  <w:num w:numId="9">
    <w:abstractNumId w:val="11"/>
  </w:num>
  <w:num w:numId="10">
    <w:abstractNumId w:val="7"/>
  </w:num>
  <w:num w:numId="11">
    <w:abstractNumId w:val="1"/>
  </w:num>
  <w:num w:numId="12">
    <w:abstractNumId w:val="0"/>
  </w:num>
  <w:num w:numId="13">
    <w:abstractNumId w:val="2"/>
  </w:num>
  <w:num w:numId="14">
    <w:abstractNumId w:val="20"/>
  </w:num>
  <w:num w:numId="15">
    <w:abstractNumId w:val="16"/>
  </w:num>
  <w:num w:numId="16">
    <w:abstractNumId w:val="25"/>
  </w:num>
  <w:num w:numId="17">
    <w:abstractNumId w:val="21"/>
  </w:num>
  <w:num w:numId="18">
    <w:abstractNumId w:val="19"/>
  </w:num>
  <w:num w:numId="19">
    <w:abstractNumId w:val="15"/>
  </w:num>
  <w:num w:numId="20">
    <w:abstractNumId w:val="12"/>
  </w:num>
  <w:num w:numId="21">
    <w:abstractNumId w:val="17"/>
  </w:num>
  <w:num w:numId="22">
    <w:abstractNumId w:val="10"/>
  </w:num>
  <w:num w:numId="23">
    <w:abstractNumId w:val="23"/>
  </w:num>
  <w:num w:numId="24">
    <w:abstractNumId w:val="22"/>
  </w:num>
  <w:num w:numId="25">
    <w:abstractNumId w:val="24"/>
  </w:num>
  <w:num w:numId="26">
    <w:abstractNumId w:val="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57EA5"/>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E3126"/>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69AD"/>
    <w:rsid w:val="0057774D"/>
    <w:rsid w:val="00577C45"/>
    <w:rsid w:val="00580536"/>
    <w:rsid w:val="00583B96"/>
    <w:rsid w:val="005865B5"/>
    <w:rsid w:val="005874E8"/>
    <w:rsid w:val="005956B3"/>
    <w:rsid w:val="005A0175"/>
    <w:rsid w:val="005A5091"/>
    <w:rsid w:val="005B498F"/>
    <w:rsid w:val="005C1541"/>
    <w:rsid w:val="005C61EB"/>
    <w:rsid w:val="005E28B9"/>
    <w:rsid w:val="005E2FA7"/>
    <w:rsid w:val="005E439C"/>
    <w:rsid w:val="00621FF0"/>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13DE"/>
    <w:rsid w:val="007055E3"/>
    <w:rsid w:val="00717F37"/>
    <w:rsid w:val="00723D66"/>
    <w:rsid w:val="007243F5"/>
    <w:rsid w:val="007254F2"/>
    <w:rsid w:val="00743A44"/>
    <w:rsid w:val="00750FF0"/>
    <w:rsid w:val="00751AFD"/>
    <w:rsid w:val="00755F03"/>
    <w:rsid w:val="00761D68"/>
    <w:rsid w:val="00767BDA"/>
    <w:rsid w:val="00774482"/>
    <w:rsid w:val="00775063"/>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476"/>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54390"/>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171C5"/>
    <w:rsid w:val="00A25498"/>
    <w:rsid w:val="00A257B8"/>
    <w:rsid w:val="00A401A5"/>
    <w:rsid w:val="00A40A44"/>
    <w:rsid w:val="00A46556"/>
    <w:rsid w:val="00A56278"/>
    <w:rsid w:val="00A63190"/>
    <w:rsid w:val="00A640B1"/>
    <w:rsid w:val="00A67C77"/>
    <w:rsid w:val="00A744C3"/>
    <w:rsid w:val="00A75B9F"/>
    <w:rsid w:val="00AA0DFB"/>
    <w:rsid w:val="00AA2873"/>
    <w:rsid w:val="00AC283D"/>
    <w:rsid w:val="00AD0133"/>
    <w:rsid w:val="00AD47F5"/>
    <w:rsid w:val="00AE5BBD"/>
    <w:rsid w:val="00AF3CA6"/>
    <w:rsid w:val="00B01292"/>
    <w:rsid w:val="00B054F1"/>
    <w:rsid w:val="00B36495"/>
    <w:rsid w:val="00B44E5B"/>
    <w:rsid w:val="00B523F7"/>
    <w:rsid w:val="00B54410"/>
    <w:rsid w:val="00B547D0"/>
    <w:rsid w:val="00B548B7"/>
    <w:rsid w:val="00B55F04"/>
    <w:rsid w:val="00B61262"/>
    <w:rsid w:val="00B838C7"/>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105F"/>
    <w:rsid w:val="00C63961"/>
    <w:rsid w:val="00C64E6C"/>
    <w:rsid w:val="00C667D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04D45"/>
    <w:rsid w:val="00D12ED4"/>
    <w:rsid w:val="00D20E5C"/>
    <w:rsid w:val="00D21638"/>
    <w:rsid w:val="00D31100"/>
    <w:rsid w:val="00D34D00"/>
    <w:rsid w:val="00D37D24"/>
    <w:rsid w:val="00D4656A"/>
    <w:rsid w:val="00D46648"/>
    <w:rsid w:val="00D470BA"/>
    <w:rsid w:val="00D518B5"/>
    <w:rsid w:val="00D66104"/>
    <w:rsid w:val="00D84F88"/>
    <w:rsid w:val="00DA30F0"/>
    <w:rsid w:val="00DB1740"/>
    <w:rsid w:val="00DB1AB2"/>
    <w:rsid w:val="00DE54FF"/>
    <w:rsid w:val="00DF06AE"/>
    <w:rsid w:val="00E0219D"/>
    <w:rsid w:val="00E12150"/>
    <w:rsid w:val="00E15BE8"/>
    <w:rsid w:val="00E2015B"/>
    <w:rsid w:val="00E24297"/>
    <w:rsid w:val="00E264E7"/>
    <w:rsid w:val="00E27E50"/>
    <w:rsid w:val="00E43F8A"/>
    <w:rsid w:val="00E443F3"/>
    <w:rsid w:val="00E653E8"/>
    <w:rsid w:val="00E67EBA"/>
    <w:rsid w:val="00E833F2"/>
    <w:rsid w:val="00E872C8"/>
    <w:rsid w:val="00E916EA"/>
    <w:rsid w:val="00E950E4"/>
    <w:rsid w:val="00E97AED"/>
    <w:rsid w:val="00EA0E0E"/>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Olstomnmnande">
    <w:name w:val="Unresolved Mention"/>
    <w:basedOn w:val="Standardstycketeckensnitt"/>
    <w:uiPriority w:val="99"/>
    <w:semiHidden/>
    <w:unhideWhenUsed/>
    <w:rsid w:val="0062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695429">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7C5B-8181-4C44-926D-0EDF22ED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1285</Words>
  <Characters>8490</Characters>
  <Application>Microsoft Office Word</Application>
  <DocSecurity>0</DocSecurity>
  <Lines>1415</Lines>
  <Paragraphs>305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19</cp:revision>
  <cp:lastPrinted>2018-10-02T11:13:00Z</cp:lastPrinted>
  <dcterms:created xsi:type="dcterms:W3CDTF">2020-12-15T14:39:00Z</dcterms:created>
  <dcterms:modified xsi:type="dcterms:W3CDTF">2020-12-29T11:02:00Z</dcterms:modified>
</cp:coreProperties>
</file>