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B034E">
        <w:tblPrEx>
          <w:tblCellMar>
            <w:top w:w="0" w:type="dxa"/>
            <w:left w:w="0" w:type="dxa"/>
            <w:bottom w:w="0" w:type="dxa"/>
            <w:right w:w="0" w:type="dxa"/>
          </w:tblCellMar>
        </w:tblPrEx>
        <w:trPr>
          <w:gridAfter w:val="2"/>
          <w:wAfter w:w="1758" w:type="dxa"/>
          <w:cantSplit/>
          <w:trHeight w:val="1320"/>
        </w:trPr>
        <w:tc>
          <w:tcPr>
            <w:tcW w:w="5897" w:type="dxa"/>
          </w:tcPr>
          <w:p w:rsidR="00BE40D6" w:rsidRPr="009B034E" w:rsidRDefault="00BE40D6">
            <w:pPr>
              <w:pStyle w:val="HuvudRubrik"/>
            </w:pPr>
            <w:r w:rsidRPr="009B034E">
              <w:t>Regeringskansliet</w:t>
            </w:r>
          </w:p>
          <w:p w:rsidR="00BE40D6" w:rsidRPr="009B034E" w:rsidRDefault="00BE40D6">
            <w:pPr>
              <w:pStyle w:val="HuvudRubrik"/>
            </w:pPr>
            <w:r w:rsidRPr="009B034E">
              <w:t>Faktapromemoria  2010/11:FPM76</w:t>
            </w:r>
          </w:p>
        </w:tc>
      </w:tr>
      <w:tr w:rsidR="00000000" w:rsidRPr="009B034E">
        <w:tblPrEx>
          <w:tblCellMar>
            <w:top w:w="0" w:type="dxa"/>
            <w:left w:w="0" w:type="dxa"/>
            <w:bottom w:w="0" w:type="dxa"/>
            <w:right w:w="0" w:type="dxa"/>
          </w:tblCellMar>
        </w:tblPrEx>
        <w:trPr>
          <w:gridAfter w:val="2"/>
          <w:wAfter w:w="1758" w:type="dxa"/>
          <w:cantSplit/>
          <w:trHeight w:val="240"/>
        </w:trPr>
        <w:tc>
          <w:tcPr>
            <w:tcW w:w="5897" w:type="dxa"/>
          </w:tcPr>
          <w:p w:rsidR="00BE40D6" w:rsidRPr="009B034E" w:rsidRDefault="00BE40D6">
            <w:pPr>
              <w:pStyle w:val="HuvudRubrik"/>
              <w:rPr>
                <w:sz w:val="28"/>
              </w:rPr>
            </w:pPr>
            <w:r w:rsidRPr="009B034E">
              <w:t>Omnibus2-direktivet</w:t>
            </w:r>
          </w:p>
        </w:tc>
      </w:tr>
      <w:tr w:rsidR="00000000" w:rsidRPr="009B034E">
        <w:tblPrEx>
          <w:tblCellMar>
            <w:top w:w="0" w:type="dxa"/>
            <w:left w:w="0" w:type="dxa"/>
            <w:bottom w:w="0" w:type="dxa"/>
            <w:right w:w="0" w:type="dxa"/>
          </w:tblCellMar>
        </w:tblPrEx>
        <w:trPr>
          <w:cantSplit/>
          <w:trHeight w:val="285"/>
        </w:trPr>
        <w:tc>
          <w:tcPr>
            <w:tcW w:w="7655" w:type="dxa"/>
            <w:gridSpan w:val="3"/>
          </w:tcPr>
          <w:p w:rsidR="00BE40D6" w:rsidRPr="009B034E" w:rsidRDefault="00BE40D6">
            <w:pPr>
              <w:pStyle w:val="Departement"/>
              <w:rPr>
                <w:sz w:val="28"/>
              </w:rPr>
            </w:pPr>
            <w:r w:rsidRPr="009B034E">
              <w:t>Finansdepartementet</w:t>
            </w:r>
          </w:p>
        </w:tc>
      </w:tr>
      <w:tr w:rsidR="00000000" w:rsidRPr="009B034E">
        <w:tblPrEx>
          <w:tblCellMar>
            <w:top w:w="0" w:type="dxa"/>
            <w:left w:w="0" w:type="dxa"/>
            <w:bottom w:w="0" w:type="dxa"/>
            <w:right w:w="0" w:type="dxa"/>
          </w:tblCellMar>
        </w:tblPrEx>
        <w:trPr>
          <w:cantSplit/>
          <w:trHeight w:val="240"/>
        </w:trPr>
        <w:tc>
          <w:tcPr>
            <w:tcW w:w="7655" w:type="dxa"/>
            <w:gridSpan w:val="3"/>
          </w:tcPr>
          <w:p w:rsidR="00BE40D6" w:rsidRPr="009B034E" w:rsidRDefault="00BE40D6">
            <w:pPr>
              <w:pStyle w:val="Dokumentdatum"/>
            </w:pPr>
            <w:r w:rsidRPr="009B034E">
              <w:t>2011-02-25</w:t>
            </w:r>
          </w:p>
        </w:tc>
      </w:tr>
      <w:tr w:rsidR="00000000" w:rsidRPr="009B034E">
        <w:tblPrEx>
          <w:tblCellMar>
            <w:top w:w="0" w:type="dxa"/>
            <w:left w:w="0" w:type="dxa"/>
            <w:bottom w:w="0" w:type="dxa"/>
            <w:right w:w="0" w:type="dxa"/>
          </w:tblCellMar>
        </w:tblPrEx>
        <w:trPr>
          <w:cantSplit/>
          <w:trHeight w:val="726"/>
        </w:trPr>
        <w:tc>
          <w:tcPr>
            <w:tcW w:w="7655" w:type="dxa"/>
            <w:gridSpan w:val="3"/>
            <w:vAlign w:val="bottom"/>
          </w:tcPr>
          <w:p w:rsidR="00BE40D6" w:rsidRPr="009B034E" w:rsidRDefault="00BE40D6">
            <w:pPr>
              <w:pStyle w:val="Dokumentbeteckning"/>
            </w:pPr>
            <w:r w:rsidRPr="009B034E">
              <w:t>Dokumentbeteckning</w:t>
            </w:r>
          </w:p>
        </w:tc>
      </w:tr>
      <w:tr w:rsidR="00000000" w:rsidRPr="009B034E">
        <w:tblPrEx>
          <w:tblCellMar>
            <w:top w:w="0" w:type="dxa"/>
            <w:left w:w="0" w:type="dxa"/>
            <w:bottom w:w="0" w:type="dxa"/>
            <w:right w:w="0" w:type="dxa"/>
          </w:tblCellMar>
        </w:tblPrEx>
        <w:trPr>
          <w:gridAfter w:val="1"/>
          <w:wAfter w:w="1560" w:type="dxa"/>
          <w:trHeight w:val="120"/>
        </w:trPr>
        <w:tc>
          <w:tcPr>
            <w:tcW w:w="6095" w:type="dxa"/>
            <w:gridSpan w:val="2"/>
          </w:tcPr>
          <w:p w:rsidR="00BE40D6" w:rsidRPr="009B034E" w:rsidRDefault="00BE40D6">
            <w:bookmarkStart w:id="0" w:name="KomNr"/>
            <w:bookmarkEnd w:id="0"/>
            <w:r w:rsidRPr="009B034E">
              <w:t>KOM(2011) 8 slutlig</w:t>
            </w:r>
          </w:p>
        </w:tc>
      </w:tr>
      <w:tr w:rsidR="00000000" w:rsidRPr="009B034E">
        <w:tblPrEx>
          <w:tblCellMar>
            <w:top w:w="0" w:type="dxa"/>
            <w:left w:w="0" w:type="dxa"/>
            <w:bottom w:w="0" w:type="dxa"/>
            <w:right w:w="0" w:type="dxa"/>
          </w:tblCellMar>
        </w:tblPrEx>
        <w:trPr>
          <w:gridAfter w:val="1"/>
          <w:wAfter w:w="1560" w:type="dxa"/>
          <w:trHeight w:val="120"/>
        </w:trPr>
        <w:tc>
          <w:tcPr>
            <w:tcW w:w="6095" w:type="dxa"/>
            <w:gridSpan w:val="2"/>
          </w:tcPr>
          <w:p w:rsidR="00BE40D6" w:rsidRPr="009B034E" w:rsidRDefault="00BE40D6">
            <w:pPr>
              <w:pStyle w:val="Dokumentbeteckning-titel"/>
            </w:pPr>
            <w:r w:rsidRPr="009B034E">
              <w:t>Förslag till Europaparlamentets och rådets direktiv om ändring av direktiv 2003/71/EG och 2009/138/EG med avseende på befogenheterna för Europe-iska försäkrings- och tjänstepensionsmyndigheten och Europeiska värdepap-pers- och marknadsmyndigheten.</w:t>
            </w:r>
          </w:p>
        </w:tc>
      </w:tr>
    </w:tbl>
    <w:p w:rsidR="00BE40D6" w:rsidRPr="009B034E" w:rsidRDefault="00BE40D6"/>
    <w:p w:rsidR="00BE40D6" w:rsidRPr="009B034E" w:rsidRDefault="00BE40D6">
      <w:pPr>
        <w:pStyle w:val="Rubrik1"/>
        <w:numPr>
          <w:ilvl w:val="0"/>
          <w:numId w:val="0"/>
        </w:numPr>
      </w:pPr>
      <w:r w:rsidRPr="009B034E">
        <w:t>Sammanfattning</w:t>
      </w:r>
    </w:p>
    <w:p w:rsidR="00BE40D6" w:rsidRPr="009B034E" w:rsidRDefault="00BE40D6">
      <w:r w:rsidRPr="009B034E">
        <w:t>Kommissionen föreslår en rad ändringar i prospekt-direktivet och Solvens 2-direktivet. Ändringarna är en konsekvens bl.a. av att en europeisk försä</w:t>
      </w:r>
      <w:r w:rsidRPr="009B034E">
        <w:t>k</w:t>
      </w:r>
      <w:r w:rsidRPr="009B034E">
        <w:t>rings- och tjänstepensionsmyndighet (EIOPA) och en europeiska värdepa</w:t>
      </w:r>
      <w:r w:rsidRPr="009B034E">
        <w:t>p</w:t>
      </w:r>
      <w:r w:rsidRPr="009B034E">
        <w:t>pers- och marknadsmyndighet (ESMA) inrättats.</w:t>
      </w:r>
      <w:r w:rsidRPr="009B034E">
        <w:rPr>
          <w:rStyle w:val="Fotnotsreferens"/>
        </w:rPr>
        <w:footnoteReference w:id="1"/>
      </w:r>
      <w:r w:rsidRPr="009B034E">
        <w:t xml:space="preserve"> När det gäller de föresla</w:t>
      </w:r>
      <w:r w:rsidRPr="009B034E">
        <w:t>g</w:t>
      </w:r>
      <w:r w:rsidRPr="009B034E">
        <w:t>na ändringarna i Solvens 2-direktivet är ändringarna även en kons</w:t>
      </w:r>
      <w:r w:rsidRPr="009B034E">
        <w:t>e</w:t>
      </w:r>
      <w:r w:rsidRPr="009B034E">
        <w:t xml:space="preserve">kvens av det nya Lissabonfördraget (s.k. Lissabonifiering). </w:t>
      </w:r>
    </w:p>
    <w:p w:rsidR="00BE40D6" w:rsidRPr="009B034E" w:rsidRDefault="00BE40D6">
      <w:r w:rsidRPr="009B034E">
        <w:t>De föreslagna ändringarna i prospekt-direktivet avser i huvu</w:t>
      </w:r>
      <w:r w:rsidRPr="009B034E">
        <w:t>d</w:t>
      </w:r>
      <w:r w:rsidRPr="009B034E">
        <w:t>sak att definiera lämplig räckvidd för tekniska standarder och lämpliga kanaler för inform</w:t>
      </w:r>
      <w:r w:rsidRPr="009B034E">
        <w:t>a</w:t>
      </w:r>
      <w:r w:rsidRPr="009B034E">
        <w:t xml:space="preserve">tionsutbyte. </w:t>
      </w:r>
    </w:p>
    <w:p w:rsidR="00BE40D6" w:rsidRPr="009B034E" w:rsidRDefault="00BE40D6">
      <w:r w:rsidRPr="009B034E">
        <w:t>I Solvens 2-direktivet föreslås mer omfattande ändringar. U</w:t>
      </w:r>
      <w:r w:rsidRPr="009B034E">
        <w:t>t</w:t>
      </w:r>
      <w:r w:rsidRPr="009B034E">
        <w:t>över de ovan nämnda ändringarna – som avser bestämmelser avseende de områden där kommissionen ges befogenheter att meddela tekniska standarder och lämpl</w:t>
      </w:r>
      <w:r w:rsidRPr="009B034E">
        <w:t>i</w:t>
      </w:r>
      <w:r w:rsidRPr="009B034E">
        <w:t>ga kanaler för informationsutbyte – föreslås bestämmelser om tvistelösning mellan de nationella tillsynsmyndigheterna. Vidare föreslås bl.a. möjligheter för kommi</w:t>
      </w:r>
      <w:r w:rsidRPr="009B034E">
        <w:t>s</w:t>
      </w:r>
      <w:r w:rsidRPr="009B034E">
        <w:t>sionen att meddela övergångsbestämmelser på nivå 2 och att datumet för ikraftträdandet av Solvens 2-direktivet ska skjutas fram två m</w:t>
      </w:r>
      <w:r w:rsidRPr="009B034E">
        <w:t>å</w:t>
      </w:r>
      <w:r w:rsidRPr="009B034E">
        <w:t>nader från den 31 oktober till den 31 d</w:t>
      </w:r>
      <w:r w:rsidRPr="009B034E">
        <w:t>e</w:t>
      </w:r>
      <w:r w:rsidRPr="009B034E">
        <w:t xml:space="preserve">cember 2012. </w:t>
      </w:r>
    </w:p>
    <w:p w:rsidR="00BE40D6" w:rsidRPr="009B034E" w:rsidRDefault="00BE40D6">
      <w:r w:rsidRPr="009B034E">
        <w:t>Regerin</w:t>
      </w:r>
      <w:r w:rsidRPr="009B034E">
        <w:t>gen välkomnar kommissionens förslag om att anpassa även de kva</w:t>
      </w:r>
      <w:r w:rsidRPr="009B034E">
        <w:t>r</w:t>
      </w:r>
      <w:r w:rsidRPr="009B034E">
        <w:t xml:space="preserve">stående sektorsdirektiven, prospekt-direktivet och Solvens 2-direktivet, till </w:t>
      </w:r>
      <w:r w:rsidRPr="009B034E">
        <w:lastRenderedPageBreak/>
        <w:t>Lissabonfördraget och till den nya tillsynsstrukturen. Regeringen uppskattar också kommissionens avsikt att effektivisera och underlätta tillsynssamarb</w:t>
      </w:r>
      <w:r w:rsidRPr="009B034E">
        <w:t>e</w:t>
      </w:r>
      <w:r w:rsidRPr="009B034E">
        <w:t>tet mellan medlemsstaterna. Vidare skapas förutsättningar för lika konku</w:t>
      </w:r>
      <w:r w:rsidRPr="009B034E">
        <w:t>r</w:t>
      </w:r>
      <w:r w:rsidRPr="009B034E">
        <w:t xml:space="preserve">rensvillkor för berörda aktörer på finansmarknaden genom att bindande tekniska standarder tas fram. </w:t>
      </w:r>
    </w:p>
    <w:p w:rsidR="00BE40D6" w:rsidRPr="009B034E" w:rsidRDefault="00BE40D6">
      <w:r w:rsidRPr="009B034E">
        <w:t>Regeringen har inga invändningar såvitt avser</w:t>
      </w:r>
      <w:r w:rsidRPr="009B034E">
        <w:t xml:space="preserve"> de ändringar som föreslås i prospekt-direktivet.</w:t>
      </w:r>
    </w:p>
    <w:p w:rsidR="00BE40D6" w:rsidRPr="009B034E" w:rsidRDefault="00BE40D6">
      <w:r w:rsidRPr="009B034E">
        <w:t>Avseende Solvens 2 anser regeringen dock att alltför långtgående öve</w:t>
      </w:r>
      <w:r w:rsidRPr="009B034E">
        <w:t>r</w:t>
      </w:r>
      <w:r w:rsidRPr="009B034E">
        <w:t>gångsbestämmelser kan innebära konkurrensproblem inom EU och försvåra tillämpningen av nya solvensregler för gränsöverskridande grupper. Rege</w:t>
      </w:r>
      <w:r w:rsidRPr="009B034E">
        <w:t>r</w:t>
      </w:r>
      <w:r w:rsidRPr="009B034E">
        <w:t>ingen stödjer därmed de medlemsstater som anser att de föreslagna maxim</w:t>
      </w:r>
      <w:r w:rsidRPr="009B034E">
        <w:t>i</w:t>
      </w:r>
      <w:r w:rsidRPr="009B034E">
        <w:t>tiderna för övergångsbestämmelserna bör förkortas. Eventuella övergångsb</w:t>
      </w:r>
      <w:r w:rsidRPr="009B034E">
        <w:t>e</w:t>
      </w:r>
      <w:r w:rsidRPr="009B034E">
        <w:t>stämmelser bör inte heller omfatta frågor om företagens styrning och ko</w:t>
      </w:r>
      <w:r w:rsidRPr="009B034E">
        <w:t>n</w:t>
      </w:r>
      <w:r w:rsidRPr="009B034E">
        <w:t>troll, s.k. governance-frågor. Regeringen är även positiv till förslaget att skjuta på ikraftträdandet av Solvens 2. Förslaget är ett steg i rätt rik</w:t>
      </w:r>
      <w:r w:rsidRPr="009B034E">
        <w:t>t</w:t>
      </w:r>
      <w:r w:rsidRPr="009B034E">
        <w:t>ni</w:t>
      </w:r>
      <w:r w:rsidRPr="009B034E">
        <w:t>ng då det är viktigt att medlemsstaterna ges tillräcklig tid för implement</w:t>
      </w:r>
      <w:r w:rsidRPr="009B034E">
        <w:t>e</w:t>
      </w:r>
      <w:r w:rsidRPr="009B034E">
        <w:t>ring. Det kan dock ifrågasättas om det är tillräckligt med två mån</w:t>
      </w:r>
      <w:r w:rsidRPr="009B034E">
        <w:t>a</w:t>
      </w:r>
      <w:r w:rsidRPr="009B034E">
        <w:t xml:space="preserve">der. </w:t>
      </w:r>
    </w:p>
    <w:p w:rsidR="00BE40D6" w:rsidRPr="009B034E" w:rsidRDefault="00BE40D6"/>
    <w:p w:rsidR="00BE40D6" w:rsidRPr="009B034E" w:rsidRDefault="00BE40D6">
      <w:pPr>
        <w:pStyle w:val="Rubrik1"/>
      </w:pPr>
      <w:r w:rsidRPr="009B034E">
        <w:t>Förslaget</w:t>
      </w:r>
    </w:p>
    <w:p w:rsidR="00BE40D6" w:rsidRPr="009B034E" w:rsidRDefault="00BE40D6">
      <w:pPr>
        <w:pStyle w:val="Rubrik2"/>
      </w:pPr>
      <w:r w:rsidRPr="009B034E">
        <w:t>Ärendets bakgrund</w:t>
      </w:r>
    </w:p>
    <w:p w:rsidR="00BE40D6" w:rsidRPr="009B034E" w:rsidRDefault="00BE40D6">
      <w:r w:rsidRPr="009B034E">
        <w:t>Den internationella finansiella kris som eskalerade under hösten 2008 påv</w:t>
      </w:r>
      <w:r w:rsidRPr="009B034E">
        <w:t>i</w:t>
      </w:r>
      <w:r w:rsidRPr="009B034E">
        <w:t>sade betydande brister i den finansiella tillsynen både vad gäller enskilda fall och vad gäller det finansiella systemet i sin helhet. Kommissionen tillsatte därför, i november 2008, en utredning som fick i uppdrag att analysera f</w:t>
      </w:r>
      <w:r w:rsidRPr="009B034E">
        <w:t>i</w:t>
      </w:r>
      <w:r w:rsidRPr="009B034E">
        <w:t>nansmarknadens problem och att föreslå adekvata åtgärder. I februari 2009 presenterades utredningens resultat i en rapport, den s.k. de Larosiére rappo</w:t>
      </w:r>
      <w:r w:rsidRPr="009B034E">
        <w:t>r</w:t>
      </w:r>
      <w:r w:rsidRPr="009B034E">
        <w:t>ten. Denna rapport låg till grund för de fem förordningsförslag som kommi</w:t>
      </w:r>
      <w:r w:rsidRPr="009B034E">
        <w:t>s</w:t>
      </w:r>
      <w:r w:rsidRPr="009B034E">
        <w:t>sionen antog den 23 september 2009 om inrättande av et</w:t>
      </w:r>
      <w:r w:rsidRPr="009B034E">
        <w:t xml:space="preserve">t EU-system för finansiell tillsyn. Den föreslagna strukturen har två huvudkomponenter, dels </w:t>
      </w:r>
      <w:r w:rsidRPr="009B034E">
        <w:rPr>
          <w:i/>
        </w:rPr>
        <w:t>European Systemic Risk Board</w:t>
      </w:r>
      <w:r w:rsidRPr="009B034E">
        <w:t xml:space="preserve"> (ESRB), som ska arbeta utifrån ett syste</w:t>
      </w:r>
      <w:r w:rsidRPr="009B034E">
        <w:t>m</w:t>
      </w:r>
      <w:r w:rsidRPr="009B034E">
        <w:t xml:space="preserve">riskperspektiv, dels </w:t>
      </w:r>
      <w:r w:rsidRPr="009B034E">
        <w:rPr>
          <w:i/>
        </w:rPr>
        <w:t>European System of Financial Supervisors</w:t>
      </w:r>
      <w:r w:rsidRPr="009B034E">
        <w:t xml:space="preserve"> (ESFS) som ska utgöra ett nätverk för de nationella tillsynsmyndigheterna. </w:t>
      </w:r>
    </w:p>
    <w:p w:rsidR="00BE40D6" w:rsidRPr="009B034E" w:rsidRDefault="00BE40D6">
      <w:r w:rsidRPr="009B034E">
        <w:t>Inom ramen för ESFS inrättades den 1 januari 2011 även tre tillsynsmyndi</w:t>
      </w:r>
      <w:r w:rsidRPr="009B034E">
        <w:t>g</w:t>
      </w:r>
      <w:r w:rsidRPr="009B034E">
        <w:t>heter för det finansiella området – EBA, EIOPA och ESMA. Myndigheterna ska agera inom ramen för sektorsspecifika direktiv inom respektive bank-, försäkrings- och värdepapperssektorn. För att effektivisera övervakningsr</w:t>
      </w:r>
      <w:r w:rsidRPr="009B034E">
        <w:t>a</w:t>
      </w:r>
      <w:r w:rsidRPr="009B034E">
        <w:t>men lade ko</w:t>
      </w:r>
      <w:r w:rsidRPr="009B034E">
        <w:t>m</w:t>
      </w:r>
      <w:r w:rsidRPr="009B034E">
        <w:t>missionen – parallellt med de förordningar enligt vilka EBA, EIOPA, ESMA och ESRB inrättades – fram ett förslag till ett s.k. omnibusd</w:t>
      </w:r>
      <w:r w:rsidRPr="009B034E">
        <w:t>i</w:t>
      </w:r>
      <w:r w:rsidRPr="009B034E">
        <w:t>rektiv (Omnibus 1) som i huvudsak ändrade redan gällande direktiv. Omn</w:t>
      </w:r>
      <w:r w:rsidRPr="009B034E">
        <w:t>i</w:t>
      </w:r>
      <w:r w:rsidRPr="009B034E">
        <w:t>bus 1 antogs av Europaparlamentet och rådet i n</w:t>
      </w:r>
      <w:r w:rsidRPr="009B034E">
        <w:t>o</w:t>
      </w:r>
      <w:r w:rsidRPr="009B034E">
        <w:t xml:space="preserve">vember 2010. </w:t>
      </w:r>
    </w:p>
    <w:p w:rsidR="00BE40D6" w:rsidRPr="009B034E" w:rsidRDefault="00BE40D6">
      <w:r w:rsidRPr="009B034E">
        <w:t>Kommissionen</w:t>
      </w:r>
      <w:r w:rsidRPr="009B034E">
        <w:t xml:space="preserve"> har nu, genom det s.k. Omnibus 2-direktivet, lagt fram ytte</w:t>
      </w:r>
      <w:r w:rsidRPr="009B034E">
        <w:t>r</w:t>
      </w:r>
      <w:r w:rsidRPr="009B034E">
        <w:t>ligare förslag på ändringar i Solvens 2-direktivet, som ännu inte var beslutad vid tidpunkten då Omnibus 1 lades fram, samt vissa kompletterande ändrin</w:t>
      </w:r>
      <w:r w:rsidRPr="009B034E">
        <w:t>g</w:t>
      </w:r>
      <w:r w:rsidRPr="009B034E">
        <w:t xml:space="preserve">ar i prospekt-direktivet. </w:t>
      </w:r>
    </w:p>
    <w:p w:rsidR="00BE40D6" w:rsidRPr="009B034E" w:rsidRDefault="00BE40D6"/>
    <w:p w:rsidR="00BE40D6" w:rsidRPr="009B034E" w:rsidRDefault="00BE40D6">
      <w:pPr>
        <w:pStyle w:val="Rubrik2"/>
      </w:pPr>
      <w:r w:rsidRPr="009B034E">
        <w:t>Förslagets innehåll</w:t>
      </w:r>
    </w:p>
    <w:p w:rsidR="00BE40D6" w:rsidRPr="009B034E" w:rsidRDefault="00BE40D6">
      <w:pPr>
        <w:pStyle w:val="Rubrik3"/>
        <w:numPr>
          <w:ilvl w:val="0"/>
          <w:numId w:val="0"/>
        </w:numPr>
        <w:rPr>
          <w:sz w:val="22"/>
          <w:szCs w:val="22"/>
        </w:rPr>
      </w:pPr>
      <w:r w:rsidRPr="009B034E">
        <w:rPr>
          <w:sz w:val="22"/>
          <w:szCs w:val="22"/>
        </w:rPr>
        <w:t>1.2.1 Ändringar i Solvens 2-direktivet (2009/138/EG)</w:t>
      </w:r>
    </w:p>
    <w:p w:rsidR="00BE40D6" w:rsidRPr="009B034E" w:rsidRDefault="00BE40D6">
      <w:r w:rsidRPr="009B034E">
        <w:rPr>
          <w:szCs w:val="19"/>
        </w:rPr>
        <w:t>De förslag som lämnats i artikel 2 i Omnibus 2-direktivet avseende än</w:t>
      </w:r>
      <w:r w:rsidRPr="009B034E">
        <w:rPr>
          <w:szCs w:val="19"/>
        </w:rPr>
        <w:t>d</w:t>
      </w:r>
      <w:r w:rsidRPr="009B034E">
        <w:rPr>
          <w:szCs w:val="19"/>
        </w:rPr>
        <w:t>ringar i direktivet 2009/138/EC är, utöver ändringar med anledning av Lissabonfö</w:t>
      </w:r>
      <w:r w:rsidRPr="009B034E">
        <w:rPr>
          <w:szCs w:val="19"/>
        </w:rPr>
        <w:t>r</w:t>
      </w:r>
      <w:r w:rsidRPr="009B034E">
        <w:rPr>
          <w:szCs w:val="19"/>
        </w:rPr>
        <w:t xml:space="preserve">draget, </w:t>
      </w:r>
      <w:r w:rsidRPr="009B034E">
        <w:t>huvudsakligen inom de områden där kommissionen ges befogenheter att meddela tekniska standarder, tvistelösning mellan nationella tillsynsmy</w:t>
      </w:r>
      <w:r w:rsidRPr="009B034E">
        <w:t>n</w:t>
      </w:r>
      <w:r w:rsidRPr="009B034E">
        <w:t>digheter, övriga allmänna ändringar, möjligheter för kommissionen att g</w:t>
      </w:r>
      <w:r w:rsidRPr="009B034E">
        <w:t>e</w:t>
      </w:r>
      <w:r w:rsidRPr="009B034E">
        <w:t>nom delegerade akter meddela övergångsbestämmelser på nivå 2 samt up</w:t>
      </w:r>
      <w:r w:rsidRPr="009B034E">
        <w:t>p</w:t>
      </w:r>
      <w:r w:rsidRPr="009B034E">
        <w:t>skjutande av ikraftträdandet av So</w:t>
      </w:r>
      <w:r w:rsidRPr="009B034E">
        <w:t>l</w:t>
      </w:r>
      <w:r w:rsidRPr="009B034E">
        <w:t>vens 2.</w:t>
      </w:r>
    </w:p>
    <w:p w:rsidR="00BE40D6" w:rsidRPr="009B034E" w:rsidRDefault="00BE40D6">
      <w:pPr>
        <w:pStyle w:val="Rubrik3"/>
        <w:numPr>
          <w:ilvl w:val="0"/>
          <w:numId w:val="0"/>
        </w:numPr>
        <w:jc w:val="both"/>
        <w:rPr>
          <w:bCs/>
          <w:i/>
        </w:rPr>
      </w:pPr>
      <w:r w:rsidRPr="009B034E">
        <w:rPr>
          <w:bCs/>
          <w:i/>
        </w:rPr>
        <w:t>Tekniska standarder</w:t>
      </w:r>
    </w:p>
    <w:p w:rsidR="00BE40D6" w:rsidRPr="009B034E" w:rsidRDefault="00BE40D6">
      <w:r w:rsidRPr="009B034E">
        <w:t>Enligt EIOPA-förordningen ska myndigheten kunna utarbeta fö</w:t>
      </w:r>
      <w:r w:rsidRPr="009B034E">
        <w:t>r</w:t>
      </w:r>
      <w:r w:rsidRPr="009B034E">
        <w:t>slag till bindande tekniska standarder inom de områden som fastställs i den sektor</w:t>
      </w:r>
      <w:r w:rsidRPr="009B034E">
        <w:t>s</w:t>
      </w:r>
      <w:r w:rsidRPr="009B034E">
        <w:t>specifika lagstiftningen. Myndigheten ska överlämna sitt förslag på tekniska sta</w:t>
      </w:r>
      <w:r w:rsidRPr="009B034E">
        <w:t>n</w:t>
      </w:r>
      <w:r w:rsidRPr="009B034E">
        <w:t>darder till kommissionen för godkännande och antagande. De tekniska standarderna ska antas genom förordning eller beslut och offentliggöras i Europei</w:t>
      </w:r>
      <w:r w:rsidRPr="009B034E">
        <w:t>s</w:t>
      </w:r>
      <w:r w:rsidRPr="009B034E">
        <w:t xml:space="preserve">ka unionens officiella tidning. </w:t>
      </w:r>
    </w:p>
    <w:p w:rsidR="00BE40D6" w:rsidRPr="009B034E" w:rsidRDefault="00BE40D6">
      <w:r w:rsidRPr="009B034E">
        <w:t>De områden där det föreslås att förslag till tekniska standarder ska kunna utarbetas delas in i tre kategorier. För det första kan tekniska standarder utarbetas ino</w:t>
      </w:r>
      <w:r w:rsidRPr="009B034E">
        <w:t>m sådana områden där metodologiska eller kvantitativa standa</w:t>
      </w:r>
      <w:r w:rsidRPr="009B034E">
        <w:t>r</w:t>
      </w:r>
      <w:r w:rsidRPr="009B034E">
        <w:t xml:space="preserve">der behövs för att säkerställa en konsekvent tillämpning av vissa regler och där det generellt sett inte finns lika stort behov av tillsynsbedömningar. För det andra gäller det områden där det skulle vara till fördel med en enhetlig syn på rapportering eller offentliggörande. Slutligen ska tekniska standarder kunna utarbetas inom områden där det, för tillsynsmyndigheterna, skulle vara till fördel med enhetlig tillämpning av samarbetsprocesser. </w:t>
      </w:r>
    </w:p>
    <w:p w:rsidR="00BE40D6" w:rsidRPr="009B034E" w:rsidRDefault="00BE40D6">
      <w:pPr>
        <w:pStyle w:val="Rubrik3"/>
        <w:numPr>
          <w:ilvl w:val="0"/>
          <w:numId w:val="0"/>
        </w:numPr>
        <w:jc w:val="both"/>
        <w:rPr>
          <w:bCs/>
          <w:i/>
        </w:rPr>
      </w:pPr>
      <w:r w:rsidRPr="009B034E">
        <w:rPr>
          <w:bCs/>
          <w:i/>
        </w:rPr>
        <w:t>Tv</w:t>
      </w:r>
      <w:r w:rsidRPr="009B034E">
        <w:rPr>
          <w:bCs/>
          <w:i/>
        </w:rPr>
        <w:t>istelösning mellan nationella tillsynsmyndigheter</w:t>
      </w:r>
    </w:p>
    <w:p w:rsidR="00BE40D6" w:rsidRPr="009B034E" w:rsidRDefault="00BE40D6">
      <w:r w:rsidRPr="009B034E">
        <w:t>I förordningen om inrättande av EIOPA, ges de europeiska tillsynsmyndi</w:t>
      </w:r>
      <w:r w:rsidRPr="009B034E">
        <w:t>g</w:t>
      </w:r>
      <w:r w:rsidRPr="009B034E">
        <w:t>heterna möjlighet att i gränsöverskridande situationer lösa tvister me</w:t>
      </w:r>
      <w:r w:rsidRPr="009B034E">
        <w:t>l</w:t>
      </w:r>
      <w:r w:rsidRPr="009B034E">
        <w:t>lan nationella tillsynsmyndigheter med bindande verkan. Det framgår vid</w:t>
      </w:r>
      <w:r w:rsidRPr="009B034E">
        <w:t>a</w:t>
      </w:r>
      <w:r w:rsidRPr="009B034E">
        <w:t>re av förordningen att det ska specificeras i de sektorsspecifika direktiven när tvist</w:t>
      </w:r>
      <w:r w:rsidRPr="009B034E">
        <w:t>e</w:t>
      </w:r>
      <w:r w:rsidRPr="009B034E">
        <w:t>lösning av detta slag kan komma i fråga. Utöver EIOPA-förordningens bestämmelser om tvistelösning föreslås således nu, genom Omnibus 2, en sådan specific</w:t>
      </w:r>
      <w:r w:rsidRPr="009B034E">
        <w:t>e</w:t>
      </w:r>
      <w:r w:rsidRPr="009B034E">
        <w:t xml:space="preserve">ring på försäkringsområdet. </w:t>
      </w:r>
    </w:p>
    <w:p w:rsidR="00BE40D6" w:rsidRPr="009B034E" w:rsidRDefault="00BE40D6">
      <w:pPr>
        <w:pStyle w:val="Rubrik3"/>
        <w:numPr>
          <w:ilvl w:val="0"/>
          <w:numId w:val="0"/>
        </w:numPr>
        <w:jc w:val="both"/>
        <w:rPr>
          <w:bCs/>
          <w:i/>
        </w:rPr>
      </w:pPr>
      <w:r w:rsidRPr="009B034E">
        <w:rPr>
          <w:bCs/>
          <w:i/>
        </w:rPr>
        <w:t>Övriga allmänna ändringar</w:t>
      </w:r>
    </w:p>
    <w:p w:rsidR="00BE40D6" w:rsidRPr="009B034E" w:rsidRDefault="00BE40D6">
      <w:r w:rsidRPr="009B034E">
        <w:t>Inom ett antal områden föreslås följdändringar som är nödvändiga för att Solvens 2-direktivet ska fungera efter bildandet av EI</w:t>
      </w:r>
      <w:r w:rsidRPr="009B034E">
        <w:t>O</w:t>
      </w:r>
      <w:r w:rsidRPr="009B034E">
        <w:t>PA. Som ett exempel på en sådan följdändring kan nämnas att namnen på de så kallade nivå 3-kommittéerna byts ut mot de nya myndigheternas namn. ”Kommittén för europeiska myndigheter med tillsyn över försäkringar och tjänstepensioner” ändras till ”Europeiska försäkrings- och tjänstepensionsmyndigheten”. Me</w:t>
      </w:r>
      <w:r w:rsidRPr="009B034E">
        <w:t>d</w:t>
      </w:r>
      <w:r w:rsidRPr="009B034E">
        <w:t xml:space="preserve"> anledning härav görs </w:t>
      </w:r>
      <w:r w:rsidRPr="009B034E">
        <w:rPr>
          <w:szCs w:val="19"/>
        </w:rPr>
        <w:t>redaktionella ändringar på så sätt att ”CE</w:t>
      </w:r>
      <w:r w:rsidRPr="009B034E">
        <w:rPr>
          <w:szCs w:val="19"/>
        </w:rPr>
        <w:t>I</w:t>
      </w:r>
      <w:r w:rsidRPr="009B034E">
        <w:rPr>
          <w:szCs w:val="19"/>
        </w:rPr>
        <w:t xml:space="preserve">OPS” ersätts med ”EIOPA”. </w:t>
      </w:r>
      <w:r w:rsidRPr="009B034E">
        <w:t>Vidare föreslås ändringar för att möjliggöra samarbete me</w:t>
      </w:r>
      <w:r w:rsidRPr="009B034E">
        <w:t>l</w:t>
      </w:r>
      <w:r w:rsidRPr="009B034E">
        <w:t>lan de nationella tillsynsmyndigheterna och de europeis</w:t>
      </w:r>
      <w:r w:rsidRPr="009B034E">
        <w:t>ka tillsynsmyndigh</w:t>
      </w:r>
      <w:r w:rsidRPr="009B034E">
        <w:t>e</w:t>
      </w:r>
      <w:r w:rsidRPr="009B034E">
        <w:t>terna. Det handlar framför allt om att information ska lämnas från de nati</w:t>
      </w:r>
      <w:r w:rsidRPr="009B034E">
        <w:t>o</w:t>
      </w:r>
      <w:r w:rsidRPr="009B034E">
        <w:t>nella tillsynsmyndi</w:t>
      </w:r>
      <w:r w:rsidRPr="009B034E">
        <w:t>g</w:t>
      </w:r>
      <w:r w:rsidRPr="009B034E">
        <w:t xml:space="preserve">heterna till de europeiska tillsynsmyndigheterna. För att detta ska kunna ske föreslås att det i vissa fall fastställs särskilda krav på informationsutbyte. </w:t>
      </w:r>
    </w:p>
    <w:p w:rsidR="00BE40D6" w:rsidRPr="009B034E" w:rsidRDefault="00BE40D6">
      <w:pPr>
        <w:pStyle w:val="Rubrik3"/>
        <w:numPr>
          <w:ilvl w:val="0"/>
          <w:numId w:val="0"/>
        </w:numPr>
        <w:jc w:val="both"/>
        <w:rPr>
          <w:bCs/>
          <w:i/>
        </w:rPr>
      </w:pPr>
      <w:r w:rsidRPr="009B034E">
        <w:rPr>
          <w:bCs/>
          <w:i/>
        </w:rPr>
        <w:t>Övergångsbestämmelser</w:t>
      </w:r>
    </w:p>
    <w:p w:rsidR="00BE40D6" w:rsidRPr="009B034E" w:rsidRDefault="00BE40D6">
      <w:r w:rsidRPr="009B034E">
        <w:t>Omnibus 2-direktivet innehåller omfattande övergångsbestämmelser avsee</w:t>
      </w:r>
      <w:r w:rsidRPr="009B034E">
        <w:t>n</w:t>
      </w:r>
      <w:r w:rsidRPr="009B034E">
        <w:t xml:space="preserve">de Solvens 2-direktivet. Förslaget innehåller </w:t>
      </w:r>
      <w:r w:rsidRPr="009B034E">
        <w:t>övergångsbestämmelser för värdering, förvaltning, tillsynsrapportering och offentliggörande. Detta gäller också för fastställande och klassificering av kapitalbasmedel samt för standardformeln för beräkning av solvenskapitalkravet och val av metoder och antaganden för beräkningen av försäkringstekniska avsättningar, inklusive fastställandet av riskfria räntesatser för relevanta durationer. Kommissionens förslag gör det också möjligt att genom nivå 2-åtgärder nä</w:t>
      </w:r>
      <w:r w:rsidRPr="009B034E">
        <w:t>rmare ange övergångsbestämmelser beträffande behandlingen av ordningar i tredjeländer. Detta för att ta hänsyn till att vissa tredjeländer kan</w:t>
      </w:r>
      <w:r w:rsidRPr="009B034E">
        <w:rPr>
          <w:b/>
        </w:rPr>
        <w:t xml:space="preserve"> </w:t>
      </w:r>
      <w:r w:rsidRPr="009B034E">
        <w:t xml:space="preserve">behöva mer tid för att anpassa och genomföra en solvensordning som helt uppfyller kriterierna för att betraktas som likvärdig. Icke-väsentliga delar av de övergångsbestämmelser som fastställs i direktiv 2009/138/EG föreslås kunna anges närmare genom delegerade akter. </w:t>
      </w:r>
    </w:p>
    <w:p w:rsidR="00BE40D6" w:rsidRPr="009B034E" w:rsidRDefault="00BE40D6">
      <w:r w:rsidRPr="009B034E">
        <w:t>Övergångsbestämmelsernas längsta tillåtna tillämpningsperiod ska fastställas i direktiv 2009/138/EG,</w:t>
      </w:r>
      <w:r w:rsidRPr="009B034E">
        <w:t xml:space="preserve"> men den period som i praktiken anges i en delegerad akt </w:t>
      </w:r>
      <w:r w:rsidRPr="009B034E">
        <w:rPr>
          <w:i/>
        </w:rPr>
        <w:t>får</w:t>
      </w:r>
      <w:r w:rsidRPr="009B034E">
        <w:t xml:space="preserve"> vara kortare och </w:t>
      </w:r>
      <w:r w:rsidRPr="009B034E">
        <w:rPr>
          <w:i/>
        </w:rPr>
        <w:t>bör</w:t>
      </w:r>
      <w:r w:rsidRPr="009B034E">
        <w:t xml:space="preserve"> vara proportionerlig mot den särskilda grunden till att övergångsbestämmelserna bedömts vara nödvändiga för att underlätta övergången till det nya systemet. Kommissionens förslag utgår ifrån att övergångsbestämmelserna bör ha åtminstone likvärdiga effekter som den befintliga ramen för försäkrings- och återförsäkringsdirektiv och de bör inte leda till en mer förmånlig behandling av försäkrings- och återförsäkringsföretag eller </w:t>
      </w:r>
      <w:r w:rsidRPr="009B034E">
        <w:t>till ett sämre skydd för försäkringstagare än vad som för närvarande gäller. Övergångsbestämmelserna bör uppmuntra företag att så snart som möjligt övergå till att följa de särskilda bestämmelserna i det nya systemet.</w:t>
      </w:r>
    </w:p>
    <w:p w:rsidR="00BE40D6" w:rsidRPr="009B034E" w:rsidRDefault="00BE40D6">
      <w:pPr>
        <w:pStyle w:val="Rubrik3"/>
        <w:numPr>
          <w:ilvl w:val="0"/>
          <w:numId w:val="0"/>
        </w:numPr>
        <w:jc w:val="both"/>
        <w:rPr>
          <w:bCs/>
          <w:i/>
        </w:rPr>
      </w:pPr>
      <w:r w:rsidRPr="009B034E">
        <w:rPr>
          <w:bCs/>
          <w:i/>
        </w:rPr>
        <w:t>Uppskjutande av datum för genomförandet</w:t>
      </w:r>
    </w:p>
    <w:p w:rsidR="00BE40D6" w:rsidRPr="009B034E" w:rsidRDefault="00BE40D6">
      <w:r w:rsidRPr="009B034E">
        <w:t>För att ikraftträdandet av de olika nya rapporteringskraven, beräkningskraven och övriga krav i Solvens 2-ordningen bättre ska överensstämma med det datum då de flesta försäkringsföretags budgetår löper ut (den 31 december), föreslås ändringar för att skjuta upp de relevanta datumen för införlivande, upphävande och tillämpning med två månader.</w:t>
      </w:r>
    </w:p>
    <w:p w:rsidR="00BE40D6" w:rsidRPr="009B034E" w:rsidRDefault="00BE40D6">
      <w:pPr>
        <w:pStyle w:val="Rubrik3"/>
        <w:numPr>
          <w:ilvl w:val="0"/>
          <w:numId w:val="0"/>
        </w:numPr>
        <w:rPr>
          <w:sz w:val="22"/>
          <w:szCs w:val="22"/>
        </w:rPr>
      </w:pPr>
      <w:r w:rsidRPr="009B034E">
        <w:rPr>
          <w:sz w:val="22"/>
          <w:szCs w:val="22"/>
        </w:rPr>
        <w:t>1.2.2 Ändringar i prospekt-direktivet (2003/71/EG)</w:t>
      </w:r>
    </w:p>
    <w:p w:rsidR="00BE40D6" w:rsidRPr="009B034E" w:rsidRDefault="00BE40D6">
      <w:r w:rsidRPr="009B034E">
        <w:t>De förslag som lämnas i artikel 1 i Omnibus 2-direktivet avser ändrin</w:t>
      </w:r>
      <w:r w:rsidRPr="009B034E">
        <w:t>g</w:t>
      </w:r>
      <w:r w:rsidRPr="009B034E">
        <w:t>ar i direktivet 2003/71/EG. I direktivet föreslås ändringar i fråga om de områden där kommissionen ska ges befogenhet att besluta om tekni</w:t>
      </w:r>
      <w:r w:rsidRPr="009B034E">
        <w:t>s</w:t>
      </w:r>
      <w:r w:rsidRPr="009B034E">
        <w:t xml:space="preserve">ka standarder. En mindre materiell ändring görs också </w:t>
      </w:r>
      <w:r w:rsidRPr="009B034E">
        <w:rPr>
          <w:color w:val="000000"/>
        </w:rPr>
        <w:t>genom att det införs ett krav på att slu</w:t>
      </w:r>
      <w:r w:rsidRPr="009B034E">
        <w:rPr>
          <w:color w:val="000000"/>
        </w:rPr>
        <w:t>t</w:t>
      </w:r>
      <w:r w:rsidRPr="009B034E">
        <w:rPr>
          <w:color w:val="000000"/>
        </w:rPr>
        <w:t>liga villkor för ett erbjudande ska kommuniceras – förutom till behöriga my</w:t>
      </w:r>
      <w:r w:rsidRPr="009B034E">
        <w:rPr>
          <w:color w:val="000000"/>
        </w:rPr>
        <w:t>n</w:t>
      </w:r>
      <w:r w:rsidRPr="009B034E">
        <w:rPr>
          <w:color w:val="000000"/>
        </w:rPr>
        <w:t>digheter i värdmedlemsstaten/-staterna – också till ESMA.</w:t>
      </w:r>
    </w:p>
    <w:p w:rsidR="00BE40D6" w:rsidRPr="009B034E" w:rsidRDefault="00BE40D6"/>
    <w:p w:rsidR="00BE40D6" w:rsidRPr="009B034E" w:rsidRDefault="00BE40D6">
      <w:pPr>
        <w:pStyle w:val="Rubrik2"/>
      </w:pPr>
      <w:r w:rsidRPr="009B034E">
        <w:t>Gällande svenska regler och förslagets effekt på dessa</w:t>
      </w:r>
    </w:p>
    <w:p w:rsidR="00BE40D6" w:rsidRPr="009B034E" w:rsidRDefault="00BE40D6">
      <w:r w:rsidRPr="009B034E">
        <w:t>Solvens 2-regelverket har ännu inte genomförts i svensk lagstiftning men kommer att göra det i huvudsak genom ändringar i försäkringsr</w:t>
      </w:r>
      <w:r w:rsidRPr="009B034E">
        <w:t>ö</w:t>
      </w:r>
      <w:r w:rsidRPr="009B034E">
        <w:t>relselagen (2010:2043).</w:t>
      </w:r>
    </w:p>
    <w:p w:rsidR="00BE40D6" w:rsidRPr="009B034E" w:rsidRDefault="00BE40D6">
      <w:r w:rsidRPr="009B034E">
        <w:t>Kommissionens föreliggande förslag förväntas dock inte medföra något större behov av ko</w:t>
      </w:r>
      <w:r w:rsidRPr="009B034E">
        <w:t>m</w:t>
      </w:r>
      <w:r w:rsidRPr="009B034E">
        <w:t>plettering eller revidering av gällande svenska lagar då stora delar av förslaget innebär organisatoriska förändringar av tillsynsarb</w:t>
      </w:r>
      <w:r w:rsidRPr="009B034E">
        <w:t>e</w:t>
      </w:r>
      <w:r w:rsidRPr="009B034E">
        <w:t>tet i Europa. De tekniska standarder som avses kommer att antas av kommi</w:t>
      </w:r>
      <w:r w:rsidRPr="009B034E">
        <w:t>s</w:t>
      </w:r>
      <w:r w:rsidRPr="009B034E">
        <w:t>si</w:t>
      </w:r>
      <w:r w:rsidRPr="009B034E">
        <w:t>o</w:t>
      </w:r>
      <w:r w:rsidRPr="009B034E">
        <w:t>nen genom förordning eller beslut vilket innebär att dessa får direkt effekt i medlemsstate</w:t>
      </w:r>
      <w:r w:rsidRPr="009B034E">
        <w:t>r</w:t>
      </w:r>
      <w:r w:rsidRPr="009B034E">
        <w:t>na, således kommer nuvarande svensk reglering att fyllas ut med tekniska standarder. Detta kan antas leda till ökad tydlighet för aktöre</w:t>
      </w:r>
      <w:r w:rsidRPr="009B034E">
        <w:t>r</w:t>
      </w:r>
      <w:r w:rsidRPr="009B034E">
        <w:t>na på finan</w:t>
      </w:r>
      <w:r w:rsidRPr="009B034E">
        <w:t>s</w:t>
      </w:r>
      <w:r w:rsidRPr="009B034E">
        <w:t xml:space="preserve">marknaden i fråga om vilka krav som ställs på dem. </w:t>
      </w:r>
    </w:p>
    <w:p w:rsidR="00BE40D6" w:rsidRPr="009B034E" w:rsidRDefault="00BE40D6"/>
    <w:p w:rsidR="00BE40D6" w:rsidRPr="009B034E" w:rsidRDefault="00BE40D6">
      <w:pPr>
        <w:pStyle w:val="Rubrik2"/>
      </w:pPr>
      <w:r w:rsidRPr="009B034E">
        <w:t>Budgetära konsekvenser / Konsekvensanalys</w:t>
      </w:r>
    </w:p>
    <w:p w:rsidR="00BE40D6" w:rsidRPr="009B034E" w:rsidRDefault="00BE40D6">
      <w:r w:rsidRPr="009B034E">
        <w:t xml:space="preserve">Det är vanskligt att bedöma de ytterligare kostnader som kan komma att uppstå specifikt som en följd av förändringar i sektorlagstiftningen. Nya tekniska standarder som förändringarna kan medföra kan innebära ökade behov av tillsynsinsatser. Nya strukturer för utökad informationsöverföring från Finansinspektionen till de europeiska myndigheterna kommer sannolikt också att behöva byggas upp. Detta torde dock i huvudsak vara att se som en investeringsinsats och därmed avgränsad i tiden. Sett i relation till </w:t>
      </w:r>
      <w:r w:rsidRPr="009B034E">
        <w:t>de kos</w:t>
      </w:r>
      <w:r w:rsidRPr="009B034E">
        <w:t>t</w:t>
      </w:r>
      <w:r w:rsidRPr="009B034E">
        <w:t>nadsökningar den nya organisationsstrukturen oundvikligen kommer att innebära, finns dock skäl att tro att ytterligare kostnader specifikt till följd av förändringarna i sektorslagstiftningen kommer att vara tämligen marginella. De kostnader som kan komma att uppstå till följd av förslaget påverkar i första hand Finansinspektionen. Regeringen avser att verka för att eventuella ekonomiska konsekvenser med anledning av förändringarna i sektorslagstif</w:t>
      </w:r>
      <w:r w:rsidRPr="009B034E">
        <w:t>t</w:t>
      </w:r>
      <w:r w:rsidRPr="009B034E">
        <w:t>ningen ska begränsas.  Eventuella utgiftsökningar sk</w:t>
      </w:r>
      <w:r w:rsidRPr="009B034E">
        <w:t>a hanteras inom befintl</w:t>
      </w:r>
      <w:r w:rsidRPr="009B034E">
        <w:t>i</w:t>
      </w:r>
      <w:r w:rsidRPr="009B034E">
        <w:t>ga ramar.</w:t>
      </w:r>
    </w:p>
    <w:p w:rsidR="00BE40D6" w:rsidRPr="009B034E" w:rsidRDefault="00BE40D6"/>
    <w:p w:rsidR="00BE40D6" w:rsidRPr="009B034E" w:rsidRDefault="00BE40D6">
      <w:pPr>
        <w:pStyle w:val="Rubrik1"/>
      </w:pPr>
      <w:r w:rsidRPr="009B034E">
        <w:t>Ståndpunkter</w:t>
      </w:r>
    </w:p>
    <w:p w:rsidR="00BE40D6" w:rsidRPr="009B034E" w:rsidRDefault="00BE40D6">
      <w:pPr>
        <w:pStyle w:val="Rubrik2"/>
      </w:pPr>
      <w:r w:rsidRPr="009B034E">
        <w:t>Preliminär svensk ståndpunkt</w:t>
      </w:r>
    </w:p>
    <w:p w:rsidR="00BE40D6" w:rsidRPr="009B034E" w:rsidRDefault="00BE40D6">
      <w:r w:rsidRPr="009B034E">
        <w:t>Regeringen välkomnar kommissionens förslag om att anpassa även de kva</w:t>
      </w:r>
      <w:r w:rsidRPr="009B034E">
        <w:t>r</w:t>
      </w:r>
      <w:r w:rsidRPr="009B034E">
        <w:t>stående sektorsdirektiven, prospekt-direktivet och Solvens 2-direktivet, till den nya tillsynsstrukturen. Regeringen uppskattar kommissionens avsi</w:t>
      </w:r>
      <w:r w:rsidRPr="009B034E">
        <w:t>k</w:t>
      </w:r>
      <w:r w:rsidRPr="009B034E">
        <w:t>t att effektivisera och underlätta för tillsynssamarbetet mellan medlemsst</w:t>
      </w:r>
      <w:r w:rsidRPr="009B034E">
        <w:t>a</w:t>
      </w:r>
      <w:r w:rsidRPr="009B034E">
        <w:t>terna samt förutsättningarna för lika konkurrensvillkor för berörda aktörer på finan</w:t>
      </w:r>
      <w:r w:rsidRPr="009B034E">
        <w:t>s</w:t>
      </w:r>
      <w:r w:rsidRPr="009B034E">
        <w:t>marknaden genom att bindande tekniska standarder tas fram. Avseende Solvens 2 anser regeringen att d</w:t>
      </w:r>
      <w:r w:rsidRPr="009B034E">
        <w:t>et är av flera skäl nödvändigt att fastställa övergångsbestämmelser. Övergången till det nya systemet bö</w:t>
      </w:r>
      <w:r w:rsidRPr="009B034E">
        <w:t>r vara smidig, man bör undvika marknadsstörningar och man bör kunna beakta konsekvenserna för en rad viktiga försäkringsprodukter. Det bör också vara möjligt att ta vederbörlig hänsyn till betydande och värdefull branschomfattande information som erhålls genom den kvantitativa konsekvensanalysen (QIS5). A</w:t>
      </w:r>
      <w:r w:rsidRPr="009B034E">
        <w:t>lltför långtgående övergångsbestämme</w:t>
      </w:r>
      <w:r w:rsidRPr="009B034E">
        <w:t>l</w:t>
      </w:r>
      <w:r w:rsidRPr="009B034E">
        <w:t>ser kan innebära konkurrensproblem inom EU och försvåra tillämpnin</w:t>
      </w:r>
      <w:r w:rsidRPr="009B034E">
        <w:t>g</w:t>
      </w:r>
      <w:r w:rsidRPr="009B034E">
        <w:t>en av nya solvensregler för gränsöverskr</w:t>
      </w:r>
      <w:r w:rsidRPr="009B034E">
        <w:t>i</w:t>
      </w:r>
      <w:r w:rsidRPr="009B034E">
        <w:t>dande grupper. Regeringen stödjer därför de medlemsstater som</w:t>
      </w:r>
      <w:r w:rsidRPr="009B034E">
        <w:t xml:space="preserve"> anser att de föreslagna maximitiderna för övergångsb</w:t>
      </w:r>
      <w:r w:rsidRPr="009B034E">
        <w:t>e</w:t>
      </w:r>
      <w:r w:rsidRPr="009B034E">
        <w:t>stämmelserna bör förkortas. Eventuella öve</w:t>
      </w:r>
      <w:r w:rsidRPr="009B034E">
        <w:t>r</w:t>
      </w:r>
      <w:r w:rsidRPr="009B034E">
        <w:t>gångsbestämmelser bör inte heller omfatta frågor om styrning och kontroll, s.k. governance-frågor. R</w:t>
      </w:r>
      <w:r w:rsidRPr="009B034E">
        <w:t>e</w:t>
      </w:r>
      <w:r w:rsidRPr="009B034E">
        <w:t>geringen är även positiv till förslaget att skjuta på ikraftträdandet av So</w:t>
      </w:r>
      <w:r w:rsidRPr="009B034E">
        <w:t>l</w:t>
      </w:r>
      <w:r w:rsidRPr="009B034E">
        <w:t>vens 2. Förslaget är ett steg i rätt riktning då det är viktigt att medlemsstate</w:t>
      </w:r>
      <w:r w:rsidRPr="009B034E">
        <w:t>r</w:t>
      </w:r>
      <w:r w:rsidRPr="009B034E">
        <w:t>na ges tillräcklig tid för implementering. Det kan dock ifrågasättas om det är tillräckligt med två mån</w:t>
      </w:r>
      <w:r w:rsidRPr="009B034E">
        <w:t>a</w:t>
      </w:r>
      <w:r w:rsidRPr="009B034E">
        <w:t>der.</w:t>
      </w:r>
    </w:p>
    <w:p w:rsidR="00BE40D6" w:rsidRPr="009B034E" w:rsidRDefault="00BE40D6"/>
    <w:p w:rsidR="00BE40D6" w:rsidRPr="009B034E" w:rsidRDefault="00BE40D6">
      <w:pPr>
        <w:pStyle w:val="Rubrik2"/>
      </w:pPr>
      <w:r w:rsidRPr="009B034E">
        <w:t>Medlemsstaternas ståndpunkter</w:t>
      </w:r>
    </w:p>
    <w:p w:rsidR="00BE40D6" w:rsidRPr="009B034E" w:rsidRDefault="00BE40D6">
      <w:r w:rsidRPr="009B034E">
        <w:t>Medlemsstaternas slutliga ståndpunkter är ännu inte kända. Vad gäller öve</w:t>
      </w:r>
      <w:r w:rsidRPr="009B034E">
        <w:t>r</w:t>
      </w:r>
      <w:r w:rsidRPr="009B034E">
        <w:t>gångsbestämmelserna synes medlemsstaterna dock vara uppdelade i tre grupper, en grupp som anser att förslaget är bra, en grupp som vill att max</w:t>
      </w:r>
      <w:r w:rsidRPr="009B034E">
        <w:t>i</w:t>
      </w:r>
      <w:r w:rsidRPr="009B034E">
        <w:t>mit</w:t>
      </w:r>
      <w:r w:rsidRPr="009B034E">
        <w:t>i</w:t>
      </w:r>
      <w:r w:rsidRPr="009B034E">
        <w:t xml:space="preserve">derna kortas och en grupp som anser att maximitiden bör förlängas till 12 alternativt 15 år. </w:t>
      </w:r>
    </w:p>
    <w:p w:rsidR="00BE40D6" w:rsidRPr="009B034E" w:rsidRDefault="00BE40D6"/>
    <w:p w:rsidR="00BE40D6" w:rsidRPr="009B034E" w:rsidRDefault="00BE40D6">
      <w:pPr>
        <w:pStyle w:val="Rubrik2"/>
      </w:pPr>
      <w:r w:rsidRPr="009B034E">
        <w:t>Institutionernas ståndpunkter</w:t>
      </w:r>
    </w:p>
    <w:p w:rsidR="00BE40D6" w:rsidRPr="009B034E" w:rsidRDefault="00BE40D6">
      <w:r w:rsidRPr="009B034E">
        <w:t xml:space="preserve">Europaparlamentets ståndpunkt är ännu inte kända. </w:t>
      </w:r>
    </w:p>
    <w:p w:rsidR="00BE40D6" w:rsidRPr="009B034E" w:rsidRDefault="00BE40D6"/>
    <w:p w:rsidR="00BE40D6" w:rsidRPr="009B034E" w:rsidRDefault="00BE40D6">
      <w:pPr>
        <w:pStyle w:val="Rubrik2"/>
      </w:pPr>
      <w:r w:rsidRPr="009B034E">
        <w:t>Remissinstansernas ståndpunkter</w:t>
      </w:r>
    </w:p>
    <w:p w:rsidR="00BE40D6" w:rsidRPr="009B034E" w:rsidRDefault="00BE40D6">
      <w:r w:rsidRPr="009B034E">
        <w:t>Finansinspektionen och Svenska Försäkringsförbundet har ännu inte lämnat några slutliga ståndpunkter.</w:t>
      </w:r>
    </w:p>
    <w:p w:rsidR="00BE40D6" w:rsidRPr="009B034E" w:rsidRDefault="00BE40D6"/>
    <w:p w:rsidR="00BE40D6" w:rsidRPr="009B034E" w:rsidRDefault="00BE40D6">
      <w:pPr>
        <w:pStyle w:val="Rubrik1"/>
      </w:pPr>
      <w:r w:rsidRPr="009B034E">
        <w:t>Förslagets förutsättningar</w:t>
      </w:r>
    </w:p>
    <w:p w:rsidR="00BE40D6" w:rsidRPr="009B034E" w:rsidRDefault="00BE40D6">
      <w:pPr>
        <w:pStyle w:val="Rubrik2"/>
      </w:pPr>
      <w:r w:rsidRPr="009B034E">
        <w:t>Rättslig grund och beslutsförfarande</w:t>
      </w:r>
    </w:p>
    <w:p w:rsidR="00BE40D6" w:rsidRPr="009B034E" w:rsidRDefault="00BE40D6">
      <w:r w:rsidRPr="009B034E">
        <w:t>Artiklarna 50, 53, 62 och 114 i fördraget om Europeiska unionens funktion</w:t>
      </w:r>
      <w:r w:rsidRPr="009B034E">
        <w:t>s</w:t>
      </w:r>
      <w:r w:rsidRPr="009B034E">
        <w:t xml:space="preserve">sätt (EUF-fördraget) utgör rättslig grund. Direktivet antas i enlighet med det ordinarie lagstiftningsförfarandet (artikel 294 EUF-fördraget). Rådet beslutar med kvalificerad majoritet och Europaparlamentet är medbeslutande. </w:t>
      </w:r>
    </w:p>
    <w:p w:rsidR="00BE40D6" w:rsidRPr="009B034E" w:rsidRDefault="00BE40D6"/>
    <w:p w:rsidR="00BE40D6" w:rsidRPr="009B034E" w:rsidRDefault="00BE40D6">
      <w:pPr>
        <w:pStyle w:val="Rubrik2"/>
      </w:pPr>
      <w:r w:rsidRPr="009B034E">
        <w:t>Subsidiaritets- och proportionalitetsprincipen</w:t>
      </w:r>
    </w:p>
    <w:p w:rsidR="00BE40D6" w:rsidRPr="009B034E" w:rsidRDefault="00BE40D6">
      <w:r w:rsidRPr="009B034E">
        <w:t xml:space="preserve">Kommissionen anför att målet med detta direktiv är att förbättra den inre marknadens funktionssätt genom att säkerställa en hög, effektiv och enhetlig nivå av stabilitetsreglering och tillsyn. </w:t>
      </w:r>
      <w:r w:rsidRPr="009B034E">
        <w:rPr>
          <w:szCs w:val="19"/>
        </w:rPr>
        <w:t>Dessutom är målet att</w:t>
      </w:r>
      <w:r w:rsidRPr="009B034E">
        <w:t xml:space="preserve"> skydda försäkringstagare och förmånstagare och därigenom företag och konsumenter, skydda finansmarknadernas integritet, effektivitet och korrekta funktionssätt, upprätthålla det finansiella systemets stabilitet och stärka den internationella samordningen av tillsynen. Då detta inte i tillräcklig utsträckning kan uppnås av medlemsstaterna och därför bättre kan uppnås på unionsnivå (på grund av den planerade åtgärdens omfattning) anser kommissionen att EU kan vidta åtgärder i enlighet me</w:t>
      </w:r>
      <w:r w:rsidRPr="009B034E">
        <w:t>d subsidiaritetsprincipen i artikel 5 i EU-fördraget. I enlighet med proportionalitetsprincipen i samma artikel bör detta direktiv inte gå utöver vad som är nödvändigt för att uppnå dessa mål.</w:t>
      </w:r>
    </w:p>
    <w:p w:rsidR="00BE40D6" w:rsidRPr="009B034E" w:rsidRDefault="00BE40D6">
      <w:pPr>
        <w:pStyle w:val="Rubrik1"/>
      </w:pPr>
      <w:r w:rsidRPr="009B034E">
        <w:t>Övrigt</w:t>
      </w:r>
    </w:p>
    <w:p w:rsidR="00BE40D6" w:rsidRPr="009B034E" w:rsidRDefault="00BE40D6">
      <w:pPr>
        <w:pStyle w:val="Rubrik2"/>
      </w:pPr>
      <w:r w:rsidRPr="009B034E">
        <w:t>Fortsatt behandling av ärendet</w:t>
      </w:r>
    </w:p>
    <w:p w:rsidR="00BE40D6" w:rsidRPr="009B034E" w:rsidRDefault="00BE40D6">
      <w:r w:rsidRPr="009B034E">
        <w:t>Ett tredje rådsarbetsgruppsmöte kommer att hållas den 28 februari till den 1 mars 2011. Inför mötet kommer kommissionen att skicka ut ett första ko</w:t>
      </w:r>
      <w:r w:rsidRPr="009B034E">
        <w:t>m</w:t>
      </w:r>
      <w:r w:rsidRPr="009B034E">
        <w:t>promissförslag avseende Omnibus 2-direktivet. Remissinstanserna kommer att ges tillfälle att ge in sina slutliga ståndpunkter inför rådsarbetsgruppsm</w:t>
      </w:r>
      <w:r w:rsidRPr="009B034E">
        <w:t>ö</w:t>
      </w:r>
      <w:r w:rsidRPr="009B034E">
        <w:t>tet.</w:t>
      </w:r>
    </w:p>
    <w:p w:rsidR="00BE40D6" w:rsidRPr="009B034E" w:rsidRDefault="00BE40D6">
      <w:r w:rsidRPr="009B034E">
        <w:t>Ordförandeskapet har för avsikt att rådsarbetsgruppens slu</w:t>
      </w:r>
      <w:r w:rsidRPr="009B034E">
        <w:t>t</w:t>
      </w:r>
      <w:r w:rsidRPr="009B034E">
        <w:t>liga inställning ska vara klar under mars 2011. Försl</w:t>
      </w:r>
      <w:r w:rsidRPr="009B034E">
        <w:t>a</w:t>
      </w:r>
      <w:r w:rsidRPr="009B034E">
        <w:t>get kommer därefter att presenteras för Coreper och trilogprocessen kan påbörjas. Då det – i vart fall för närvarande – inte är fråga om några stora kontroversiella eller politiska frågor ko</w:t>
      </w:r>
      <w:r w:rsidRPr="009B034E">
        <w:t>m</w:t>
      </w:r>
      <w:r w:rsidRPr="009B034E">
        <w:t>mer ordförandeskapet eventuellt att avstå från att lyfta ärendet till Ekofin. Plane</w:t>
      </w:r>
      <w:r w:rsidRPr="009B034E">
        <w:t>r</w:t>
      </w:r>
      <w:r w:rsidRPr="009B034E">
        <w:t>na är att Omnibus 2-direktivet ska vara färdigförhandlat senast i nove</w:t>
      </w:r>
      <w:r w:rsidRPr="009B034E">
        <w:t>m</w:t>
      </w:r>
      <w:r w:rsidRPr="009B034E">
        <w:t xml:space="preserve">ber 2011. </w:t>
      </w:r>
    </w:p>
    <w:p w:rsidR="00BE40D6" w:rsidRPr="009B034E" w:rsidRDefault="00BE40D6"/>
    <w:p w:rsidR="00BE40D6" w:rsidRPr="009B034E" w:rsidRDefault="00BE40D6">
      <w:pPr>
        <w:pStyle w:val="Rubrik2"/>
      </w:pPr>
      <w:r w:rsidRPr="009B034E">
        <w:t>Fackuttryck/termer</w:t>
      </w:r>
    </w:p>
    <w:p w:rsidR="00BE40D6" w:rsidRPr="009B034E" w:rsidRDefault="00BE40D6"/>
    <w:sectPr w:rsidR="00BE40D6" w:rsidRPr="009B034E">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40D6" w:rsidRPr="009B034E" w:rsidRDefault="00BE40D6">
      <w:r w:rsidRPr="009B034E">
        <w:separator/>
      </w:r>
    </w:p>
  </w:endnote>
  <w:endnote w:type="continuationSeparator" w:id="0">
    <w:p w:rsidR="00BE40D6" w:rsidRPr="009B034E" w:rsidRDefault="00BE40D6">
      <w:r w:rsidRPr="009B03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0D6" w:rsidRPr="009B034E" w:rsidRDefault="00BE40D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0D6" w:rsidRPr="009B034E" w:rsidRDefault="00BE40D6">
    <w:pPr>
      <w:pStyle w:val="SidfotH"/>
      <w:framePr w:wrap="around"/>
    </w:pPr>
    <w:r w:rsidRPr="009B034E">
      <w:t>8</w:t>
    </w:r>
  </w:p>
  <w:p w:rsidR="00BE40D6" w:rsidRPr="009B034E" w:rsidRDefault="00BE40D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0D6" w:rsidRPr="009B034E" w:rsidRDefault="00BE40D6">
    <w:pPr>
      <w:pStyle w:val="SidfotH"/>
      <w:framePr w:wrap="around"/>
    </w:pPr>
    <w:r w:rsidRPr="009B034E">
      <w:t>1</w:t>
    </w:r>
  </w:p>
  <w:p w:rsidR="00BE40D6" w:rsidRPr="009B034E" w:rsidRDefault="00BE40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40D6" w:rsidRPr="009B034E" w:rsidRDefault="00BE40D6">
      <w:r w:rsidRPr="009B034E">
        <w:separator/>
      </w:r>
    </w:p>
  </w:footnote>
  <w:footnote w:type="continuationSeparator" w:id="0">
    <w:p w:rsidR="00BE40D6" w:rsidRPr="009B034E" w:rsidRDefault="00BE40D6">
      <w:r w:rsidRPr="009B034E">
        <w:continuationSeparator/>
      </w:r>
    </w:p>
  </w:footnote>
  <w:footnote w:id="1">
    <w:p w:rsidR="00BE40D6" w:rsidRPr="009B034E" w:rsidRDefault="00BE40D6">
      <w:pPr>
        <w:pStyle w:val="Fotnotstext"/>
      </w:pPr>
      <w:r w:rsidRPr="009B034E">
        <w:rPr>
          <w:rStyle w:val="Fotnotsreferens"/>
        </w:rPr>
        <w:footnoteRef/>
      </w:r>
      <w:r w:rsidRPr="009B034E">
        <w:t>Faktapromemoria 2009/10:FPM 21, Framtida finansiell tillsyn i 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0D6" w:rsidRPr="009B034E" w:rsidRDefault="00BE40D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0D6" w:rsidRPr="009B034E" w:rsidRDefault="00BE40D6">
    <w:pPr>
      <w:pStyle w:val="Kantrubrik"/>
      <w:framePr w:h="1157" w:hRule="exact" w:wrap="around" w:y="738"/>
    </w:pPr>
    <w:r w:rsidRPr="009B034E">
      <w:t>2010/11:FPM76</w:t>
    </w:r>
  </w:p>
  <w:p w:rsidR="00BE40D6" w:rsidRPr="009B034E" w:rsidRDefault="00BE40D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0D6" w:rsidRPr="009B034E" w:rsidRDefault="009B034E">
    <w:pPr>
      <w:pStyle w:val="Sidhuvud"/>
    </w:pPr>
    <w:r w:rsidRPr="009B034E">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062400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40D6" w:rsidRDefault="00BE40D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49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BE40D6" w:rsidRDefault="00BE40D6">
                    <w:pPr>
                      <w:pStyle w:val="Logo"/>
                    </w:pPr>
                    <w:r>
                      <w:object w:dxaOrig="840" w:dyaOrig="1545">
                        <v:shape id="_x0000_i1025" type="#_x0000_t75" style="width:42pt;height:77.15pt" filled="t">
                          <v:imagedata r:id="rId1" o:title=""/>
                        </v:shape>
                        <o:OLEObject Type="Embed" ProgID="Word.Picture.8" ShapeID="_x0000_i1025" DrawAspect="Content" ObjectID="_182752149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2E71901"/>
    <w:multiLevelType w:val="hybridMultilevel"/>
    <w:tmpl w:val="ABE87636"/>
    <w:lvl w:ilvl="0" w:tplc="B68A679C">
      <w:start w:val="1"/>
      <w:numFmt w:val="bullet"/>
      <w:lvlRestart w:val="0"/>
      <w:pStyle w:val="Punktlista"/>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25773206">
    <w:abstractNumId w:val="5"/>
  </w:num>
  <w:num w:numId="2" w16cid:durableId="530068204">
    <w:abstractNumId w:val="2"/>
  </w:num>
  <w:num w:numId="3" w16cid:durableId="1018235115">
    <w:abstractNumId w:val="3"/>
  </w:num>
  <w:num w:numId="4" w16cid:durableId="1187136794">
    <w:abstractNumId w:val="4"/>
  </w:num>
  <w:num w:numId="5" w16cid:durableId="646938163">
    <w:abstractNumId w:val="6"/>
  </w:num>
  <w:num w:numId="6" w16cid:durableId="1079719652">
    <w:abstractNumId w:val="0"/>
  </w:num>
  <w:num w:numId="7" w16cid:durableId="176233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2-25"/>
    <w:docVar w:name="Ar" w:val="2010/11"/>
    <w:docVar w:name="Dep" w:val="Finansdepartementet"/>
    <w:docVar w:name="DepWeb" w:val="Finansdepartementet"/>
    <w:docVar w:name="GDB1" w:val="KOM(2011) 8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ändring av direktiv 2003/71/EG och 2009/138/EG med avseende på befogenheterna för Europe-iska försäkrings- och tjänstepensionsmyndigheten och Europeiska värdepap-pers- och marknadsmyndighet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8 slutlig"/>
    <w:docVar w:name="Nr" w:val="76"/>
    <w:docVar w:name="RD_APPVERSION" w:val="3.00"/>
    <w:docVar w:name="Rub" w:val="Omnibus2-direktivet"/>
    <w:docVar w:name="UppDat" w:val="2011-02-25"/>
    <w:docVar w:name="Utsk" w:val="Finansutskottet"/>
  </w:docVars>
  <w:rsids>
    <w:rsidRoot w:val="006D2FE7"/>
    <w:rsid w:val="006D2FE7"/>
    <w:rsid w:val="009B034E"/>
    <w:rsid w:val="00BE40D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F9523DF-3D24-4F39-92E1-3CBCA3C6C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Punktlista">
    <w:name w:val="List Bullet"/>
    <w:basedOn w:val="Normal"/>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2157</Words>
  <Characters>14502</Characters>
  <Application>Microsoft Office Word</Application>
  <DocSecurity>4</DocSecurity>
  <Lines>273</Lines>
  <Paragraphs>69</Paragraphs>
  <ScaleCrop>false</ScaleCrop>
  <HeadingPairs>
    <vt:vector size="2" baseType="variant">
      <vt:variant>
        <vt:lpstr>Rubrik</vt:lpstr>
      </vt:variant>
      <vt:variant>
        <vt:i4>1</vt:i4>
      </vt:variant>
    </vt:vector>
  </HeadingPairs>
  <TitlesOfParts>
    <vt:vector size="1" baseType="lpstr">
      <vt:lpstr>FPM_201011__76</vt:lpstr>
    </vt:vector>
  </TitlesOfParts>
  <Company>RD-DTSL</Company>
  <LinksUpToDate>false</LinksUpToDate>
  <CharactersWithSpaces>16590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FPM_201011__76</dc:title>
  <dc:subject>FPM_201011__76</dc:subject>
  <dc:creator>Riksdagen</dc:creator>
  <cp:keywords>Riksdagen</cp:keywords>
  <dc:description>KP2004-version.  Ändringarna påverkar enbart användningen inom Riksdagen. 050429 nya departement DTSL.</dc:description>
  <cp:lastModifiedBy>Lars Brink</cp:lastModifiedBy>
  <cp:revision>2</cp:revision>
  <cp:lastPrinted>2011-02-28T06:53:00Z</cp:lastPrinted>
  <dcterms:created xsi:type="dcterms:W3CDTF">2025-12-17T18:17:00Z</dcterms:created>
  <dcterms:modified xsi:type="dcterms:W3CDTF">2025-12-17T18:17:00Z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76</vt:lpwstr>
  </property>
  <property fmtid="{D5CDD505-2E9C-101B-9397-08002B2CF9AE}" pid="4" name="GDB1">
    <vt:lpwstr>KOM(2011) 8 slutlig</vt:lpwstr>
  </property>
  <property fmtid="{D5CDD505-2E9C-101B-9397-08002B2CF9AE}" pid="5" name="GDT1">
    <vt:lpwstr> </vt:lpwstr>
  </property>
  <property fmtid="{D5CDD505-2E9C-101B-9397-08002B2CF9AE}" pid="6" name="Dep">
    <vt:lpwstr>Finansdepartementet</vt:lpwstr>
  </property>
  <property fmtid="{D5CDD505-2E9C-101B-9397-08002B2CF9AE}" pid="7" name="Rub">
    <vt:lpwstr>Omnibus2-direktivet</vt:lpwstr>
  </property>
  <property fmtid="{D5CDD505-2E9C-101B-9397-08002B2CF9AE}" pid="8" name="UppDat">
    <vt:lpwstr>2011-02-25</vt:lpwstr>
  </property>
  <property fmtid="{D5CDD505-2E9C-101B-9397-08002B2CF9AE}" pid="9" name="AnkDat">
    <vt:lpwstr>2011-02-25</vt:lpwstr>
  </property>
  <property fmtid="{D5CDD505-2E9C-101B-9397-08002B2CF9AE}" pid="10" name="Utsk">
    <vt:lpwstr>Finansutskottet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1;0;0;421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Utrikesdepartementet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