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0A6" w:rsidRDefault="000550A6" w:rsidP="000550A6"/>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550A6" w:rsidTr="00556626">
        <w:tc>
          <w:tcPr>
            <w:tcW w:w="9141" w:type="dxa"/>
          </w:tcPr>
          <w:p w:rsidR="000550A6" w:rsidRDefault="000550A6" w:rsidP="00556626">
            <w:r>
              <w:t>RIKSDAGEN</w:t>
            </w:r>
          </w:p>
          <w:p w:rsidR="000550A6" w:rsidRDefault="000550A6" w:rsidP="00556626">
            <w:r>
              <w:t>TRAFIKUTSKOTTET</w:t>
            </w:r>
          </w:p>
        </w:tc>
      </w:tr>
    </w:tbl>
    <w:p w:rsidR="000550A6" w:rsidRDefault="000550A6" w:rsidP="000550A6"/>
    <w:p w:rsidR="000550A6" w:rsidRDefault="000550A6" w:rsidP="000550A6"/>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550A6" w:rsidTr="00556626">
        <w:trPr>
          <w:cantSplit/>
          <w:trHeight w:val="742"/>
        </w:trPr>
        <w:tc>
          <w:tcPr>
            <w:tcW w:w="1985" w:type="dxa"/>
          </w:tcPr>
          <w:p w:rsidR="000550A6" w:rsidRDefault="000550A6" w:rsidP="00556626">
            <w:pPr>
              <w:rPr>
                <w:b/>
              </w:rPr>
            </w:pPr>
            <w:r>
              <w:rPr>
                <w:b/>
              </w:rPr>
              <w:t xml:space="preserve">PROTOKOLL </w:t>
            </w:r>
          </w:p>
        </w:tc>
        <w:tc>
          <w:tcPr>
            <w:tcW w:w="6463" w:type="dxa"/>
          </w:tcPr>
          <w:p w:rsidR="000550A6" w:rsidRDefault="000550A6" w:rsidP="00556626">
            <w:pPr>
              <w:rPr>
                <w:b/>
              </w:rPr>
            </w:pPr>
            <w:r>
              <w:rPr>
                <w:b/>
              </w:rPr>
              <w:t>UTSKOTTSSAMMANTRÄDE 2017/18:33</w:t>
            </w:r>
          </w:p>
          <w:p w:rsidR="000550A6" w:rsidRDefault="000550A6" w:rsidP="00556626">
            <w:pPr>
              <w:rPr>
                <w:b/>
              </w:rPr>
            </w:pPr>
          </w:p>
        </w:tc>
      </w:tr>
      <w:tr w:rsidR="000550A6" w:rsidTr="00556626">
        <w:tc>
          <w:tcPr>
            <w:tcW w:w="1985" w:type="dxa"/>
          </w:tcPr>
          <w:p w:rsidR="000550A6" w:rsidRDefault="000550A6" w:rsidP="00556626">
            <w:r>
              <w:t>DATUM</w:t>
            </w:r>
          </w:p>
        </w:tc>
        <w:tc>
          <w:tcPr>
            <w:tcW w:w="6463" w:type="dxa"/>
          </w:tcPr>
          <w:p w:rsidR="000550A6" w:rsidRDefault="000550A6" w:rsidP="00556626">
            <w:r>
              <w:t>2018-06-12</w:t>
            </w:r>
          </w:p>
        </w:tc>
      </w:tr>
      <w:tr w:rsidR="000550A6" w:rsidTr="00556626">
        <w:tc>
          <w:tcPr>
            <w:tcW w:w="1985" w:type="dxa"/>
          </w:tcPr>
          <w:p w:rsidR="000550A6" w:rsidRDefault="000550A6" w:rsidP="00556626">
            <w:r>
              <w:t>TID</w:t>
            </w:r>
          </w:p>
        </w:tc>
        <w:tc>
          <w:tcPr>
            <w:tcW w:w="6463" w:type="dxa"/>
          </w:tcPr>
          <w:p w:rsidR="000550A6" w:rsidRDefault="00A016F8" w:rsidP="00556626">
            <w:r>
              <w:t>12.55-13.25</w:t>
            </w:r>
          </w:p>
          <w:p w:rsidR="000550A6" w:rsidRDefault="000550A6" w:rsidP="00556626"/>
        </w:tc>
      </w:tr>
      <w:tr w:rsidR="000550A6" w:rsidTr="00556626">
        <w:tc>
          <w:tcPr>
            <w:tcW w:w="1985" w:type="dxa"/>
          </w:tcPr>
          <w:p w:rsidR="000550A6" w:rsidRDefault="000550A6" w:rsidP="00556626">
            <w:r>
              <w:t>NÄRVARANDE</w:t>
            </w:r>
          </w:p>
        </w:tc>
        <w:tc>
          <w:tcPr>
            <w:tcW w:w="6463" w:type="dxa"/>
          </w:tcPr>
          <w:p w:rsidR="000550A6" w:rsidRDefault="000550A6" w:rsidP="00556626">
            <w:r>
              <w:t>Se bilaga 1</w:t>
            </w:r>
          </w:p>
        </w:tc>
      </w:tr>
    </w:tbl>
    <w:p w:rsidR="000550A6" w:rsidRDefault="000550A6" w:rsidP="000550A6"/>
    <w:p w:rsidR="000550A6" w:rsidRDefault="000550A6" w:rsidP="000550A6">
      <w:pPr>
        <w:tabs>
          <w:tab w:val="left" w:pos="1701"/>
        </w:tabs>
        <w:rPr>
          <w:snapToGrid w:val="0"/>
          <w:color w:val="000000"/>
        </w:rPr>
      </w:pPr>
    </w:p>
    <w:p w:rsidR="000550A6" w:rsidRPr="007C7EB8" w:rsidRDefault="000550A6" w:rsidP="000550A6">
      <w:pPr>
        <w:tabs>
          <w:tab w:val="left" w:pos="1701"/>
        </w:tabs>
        <w:rPr>
          <w:snapToGrid w:val="0"/>
          <w:color w:val="000000"/>
        </w:rPr>
      </w:pPr>
    </w:p>
    <w:p w:rsidR="000550A6" w:rsidRPr="007C7EB8" w:rsidRDefault="000550A6" w:rsidP="000550A6">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0550A6" w:rsidTr="00556626">
        <w:tc>
          <w:tcPr>
            <w:tcW w:w="567" w:type="dxa"/>
          </w:tcPr>
          <w:p w:rsidR="000550A6" w:rsidRDefault="000550A6" w:rsidP="00556626">
            <w:pPr>
              <w:tabs>
                <w:tab w:val="left" w:pos="1701"/>
              </w:tabs>
              <w:rPr>
                <w:b/>
                <w:snapToGrid w:val="0"/>
              </w:rPr>
            </w:pPr>
            <w:r>
              <w:rPr>
                <w:b/>
                <w:snapToGrid w:val="0"/>
              </w:rPr>
              <w:t>§ 1</w:t>
            </w:r>
          </w:p>
          <w:p w:rsidR="000550A6" w:rsidRPr="00E64F72" w:rsidRDefault="000550A6" w:rsidP="00556626"/>
          <w:p w:rsidR="000550A6" w:rsidRPr="00E64F72" w:rsidRDefault="000550A6" w:rsidP="00556626"/>
          <w:p w:rsidR="000550A6" w:rsidRPr="00E64F72" w:rsidRDefault="000550A6" w:rsidP="00556626"/>
          <w:p w:rsidR="00D90E4B" w:rsidRDefault="00D90E4B" w:rsidP="00556626">
            <w:pPr>
              <w:rPr>
                <w:b/>
              </w:rPr>
            </w:pPr>
          </w:p>
          <w:p w:rsidR="00D90E4B" w:rsidRDefault="00D90E4B" w:rsidP="00556626">
            <w:pPr>
              <w:rPr>
                <w:b/>
              </w:rPr>
            </w:pPr>
          </w:p>
          <w:p w:rsidR="00D90E4B" w:rsidRDefault="00D90E4B" w:rsidP="00556626">
            <w:pPr>
              <w:rPr>
                <w:b/>
              </w:rPr>
            </w:pPr>
          </w:p>
          <w:p w:rsidR="00D90E4B" w:rsidRDefault="00D90E4B" w:rsidP="00556626">
            <w:pPr>
              <w:rPr>
                <w:b/>
              </w:rPr>
            </w:pPr>
          </w:p>
          <w:p w:rsidR="000550A6" w:rsidRDefault="000550A6" w:rsidP="00556626">
            <w:pPr>
              <w:rPr>
                <w:b/>
              </w:rPr>
            </w:pPr>
            <w:r w:rsidRPr="00E64F72">
              <w:rPr>
                <w:b/>
              </w:rPr>
              <w:t>§ 2</w:t>
            </w:r>
          </w:p>
          <w:p w:rsidR="00D90E4B" w:rsidRDefault="00D90E4B" w:rsidP="00556626">
            <w:pPr>
              <w:rPr>
                <w:b/>
              </w:rPr>
            </w:pPr>
          </w:p>
          <w:p w:rsidR="00D90E4B" w:rsidRDefault="00D90E4B" w:rsidP="00556626">
            <w:pPr>
              <w:rPr>
                <w:b/>
              </w:rPr>
            </w:pPr>
          </w:p>
          <w:p w:rsidR="00D90E4B" w:rsidRDefault="00D90E4B" w:rsidP="00556626">
            <w:pPr>
              <w:rPr>
                <w:b/>
              </w:rPr>
            </w:pPr>
          </w:p>
          <w:p w:rsidR="00D90E4B" w:rsidRPr="00E64F72" w:rsidRDefault="00D90E4B" w:rsidP="00556626">
            <w:pPr>
              <w:rPr>
                <w:b/>
              </w:rPr>
            </w:pPr>
            <w:r>
              <w:rPr>
                <w:b/>
              </w:rPr>
              <w:t>§ 3</w:t>
            </w:r>
          </w:p>
        </w:tc>
        <w:tc>
          <w:tcPr>
            <w:tcW w:w="6946" w:type="dxa"/>
            <w:gridSpan w:val="2"/>
          </w:tcPr>
          <w:p w:rsidR="00D90E4B" w:rsidRDefault="00D90E4B" w:rsidP="00D90E4B">
            <w:pPr>
              <w:rPr>
                <w:b/>
                <w:bCs/>
                <w:szCs w:val="24"/>
              </w:rPr>
            </w:pPr>
            <w:r w:rsidRPr="002E4D30">
              <w:rPr>
                <w:b/>
                <w:bCs/>
                <w:szCs w:val="24"/>
              </w:rPr>
              <w:t>Utskottssammanträde samtidig</w:t>
            </w:r>
            <w:r w:rsidR="001042A1">
              <w:rPr>
                <w:b/>
                <w:bCs/>
                <w:szCs w:val="24"/>
              </w:rPr>
              <w:t>t</w:t>
            </w:r>
            <w:r w:rsidRPr="002E4D30">
              <w:rPr>
                <w:b/>
                <w:bCs/>
                <w:szCs w:val="24"/>
              </w:rPr>
              <w:t xml:space="preserve"> som kammarsammanträde</w:t>
            </w:r>
          </w:p>
          <w:p w:rsidR="00D90E4B" w:rsidRPr="002E4D30" w:rsidRDefault="00D90E4B" w:rsidP="00D90E4B">
            <w:pPr>
              <w:rPr>
                <w:b/>
                <w:bCs/>
                <w:szCs w:val="24"/>
              </w:rPr>
            </w:pPr>
          </w:p>
          <w:p w:rsidR="00D90E4B" w:rsidRDefault="00D90E4B" w:rsidP="00D90E4B">
            <w:pPr>
              <w:rPr>
                <w:szCs w:val="24"/>
              </w:rPr>
            </w:pPr>
            <w:r w:rsidRPr="002E4D30">
              <w:rPr>
                <w:szCs w:val="24"/>
              </w:rPr>
              <w:t xml:space="preserve">Utskottet beslutade med stöd av 7 kap. 15 § riksdagsordningen, tilläggsbestämmelse 7.15.3, att </w:t>
            </w:r>
            <w:r>
              <w:rPr>
                <w:szCs w:val="24"/>
              </w:rPr>
              <w:t>utskottet får sammanträda den 12 juni 2018</w:t>
            </w:r>
            <w:r w:rsidRPr="002E4D30">
              <w:rPr>
                <w:szCs w:val="24"/>
              </w:rPr>
              <w:t xml:space="preserve">, även under arbetsplenum eller val i kammaren. </w:t>
            </w:r>
          </w:p>
          <w:p w:rsidR="00D90E4B" w:rsidRDefault="00D90E4B" w:rsidP="00D90E4B">
            <w:pPr>
              <w:rPr>
                <w:szCs w:val="24"/>
              </w:rPr>
            </w:pPr>
          </w:p>
          <w:p w:rsidR="00A016F8" w:rsidRPr="00D90E4B" w:rsidRDefault="00D90E4B" w:rsidP="00556626">
            <w:pPr>
              <w:rPr>
                <w:szCs w:val="24"/>
              </w:rPr>
            </w:pPr>
            <w:r w:rsidRPr="002E4D30">
              <w:rPr>
                <w:szCs w:val="24"/>
              </w:rPr>
              <w:t>Denna paragraf förklarades omedelbart justerad.</w:t>
            </w:r>
          </w:p>
          <w:p w:rsidR="00A016F8" w:rsidRDefault="00A016F8" w:rsidP="00556626">
            <w:pPr>
              <w:rPr>
                <w:b/>
                <w:bCs/>
                <w:snapToGrid w:val="0"/>
              </w:rPr>
            </w:pPr>
          </w:p>
          <w:p w:rsidR="000550A6" w:rsidRDefault="000550A6" w:rsidP="00556626">
            <w:pPr>
              <w:rPr>
                <w:b/>
                <w:bCs/>
                <w:snapToGrid w:val="0"/>
              </w:rPr>
            </w:pPr>
            <w:r>
              <w:rPr>
                <w:b/>
                <w:bCs/>
                <w:snapToGrid w:val="0"/>
              </w:rPr>
              <w:t>Justering av protokoll</w:t>
            </w:r>
            <w:r>
              <w:rPr>
                <w:b/>
                <w:bCs/>
                <w:snapToGrid w:val="0"/>
              </w:rPr>
              <w:br/>
            </w:r>
          </w:p>
          <w:p w:rsidR="000550A6" w:rsidRDefault="000550A6" w:rsidP="00556626">
            <w:pPr>
              <w:rPr>
                <w:bCs/>
                <w:snapToGrid w:val="0"/>
              </w:rPr>
            </w:pPr>
            <w:r w:rsidRPr="004A51E9">
              <w:rPr>
                <w:bCs/>
                <w:snapToGrid w:val="0"/>
              </w:rPr>
              <w:t>Utskott</w:t>
            </w:r>
            <w:r>
              <w:rPr>
                <w:bCs/>
                <w:snapToGrid w:val="0"/>
              </w:rPr>
              <w:t>e</w:t>
            </w:r>
            <w:r w:rsidR="005B1DD2">
              <w:rPr>
                <w:bCs/>
                <w:snapToGrid w:val="0"/>
              </w:rPr>
              <w:t xml:space="preserve">t justerade protokoll 2017/18:31 och </w:t>
            </w:r>
            <w:r w:rsidR="00560EA7">
              <w:rPr>
                <w:bCs/>
                <w:snapToGrid w:val="0"/>
              </w:rPr>
              <w:t>2017/18:</w:t>
            </w:r>
            <w:r w:rsidR="005B1DD2">
              <w:rPr>
                <w:bCs/>
                <w:snapToGrid w:val="0"/>
              </w:rPr>
              <w:t>32</w:t>
            </w:r>
            <w:r>
              <w:rPr>
                <w:bCs/>
                <w:snapToGrid w:val="0"/>
              </w:rPr>
              <w:t>.</w:t>
            </w:r>
          </w:p>
          <w:p w:rsidR="000550A6" w:rsidRDefault="000550A6" w:rsidP="00556626">
            <w:pPr>
              <w:pStyle w:val="Default"/>
              <w:rPr>
                <w:bCs/>
                <w:snapToGrid w:val="0"/>
              </w:rPr>
            </w:pPr>
          </w:p>
          <w:p w:rsidR="000550A6" w:rsidRDefault="000550A6" w:rsidP="00556626">
            <w:pPr>
              <w:pStyle w:val="Default"/>
              <w:rPr>
                <w:b/>
                <w:bCs/>
              </w:rPr>
            </w:pPr>
            <w:r>
              <w:rPr>
                <w:b/>
                <w:bCs/>
              </w:rPr>
              <w:t>Förslag om förordning om  genomförandet och driften av toppdomännamnet .eu och om upphävande av förordning (EG) nr 733/2002 och kommissionens förordning (EG) nr 874/2004</w:t>
            </w:r>
          </w:p>
          <w:p w:rsidR="00CC4385" w:rsidRDefault="00CC4385" w:rsidP="00556626">
            <w:pPr>
              <w:pStyle w:val="Default"/>
              <w:rPr>
                <w:b/>
                <w:bCs/>
              </w:rPr>
            </w:pPr>
          </w:p>
          <w:p w:rsidR="00CC4385" w:rsidRDefault="00CC4385" w:rsidP="00CC4385">
            <w:pPr>
              <w:tabs>
                <w:tab w:val="left" w:pos="1701"/>
              </w:tabs>
              <w:rPr>
                <w:snapToGrid w:val="0"/>
              </w:rPr>
            </w:pPr>
            <w:r>
              <w:rPr>
                <w:snapToGrid w:val="0"/>
              </w:rPr>
              <w:t>Utskottet inledde subsidiar</w:t>
            </w:r>
            <w:r w:rsidR="00FD202D">
              <w:rPr>
                <w:snapToGrid w:val="0"/>
              </w:rPr>
              <w:t>itetsprövningen av COM(2018) 231</w:t>
            </w:r>
            <w:r>
              <w:rPr>
                <w:snapToGrid w:val="0"/>
              </w:rPr>
              <w:t>.</w:t>
            </w:r>
          </w:p>
          <w:p w:rsidR="00D90E4B" w:rsidRDefault="00D90E4B" w:rsidP="00CC4385">
            <w:pPr>
              <w:tabs>
                <w:tab w:val="left" w:pos="1701"/>
              </w:tabs>
              <w:rPr>
                <w:snapToGrid w:val="0"/>
              </w:rPr>
            </w:pPr>
          </w:p>
          <w:p w:rsidR="00D90E4B" w:rsidRDefault="00D90E4B" w:rsidP="00D90E4B">
            <w:pPr>
              <w:rPr>
                <w:rFonts w:eastAsiaTheme="minorHAnsi"/>
                <w:bCs/>
                <w:color w:val="000000"/>
                <w:szCs w:val="24"/>
                <w:lang w:eastAsia="en-US"/>
              </w:rPr>
            </w:pPr>
            <w:r>
              <w:rPr>
                <w:rFonts w:eastAsiaTheme="minorHAnsi"/>
                <w:bCs/>
                <w:color w:val="000000"/>
                <w:szCs w:val="24"/>
                <w:lang w:eastAsia="en-US"/>
              </w:rPr>
              <w:t>Utskottet ansåg</w:t>
            </w:r>
            <w:r w:rsidRPr="00035A24">
              <w:rPr>
                <w:rFonts w:eastAsiaTheme="minorHAnsi"/>
                <w:bCs/>
                <w:color w:val="000000"/>
                <w:szCs w:val="24"/>
                <w:lang w:eastAsia="en-US"/>
              </w:rPr>
              <w:t xml:space="preserve"> att förslaget inte strider mot subsidiaritetsprincipen.</w:t>
            </w:r>
          </w:p>
          <w:p w:rsidR="00D90E4B" w:rsidRDefault="00D90E4B" w:rsidP="00CC4385">
            <w:pPr>
              <w:tabs>
                <w:tab w:val="left" w:pos="1701"/>
              </w:tabs>
              <w:rPr>
                <w:snapToGrid w:val="0"/>
              </w:rPr>
            </w:pPr>
          </w:p>
          <w:p w:rsidR="00D90E4B" w:rsidRPr="00035A24" w:rsidRDefault="00D90E4B" w:rsidP="00D90E4B">
            <w:pPr>
              <w:rPr>
                <w:rFonts w:eastAsiaTheme="minorHAnsi"/>
                <w:bCs/>
                <w:color w:val="000000"/>
                <w:szCs w:val="24"/>
                <w:lang w:eastAsia="en-US"/>
              </w:rPr>
            </w:pPr>
            <w:r>
              <w:rPr>
                <w:rFonts w:eastAsiaTheme="minorHAnsi"/>
                <w:bCs/>
                <w:color w:val="000000"/>
                <w:szCs w:val="24"/>
                <w:lang w:eastAsia="en-US"/>
              </w:rPr>
              <w:t>Denna paragraf förklarades omedelbart justerad.</w:t>
            </w:r>
          </w:p>
          <w:p w:rsidR="000550A6" w:rsidRPr="005A40A6" w:rsidRDefault="000550A6" w:rsidP="00F62717">
            <w:pPr>
              <w:tabs>
                <w:tab w:val="left" w:pos="1701"/>
              </w:tabs>
              <w:rPr>
                <w:bCs/>
                <w:snapToGrid w:val="0"/>
              </w:rPr>
            </w:pPr>
          </w:p>
        </w:tc>
      </w:tr>
      <w:tr w:rsidR="000550A6" w:rsidTr="00556626">
        <w:tc>
          <w:tcPr>
            <w:tcW w:w="567" w:type="dxa"/>
          </w:tcPr>
          <w:p w:rsidR="000550A6" w:rsidRDefault="00D90E4B" w:rsidP="00556626">
            <w:pPr>
              <w:tabs>
                <w:tab w:val="left" w:pos="1701"/>
              </w:tabs>
              <w:rPr>
                <w:b/>
                <w:snapToGrid w:val="0"/>
              </w:rPr>
            </w:pPr>
            <w:r>
              <w:rPr>
                <w:b/>
                <w:snapToGrid w:val="0"/>
              </w:rPr>
              <w:t>§ 4</w:t>
            </w:r>
          </w:p>
        </w:tc>
        <w:tc>
          <w:tcPr>
            <w:tcW w:w="6946" w:type="dxa"/>
            <w:gridSpan w:val="2"/>
          </w:tcPr>
          <w:p w:rsidR="000550A6" w:rsidRDefault="000550A6" w:rsidP="00556626">
            <w:pPr>
              <w:tabs>
                <w:tab w:val="left" w:pos="1701"/>
              </w:tabs>
              <w:rPr>
                <w:rFonts w:eastAsiaTheme="minorHAnsi"/>
                <w:b/>
                <w:bCs/>
                <w:color w:val="000000"/>
                <w:szCs w:val="24"/>
                <w:lang w:eastAsia="en-US"/>
              </w:rPr>
            </w:pPr>
            <w:r>
              <w:rPr>
                <w:rFonts w:eastAsiaTheme="minorHAnsi"/>
                <w:b/>
                <w:bCs/>
                <w:color w:val="000000"/>
                <w:szCs w:val="24"/>
                <w:lang w:eastAsia="en-US"/>
              </w:rPr>
              <w:t>Förslag om ändring av direktiv 2008/96/EG om förvaltning av vägars säkerhet</w:t>
            </w:r>
          </w:p>
          <w:p w:rsidR="00CC4385" w:rsidRDefault="00CC4385" w:rsidP="00556626">
            <w:pPr>
              <w:tabs>
                <w:tab w:val="left" w:pos="1701"/>
              </w:tabs>
              <w:rPr>
                <w:rFonts w:eastAsiaTheme="minorHAnsi"/>
                <w:b/>
                <w:bCs/>
                <w:color w:val="000000"/>
                <w:szCs w:val="24"/>
                <w:lang w:eastAsia="en-US"/>
              </w:rPr>
            </w:pPr>
          </w:p>
          <w:p w:rsidR="00CC4385" w:rsidRDefault="00CC4385" w:rsidP="00CC4385">
            <w:pPr>
              <w:tabs>
                <w:tab w:val="left" w:pos="1701"/>
              </w:tabs>
              <w:rPr>
                <w:snapToGrid w:val="0"/>
              </w:rPr>
            </w:pPr>
            <w:r>
              <w:rPr>
                <w:snapToGrid w:val="0"/>
              </w:rPr>
              <w:t>Utskottet inledde subsidiar</w:t>
            </w:r>
            <w:r w:rsidR="00FD202D">
              <w:rPr>
                <w:snapToGrid w:val="0"/>
              </w:rPr>
              <w:t>itetsprövningen av COM(2018) 274</w:t>
            </w:r>
            <w:r>
              <w:rPr>
                <w:snapToGrid w:val="0"/>
              </w:rPr>
              <w:t>.</w:t>
            </w:r>
          </w:p>
          <w:p w:rsidR="00D90E4B" w:rsidRDefault="00D90E4B" w:rsidP="00CC4385">
            <w:pPr>
              <w:tabs>
                <w:tab w:val="left" w:pos="1701"/>
              </w:tabs>
              <w:rPr>
                <w:snapToGrid w:val="0"/>
              </w:rPr>
            </w:pPr>
          </w:p>
          <w:p w:rsidR="00CC4385" w:rsidRDefault="00D90E4B" w:rsidP="00CC4385">
            <w:pPr>
              <w:tabs>
                <w:tab w:val="left" w:pos="1701"/>
              </w:tabs>
              <w:rPr>
                <w:snapToGrid w:val="0"/>
              </w:rPr>
            </w:pPr>
            <w:r>
              <w:rPr>
                <w:snapToGrid w:val="0"/>
              </w:rPr>
              <w:t>Ärendet bordlades.</w:t>
            </w:r>
          </w:p>
          <w:p w:rsidR="000550A6" w:rsidRDefault="000550A6" w:rsidP="00F62717">
            <w:pPr>
              <w:tabs>
                <w:tab w:val="left" w:pos="1701"/>
              </w:tabs>
              <w:rPr>
                <w:b/>
                <w:snapToGrid w:val="0"/>
              </w:rPr>
            </w:pPr>
          </w:p>
        </w:tc>
      </w:tr>
      <w:tr w:rsidR="000550A6" w:rsidTr="00556626">
        <w:tc>
          <w:tcPr>
            <w:tcW w:w="567" w:type="dxa"/>
          </w:tcPr>
          <w:p w:rsidR="000550A6" w:rsidRDefault="00D90E4B" w:rsidP="00556626">
            <w:pPr>
              <w:tabs>
                <w:tab w:val="left" w:pos="1701"/>
              </w:tabs>
              <w:rPr>
                <w:b/>
                <w:snapToGrid w:val="0"/>
              </w:rPr>
            </w:pPr>
            <w:r>
              <w:rPr>
                <w:b/>
                <w:snapToGrid w:val="0"/>
              </w:rPr>
              <w:t>§ 5</w:t>
            </w:r>
          </w:p>
        </w:tc>
        <w:tc>
          <w:tcPr>
            <w:tcW w:w="6946" w:type="dxa"/>
            <w:gridSpan w:val="2"/>
          </w:tcPr>
          <w:p w:rsidR="000550A6" w:rsidRDefault="000550A6" w:rsidP="00556626">
            <w:pPr>
              <w:rPr>
                <w:rFonts w:eastAsiaTheme="minorHAnsi"/>
                <w:b/>
                <w:bCs/>
                <w:color w:val="000000"/>
                <w:szCs w:val="24"/>
                <w:lang w:eastAsia="en-US"/>
              </w:rPr>
            </w:pPr>
            <w:r>
              <w:rPr>
                <w:rFonts w:eastAsiaTheme="minorHAnsi"/>
                <w:b/>
                <w:bCs/>
                <w:color w:val="000000"/>
                <w:szCs w:val="24"/>
                <w:lang w:eastAsia="en-US"/>
              </w:rPr>
              <w:t>Förslag om ändring av direktiv 96/53/EG vad gäller tidsbegränsningen för tillämpningen av de särskilda reglerna om maxlängd för förarhytter med bättre aerodynamisk prestanda, energieffektivitet och säkerhetsprestanda</w:t>
            </w:r>
          </w:p>
          <w:p w:rsidR="00CC4385" w:rsidRDefault="00CC4385" w:rsidP="00556626">
            <w:pPr>
              <w:rPr>
                <w:rFonts w:eastAsiaTheme="minorHAnsi"/>
                <w:b/>
                <w:bCs/>
                <w:color w:val="000000"/>
                <w:szCs w:val="24"/>
                <w:lang w:eastAsia="en-US"/>
              </w:rPr>
            </w:pPr>
          </w:p>
          <w:p w:rsidR="00CC4385" w:rsidRDefault="00CC4385" w:rsidP="00CC4385">
            <w:pPr>
              <w:tabs>
                <w:tab w:val="left" w:pos="1701"/>
              </w:tabs>
              <w:rPr>
                <w:snapToGrid w:val="0"/>
              </w:rPr>
            </w:pPr>
            <w:r>
              <w:rPr>
                <w:snapToGrid w:val="0"/>
              </w:rPr>
              <w:t>Utskottet inledde subsidiar</w:t>
            </w:r>
            <w:r w:rsidR="00FD202D">
              <w:rPr>
                <w:snapToGrid w:val="0"/>
              </w:rPr>
              <w:t>itetsprövningen av COM(2018) 275</w:t>
            </w:r>
            <w:r>
              <w:rPr>
                <w:snapToGrid w:val="0"/>
              </w:rPr>
              <w:t>.</w:t>
            </w:r>
          </w:p>
          <w:p w:rsidR="00D90E4B" w:rsidRDefault="00D90E4B" w:rsidP="00CC4385">
            <w:pPr>
              <w:tabs>
                <w:tab w:val="left" w:pos="1701"/>
              </w:tabs>
              <w:rPr>
                <w:snapToGrid w:val="0"/>
              </w:rPr>
            </w:pPr>
          </w:p>
          <w:p w:rsidR="00D90E4B" w:rsidRPr="001042A1" w:rsidRDefault="001042A1" w:rsidP="00D90E4B">
            <w:pPr>
              <w:rPr>
                <w:sz w:val="22"/>
              </w:rPr>
            </w:pPr>
            <w:r>
              <w:lastRenderedPageBreak/>
              <w:t>Under förutsättning att förslaget kommer att hänvisas till utskottet för subsidiaritetsprövning beslutade utskottet att meddela att förslaget inte strider mot subsidiaritetsprincipen.</w:t>
            </w:r>
          </w:p>
          <w:p w:rsidR="001042A1" w:rsidRDefault="001042A1" w:rsidP="00D90E4B">
            <w:pPr>
              <w:tabs>
                <w:tab w:val="left" w:pos="1701"/>
              </w:tabs>
              <w:rPr>
                <w:snapToGrid w:val="0"/>
              </w:rPr>
            </w:pPr>
          </w:p>
          <w:p w:rsidR="00CC4385" w:rsidRPr="00D90E4B" w:rsidRDefault="00D90E4B" w:rsidP="00D90E4B">
            <w:pPr>
              <w:rPr>
                <w:rFonts w:eastAsiaTheme="minorHAnsi"/>
                <w:bCs/>
                <w:color w:val="000000"/>
                <w:szCs w:val="24"/>
                <w:lang w:eastAsia="en-US"/>
              </w:rPr>
            </w:pPr>
            <w:r>
              <w:rPr>
                <w:rFonts w:eastAsiaTheme="minorHAnsi"/>
                <w:bCs/>
                <w:color w:val="000000"/>
                <w:szCs w:val="24"/>
                <w:lang w:eastAsia="en-US"/>
              </w:rPr>
              <w:t>Denna paragraf förklarades omedelbart justerad.</w:t>
            </w:r>
          </w:p>
          <w:p w:rsidR="000550A6" w:rsidRPr="003E1DC8" w:rsidRDefault="000550A6" w:rsidP="00F62717">
            <w:pPr>
              <w:tabs>
                <w:tab w:val="left" w:pos="1701"/>
              </w:tabs>
              <w:rPr>
                <w:snapToGrid w:val="0"/>
              </w:rPr>
            </w:pPr>
          </w:p>
        </w:tc>
      </w:tr>
      <w:tr w:rsidR="000550A6" w:rsidTr="00556626">
        <w:trPr>
          <w:trHeight w:val="851"/>
        </w:trPr>
        <w:tc>
          <w:tcPr>
            <w:tcW w:w="567" w:type="dxa"/>
          </w:tcPr>
          <w:p w:rsidR="000550A6" w:rsidRDefault="00FF175E" w:rsidP="00556626">
            <w:pPr>
              <w:tabs>
                <w:tab w:val="left" w:pos="1701"/>
              </w:tabs>
              <w:rPr>
                <w:b/>
                <w:snapToGrid w:val="0"/>
              </w:rPr>
            </w:pPr>
            <w:r>
              <w:rPr>
                <w:b/>
                <w:snapToGrid w:val="0"/>
              </w:rPr>
              <w:lastRenderedPageBreak/>
              <w:t>§ 6</w:t>
            </w:r>
          </w:p>
          <w:p w:rsidR="000550A6" w:rsidRDefault="000550A6"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0550A6" w:rsidRDefault="000550A6" w:rsidP="00556626">
            <w:pPr>
              <w:tabs>
                <w:tab w:val="left" w:pos="1701"/>
              </w:tabs>
              <w:rPr>
                <w:b/>
                <w:snapToGrid w:val="0"/>
              </w:rPr>
            </w:pPr>
          </w:p>
          <w:p w:rsidR="00CC4385" w:rsidRDefault="00CC4385" w:rsidP="00556626">
            <w:pPr>
              <w:tabs>
                <w:tab w:val="left" w:pos="1701"/>
              </w:tabs>
              <w:rPr>
                <w:b/>
                <w:snapToGrid w:val="0"/>
              </w:rPr>
            </w:pPr>
          </w:p>
          <w:p w:rsidR="00F62717" w:rsidRDefault="00F62717" w:rsidP="00556626">
            <w:pPr>
              <w:tabs>
                <w:tab w:val="left" w:pos="1701"/>
              </w:tabs>
              <w:rPr>
                <w:b/>
                <w:snapToGrid w:val="0"/>
              </w:rPr>
            </w:pPr>
          </w:p>
          <w:p w:rsidR="000550A6" w:rsidRDefault="00FF175E" w:rsidP="00556626">
            <w:pPr>
              <w:tabs>
                <w:tab w:val="left" w:pos="1701"/>
              </w:tabs>
              <w:rPr>
                <w:b/>
                <w:snapToGrid w:val="0"/>
              </w:rPr>
            </w:pPr>
            <w:r>
              <w:rPr>
                <w:b/>
                <w:snapToGrid w:val="0"/>
              </w:rPr>
              <w:t>§ 7</w:t>
            </w: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D90E4B" w:rsidRDefault="00D90E4B" w:rsidP="00556626">
            <w:pPr>
              <w:tabs>
                <w:tab w:val="left" w:pos="1701"/>
              </w:tabs>
              <w:rPr>
                <w:b/>
                <w:snapToGrid w:val="0"/>
              </w:rPr>
            </w:pPr>
          </w:p>
          <w:p w:rsidR="00D90E4B" w:rsidRDefault="00D90E4B" w:rsidP="00556626">
            <w:pPr>
              <w:tabs>
                <w:tab w:val="left" w:pos="1701"/>
              </w:tabs>
              <w:rPr>
                <w:b/>
                <w:snapToGrid w:val="0"/>
              </w:rPr>
            </w:pPr>
          </w:p>
          <w:p w:rsidR="00D90E4B" w:rsidRDefault="00D90E4B" w:rsidP="00556626">
            <w:pPr>
              <w:tabs>
                <w:tab w:val="left" w:pos="1701"/>
              </w:tabs>
              <w:rPr>
                <w:b/>
                <w:snapToGrid w:val="0"/>
              </w:rPr>
            </w:pPr>
          </w:p>
          <w:p w:rsidR="001042A1" w:rsidRDefault="001042A1" w:rsidP="00556626">
            <w:pPr>
              <w:tabs>
                <w:tab w:val="left" w:pos="1701"/>
              </w:tabs>
              <w:rPr>
                <w:b/>
                <w:snapToGrid w:val="0"/>
              </w:rPr>
            </w:pPr>
          </w:p>
          <w:p w:rsidR="001042A1" w:rsidRDefault="001042A1" w:rsidP="00556626">
            <w:pPr>
              <w:tabs>
                <w:tab w:val="left" w:pos="1701"/>
              </w:tabs>
              <w:rPr>
                <w:b/>
                <w:snapToGrid w:val="0"/>
              </w:rPr>
            </w:pPr>
          </w:p>
          <w:p w:rsidR="001042A1" w:rsidRDefault="001042A1" w:rsidP="00556626">
            <w:pPr>
              <w:tabs>
                <w:tab w:val="left" w:pos="1701"/>
              </w:tabs>
              <w:rPr>
                <w:b/>
                <w:snapToGrid w:val="0"/>
              </w:rPr>
            </w:pPr>
          </w:p>
          <w:p w:rsidR="001042A1" w:rsidRDefault="001042A1" w:rsidP="00556626">
            <w:pPr>
              <w:tabs>
                <w:tab w:val="left" w:pos="1701"/>
              </w:tabs>
              <w:rPr>
                <w:b/>
                <w:snapToGrid w:val="0"/>
              </w:rPr>
            </w:pPr>
          </w:p>
          <w:p w:rsidR="000550A6" w:rsidRDefault="00FF175E" w:rsidP="00556626">
            <w:pPr>
              <w:tabs>
                <w:tab w:val="left" w:pos="1701"/>
              </w:tabs>
              <w:rPr>
                <w:b/>
                <w:snapToGrid w:val="0"/>
              </w:rPr>
            </w:pPr>
            <w:r>
              <w:rPr>
                <w:b/>
                <w:snapToGrid w:val="0"/>
              </w:rPr>
              <w:t>§ 8</w:t>
            </w:r>
          </w:p>
          <w:p w:rsidR="000550A6" w:rsidRDefault="000550A6"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D90E4B" w:rsidRDefault="00D90E4B" w:rsidP="00556626">
            <w:pPr>
              <w:tabs>
                <w:tab w:val="left" w:pos="1701"/>
              </w:tabs>
              <w:rPr>
                <w:b/>
                <w:snapToGrid w:val="0"/>
              </w:rPr>
            </w:pPr>
          </w:p>
          <w:p w:rsidR="00D90E4B" w:rsidRDefault="00D90E4B" w:rsidP="00556626">
            <w:pPr>
              <w:tabs>
                <w:tab w:val="left" w:pos="1701"/>
              </w:tabs>
              <w:rPr>
                <w:b/>
                <w:snapToGrid w:val="0"/>
              </w:rPr>
            </w:pPr>
          </w:p>
          <w:p w:rsidR="00D90E4B" w:rsidRDefault="00D90E4B" w:rsidP="00556626">
            <w:pPr>
              <w:tabs>
                <w:tab w:val="left" w:pos="1701"/>
              </w:tabs>
              <w:rPr>
                <w:b/>
                <w:snapToGrid w:val="0"/>
              </w:rPr>
            </w:pPr>
          </w:p>
          <w:p w:rsidR="001042A1" w:rsidRDefault="001042A1" w:rsidP="00556626">
            <w:pPr>
              <w:tabs>
                <w:tab w:val="left" w:pos="1701"/>
              </w:tabs>
              <w:rPr>
                <w:b/>
                <w:snapToGrid w:val="0"/>
              </w:rPr>
            </w:pPr>
          </w:p>
          <w:p w:rsidR="001042A1" w:rsidRDefault="001042A1" w:rsidP="00556626">
            <w:pPr>
              <w:tabs>
                <w:tab w:val="left" w:pos="1701"/>
              </w:tabs>
              <w:rPr>
                <w:b/>
                <w:snapToGrid w:val="0"/>
              </w:rPr>
            </w:pPr>
          </w:p>
          <w:p w:rsidR="001042A1" w:rsidRDefault="001042A1" w:rsidP="00556626">
            <w:pPr>
              <w:tabs>
                <w:tab w:val="left" w:pos="1701"/>
              </w:tabs>
              <w:rPr>
                <w:b/>
                <w:snapToGrid w:val="0"/>
              </w:rPr>
            </w:pPr>
          </w:p>
          <w:p w:rsidR="001042A1" w:rsidRDefault="001042A1" w:rsidP="00556626">
            <w:pPr>
              <w:tabs>
                <w:tab w:val="left" w:pos="1701"/>
              </w:tabs>
              <w:rPr>
                <w:b/>
                <w:snapToGrid w:val="0"/>
              </w:rPr>
            </w:pPr>
          </w:p>
          <w:p w:rsidR="001042A1" w:rsidRDefault="001042A1" w:rsidP="00556626">
            <w:pPr>
              <w:tabs>
                <w:tab w:val="left" w:pos="1701"/>
              </w:tabs>
              <w:rPr>
                <w:b/>
                <w:snapToGrid w:val="0"/>
              </w:rPr>
            </w:pPr>
          </w:p>
          <w:p w:rsidR="001042A1" w:rsidRDefault="001042A1" w:rsidP="00556626">
            <w:pPr>
              <w:tabs>
                <w:tab w:val="left" w:pos="1701"/>
              </w:tabs>
              <w:rPr>
                <w:b/>
                <w:snapToGrid w:val="0"/>
              </w:rPr>
            </w:pPr>
          </w:p>
          <w:p w:rsidR="000550A6" w:rsidRDefault="00FF175E" w:rsidP="00556626">
            <w:pPr>
              <w:tabs>
                <w:tab w:val="left" w:pos="1701"/>
              </w:tabs>
              <w:rPr>
                <w:b/>
                <w:snapToGrid w:val="0"/>
              </w:rPr>
            </w:pPr>
            <w:r>
              <w:rPr>
                <w:b/>
                <w:snapToGrid w:val="0"/>
              </w:rPr>
              <w:t>§ 9</w:t>
            </w: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F62717" w:rsidRDefault="00F62717" w:rsidP="00556626">
            <w:pPr>
              <w:tabs>
                <w:tab w:val="left" w:pos="1701"/>
              </w:tabs>
              <w:rPr>
                <w:b/>
                <w:snapToGrid w:val="0"/>
              </w:rPr>
            </w:pPr>
          </w:p>
          <w:p w:rsidR="00D90E4B" w:rsidRDefault="00D90E4B" w:rsidP="00556626">
            <w:pPr>
              <w:tabs>
                <w:tab w:val="left" w:pos="1701"/>
              </w:tabs>
              <w:rPr>
                <w:b/>
                <w:snapToGrid w:val="0"/>
              </w:rPr>
            </w:pPr>
          </w:p>
          <w:p w:rsidR="00D90E4B" w:rsidRDefault="00D90E4B" w:rsidP="00556626">
            <w:pPr>
              <w:tabs>
                <w:tab w:val="left" w:pos="1701"/>
              </w:tabs>
              <w:rPr>
                <w:b/>
                <w:snapToGrid w:val="0"/>
              </w:rPr>
            </w:pPr>
          </w:p>
          <w:p w:rsidR="00D90E4B" w:rsidRDefault="00D90E4B" w:rsidP="00556626">
            <w:pPr>
              <w:tabs>
                <w:tab w:val="left" w:pos="1701"/>
              </w:tabs>
              <w:rPr>
                <w:b/>
                <w:snapToGrid w:val="0"/>
              </w:rPr>
            </w:pPr>
          </w:p>
          <w:p w:rsidR="000550A6" w:rsidRDefault="000550A6" w:rsidP="00556626">
            <w:pPr>
              <w:tabs>
                <w:tab w:val="left" w:pos="1701"/>
              </w:tabs>
              <w:rPr>
                <w:b/>
                <w:snapToGrid w:val="0"/>
              </w:rPr>
            </w:pPr>
            <w:r>
              <w:rPr>
                <w:b/>
                <w:snapToGrid w:val="0"/>
              </w:rPr>
              <w:t xml:space="preserve">§ </w:t>
            </w:r>
            <w:r w:rsidR="00FF175E">
              <w:rPr>
                <w:b/>
                <w:snapToGrid w:val="0"/>
              </w:rPr>
              <w:t>10</w:t>
            </w: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CC4385" w:rsidRDefault="00CC4385" w:rsidP="00556626">
            <w:pPr>
              <w:tabs>
                <w:tab w:val="left" w:pos="1701"/>
              </w:tabs>
              <w:rPr>
                <w:b/>
                <w:snapToGrid w:val="0"/>
              </w:rPr>
            </w:pPr>
          </w:p>
          <w:p w:rsidR="00F62717" w:rsidRDefault="00F62717" w:rsidP="00556626">
            <w:pPr>
              <w:tabs>
                <w:tab w:val="left" w:pos="1701"/>
              </w:tabs>
              <w:rPr>
                <w:b/>
                <w:snapToGrid w:val="0"/>
              </w:rPr>
            </w:pPr>
          </w:p>
          <w:p w:rsidR="00F62717" w:rsidRDefault="00F62717" w:rsidP="00556626">
            <w:pPr>
              <w:tabs>
                <w:tab w:val="left" w:pos="1701"/>
              </w:tabs>
              <w:rPr>
                <w:b/>
                <w:snapToGrid w:val="0"/>
              </w:rPr>
            </w:pPr>
          </w:p>
          <w:p w:rsidR="00F62717" w:rsidRDefault="00F62717" w:rsidP="00556626">
            <w:pPr>
              <w:tabs>
                <w:tab w:val="left" w:pos="1701"/>
              </w:tabs>
              <w:rPr>
                <w:b/>
                <w:snapToGrid w:val="0"/>
              </w:rPr>
            </w:pPr>
          </w:p>
          <w:p w:rsidR="00F62717" w:rsidRDefault="00F62717" w:rsidP="00556626">
            <w:pPr>
              <w:tabs>
                <w:tab w:val="left" w:pos="1701"/>
              </w:tabs>
              <w:rPr>
                <w:b/>
                <w:snapToGrid w:val="0"/>
              </w:rPr>
            </w:pPr>
          </w:p>
          <w:p w:rsidR="000550A6" w:rsidRDefault="00FF175E" w:rsidP="00556626">
            <w:pPr>
              <w:tabs>
                <w:tab w:val="left" w:pos="1701"/>
              </w:tabs>
              <w:rPr>
                <w:b/>
                <w:snapToGrid w:val="0"/>
              </w:rPr>
            </w:pPr>
            <w:r>
              <w:rPr>
                <w:b/>
                <w:snapToGrid w:val="0"/>
              </w:rPr>
              <w:t>§ 11</w:t>
            </w:r>
          </w:p>
          <w:p w:rsidR="000550A6" w:rsidRDefault="000550A6" w:rsidP="00556626">
            <w:pPr>
              <w:tabs>
                <w:tab w:val="left" w:pos="1701"/>
              </w:tabs>
              <w:rPr>
                <w:b/>
                <w:snapToGrid w:val="0"/>
              </w:rPr>
            </w:pPr>
          </w:p>
          <w:p w:rsidR="00CC4385" w:rsidRDefault="00CC4385" w:rsidP="00556626">
            <w:pPr>
              <w:tabs>
                <w:tab w:val="left" w:pos="1701"/>
              </w:tabs>
              <w:rPr>
                <w:b/>
                <w:snapToGrid w:val="0"/>
              </w:rPr>
            </w:pPr>
          </w:p>
          <w:p w:rsidR="000550A6" w:rsidRDefault="000550A6" w:rsidP="00556626">
            <w:pPr>
              <w:tabs>
                <w:tab w:val="left" w:pos="1701"/>
              </w:tabs>
              <w:rPr>
                <w:b/>
                <w:snapToGrid w:val="0"/>
              </w:rPr>
            </w:pPr>
          </w:p>
          <w:p w:rsidR="00F62717" w:rsidRDefault="00F62717" w:rsidP="00556626">
            <w:pPr>
              <w:tabs>
                <w:tab w:val="left" w:pos="1701"/>
              </w:tabs>
              <w:rPr>
                <w:b/>
                <w:snapToGrid w:val="0"/>
              </w:rPr>
            </w:pPr>
          </w:p>
          <w:p w:rsidR="00F62717" w:rsidRDefault="00F62717" w:rsidP="00556626">
            <w:pPr>
              <w:tabs>
                <w:tab w:val="left" w:pos="1701"/>
              </w:tabs>
              <w:rPr>
                <w:b/>
                <w:snapToGrid w:val="0"/>
              </w:rPr>
            </w:pPr>
          </w:p>
          <w:p w:rsidR="00D90E4B" w:rsidRDefault="00D90E4B" w:rsidP="00556626">
            <w:pPr>
              <w:tabs>
                <w:tab w:val="left" w:pos="1701"/>
              </w:tabs>
              <w:rPr>
                <w:b/>
                <w:snapToGrid w:val="0"/>
              </w:rPr>
            </w:pPr>
          </w:p>
          <w:p w:rsidR="00D90E4B" w:rsidRDefault="00D90E4B" w:rsidP="00556626">
            <w:pPr>
              <w:tabs>
                <w:tab w:val="left" w:pos="1701"/>
              </w:tabs>
              <w:rPr>
                <w:b/>
                <w:snapToGrid w:val="0"/>
              </w:rPr>
            </w:pPr>
          </w:p>
          <w:p w:rsidR="00D90E4B" w:rsidRDefault="00D90E4B" w:rsidP="00556626">
            <w:pPr>
              <w:tabs>
                <w:tab w:val="left" w:pos="1701"/>
              </w:tabs>
              <w:rPr>
                <w:b/>
                <w:snapToGrid w:val="0"/>
              </w:rPr>
            </w:pPr>
          </w:p>
          <w:p w:rsidR="000550A6" w:rsidRDefault="00FF175E" w:rsidP="00556626">
            <w:pPr>
              <w:tabs>
                <w:tab w:val="left" w:pos="1701"/>
              </w:tabs>
              <w:rPr>
                <w:b/>
                <w:snapToGrid w:val="0"/>
              </w:rPr>
            </w:pPr>
            <w:r>
              <w:rPr>
                <w:b/>
                <w:snapToGrid w:val="0"/>
              </w:rPr>
              <w:t>§ 12</w:t>
            </w: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0550A6" w:rsidRDefault="00FF175E" w:rsidP="00556626">
            <w:pPr>
              <w:tabs>
                <w:tab w:val="left" w:pos="1701"/>
              </w:tabs>
              <w:rPr>
                <w:b/>
                <w:snapToGrid w:val="0"/>
              </w:rPr>
            </w:pPr>
            <w:r>
              <w:rPr>
                <w:b/>
                <w:snapToGrid w:val="0"/>
              </w:rPr>
              <w:t>§ 13</w:t>
            </w: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0550A6" w:rsidRDefault="000550A6" w:rsidP="00556626">
            <w:pPr>
              <w:tabs>
                <w:tab w:val="left" w:pos="1701"/>
              </w:tabs>
              <w:rPr>
                <w:b/>
                <w:snapToGrid w:val="0"/>
              </w:rPr>
            </w:pPr>
            <w:r>
              <w:rPr>
                <w:b/>
                <w:snapToGrid w:val="0"/>
              </w:rPr>
              <w:t xml:space="preserve">    </w:t>
            </w: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0550A6" w:rsidRDefault="000550A6" w:rsidP="00556626">
            <w:pPr>
              <w:tabs>
                <w:tab w:val="left" w:pos="1701"/>
              </w:tabs>
              <w:rPr>
                <w:b/>
                <w:snapToGrid w:val="0"/>
              </w:rPr>
            </w:pPr>
          </w:p>
          <w:p w:rsidR="000550A6" w:rsidRDefault="000550A6" w:rsidP="00556626">
            <w:pPr>
              <w:tabs>
                <w:tab w:val="left" w:pos="1701"/>
              </w:tabs>
              <w:rPr>
                <w:b/>
                <w:snapToGrid w:val="0"/>
              </w:rPr>
            </w:pPr>
            <w:r>
              <w:rPr>
                <w:b/>
                <w:snapToGrid w:val="0"/>
              </w:rPr>
              <w:t xml:space="preserve"> </w:t>
            </w:r>
          </w:p>
        </w:tc>
        <w:tc>
          <w:tcPr>
            <w:tcW w:w="6946" w:type="dxa"/>
            <w:gridSpan w:val="2"/>
          </w:tcPr>
          <w:p w:rsidR="000550A6" w:rsidRDefault="000550A6" w:rsidP="00556626">
            <w:pPr>
              <w:tabs>
                <w:tab w:val="left" w:pos="1701"/>
              </w:tabs>
              <w:rPr>
                <w:rFonts w:eastAsiaTheme="minorHAnsi"/>
                <w:b/>
                <w:bCs/>
                <w:color w:val="000000"/>
                <w:szCs w:val="24"/>
                <w:lang w:eastAsia="en-US"/>
              </w:rPr>
            </w:pPr>
            <w:r>
              <w:rPr>
                <w:rFonts w:eastAsiaTheme="minorHAnsi"/>
                <w:b/>
                <w:bCs/>
                <w:color w:val="000000"/>
                <w:szCs w:val="24"/>
                <w:lang w:eastAsia="en-US"/>
              </w:rPr>
              <w:lastRenderedPageBreak/>
              <w:t>Förslag om förordning om rationaliseringsåtgärder för att påskynda förverkligandet av det transeuropeiska transportnätet</w:t>
            </w:r>
          </w:p>
          <w:p w:rsidR="00CC4385" w:rsidRDefault="00CC4385" w:rsidP="00556626">
            <w:pPr>
              <w:tabs>
                <w:tab w:val="left" w:pos="1701"/>
              </w:tabs>
              <w:rPr>
                <w:rFonts w:eastAsiaTheme="minorHAnsi"/>
                <w:b/>
                <w:bCs/>
                <w:color w:val="000000"/>
                <w:szCs w:val="24"/>
                <w:lang w:eastAsia="en-US"/>
              </w:rPr>
            </w:pPr>
          </w:p>
          <w:p w:rsidR="00CC4385" w:rsidRDefault="00CC4385" w:rsidP="00CC4385">
            <w:pPr>
              <w:tabs>
                <w:tab w:val="left" w:pos="1701"/>
              </w:tabs>
              <w:rPr>
                <w:snapToGrid w:val="0"/>
              </w:rPr>
            </w:pPr>
            <w:r>
              <w:rPr>
                <w:snapToGrid w:val="0"/>
              </w:rPr>
              <w:t>Utskottet inledde subsidiar</w:t>
            </w:r>
            <w:r w:rsidR="00FD202D">
              <w:rPr>
                <w:snapToGrid w:val="0"/>
              </w:rPr>
              <w:t>itetsprövningen av COM(2018) 277</w:t>
            </w:r>
            <w:r>
              <w:rPr>
                <w:snapToGrid w:val="0"/>
              </w:rPr>
              <w:t>.</w:t>
            </w:r>
          </w:p>
          <w:p w:rsidR="00D90E4B" w:rsidRDefault="00D90E4B" w:rsidP="00CC4385">
            <w:pPr>
              <w:tabs>
                <w:tab w:val="left" w:pos="1701"/>
              </w:tabs>
              <w:rPr>
                <w:snapToGrid w:val="0"/>
              </w:rPr>
            </w:pPr>
          </w:p>
          <w:p w:rsidR="00D90E4B" w:rsidRDefault="00D90E4B" w:rsidP="00CC4385">
            <w:pPr>
              <w:tabs>
                <w:tab w:val="left" w:pos="1701"/>
              </w:tabs>
              <w:rPr>
                <w:snapToGrid w:val="0"/>
              </w:rPr>
            </w:pPr>
            <w:r>
              <w:rPr>
                <w:snapToGrid w:val="0"/>
              </w:rPr>
              <w:t>Ärendet bordlades.</w:t>
            </w:r>
          </w:p>
          <w:p w:rsidR="00CC4385" w:rsidRDefault="00CC4385" w:rsidP="00CC4385">
            <w:pPr>
              <w:tabs>
                <w:tab w:val="left" w:pos="1701"/>
              </w:tabs>
              <w:rPr>
                <w:snapToGrid w:val="0"/>
              </w:rPr>
            </w:pPr>
          </w:p>
          <w:p w:rsidR="000550A6" w:rsidRDefault="000550A6" w:rsidP="00556626">
            <w:pPr>
              <w:tabs>
                <w:tab w:val="left" w:pos="1701"/>
              </w:tabs>
              <w:rPr>
                <w:rFonts w:eastAsiaTheme="minorHAnsi"/>
                <w:b/>
                <w:bCs/>
                <w:color w:val="000000"/>
                <w:szCs w:val="24"/>
                <w:lang w:eastAsia="en-US"/>
              </w:rPr>
            </w:pPr>
            <w:r>
              <w:rPr>
                <w:rFonts w:eastAsiaTheme="minorHAnsi"/>
                <w:b/>
                <w:bCs/>
                <w:color w:val="000000"/>
                <w:szCs w:val="24"/>
                <w:lang w:eastAsia="en-US"/>
              </w:rPr>
              <w:t>Förslag om förordning om inrättande av en europeisk miljö med en enda kontaktpunkt för sjötransport och om upphävande av direktiv 2010/65/EU</w:t>
            </w:r>
          </w:p>
          <w:p w:rsidR="00CC4385" w:rsidRDefault="00CC4385" w:rsidP="00556626">
            <w:pPr>
              <w:tabs>
                <w:tab w:val="left" w:pos="1701"/>
              </w:tabs>
              <w:rPr>
                <w:rFonts w:eastAsiaTheme="minorHAnsi"/>
                <w:b/>
                <w:bCs/>
                <w:color w:val="000000"/>
                <w:szCs w:val="24"/>
                <w:lang w:eastAsia="en-US"/>
              </w:rPr>
            </w:pPr>
          </w:p>
          <w:p w:rsidR="00CC4385" w:rsidRDefault="00CC4385" w:rsidP="00CC4385">
            <w:pPr>
              <w:tabs>
                <w:tab w:val="left" w:pos="1701"/>
              </w:tabs>
              <w:rPr>
                <w:snapToGrid w:val="0"/>
              </w:rPr>
            </w:pPr>
            <w:r>
              <w:rPr>
                <w:snapToGrid w:val="0"/>
              </w:rPr>
              <w:t>Utskottet inledde subsidiar</w:t>
            </w:r>
            <w:r w:rsidR="00FD202D">
              <w:rPr>
                <w:snapToGrid w:val="0"/>
              </w:rPr>
              <w:t>itetsprövningen av COM(2018) 278</w:t>
            </w:r>
            <w:r>
              <w:rPr>
                <w:snapToGrid w:val="0"/>
              </w:rPr>
              <w:t>.</w:t>
            </w:r>
          </w:p>
          <w:p w:rsidR="00D90E4B" w:rsidRDefault="00D90E4B" w:rsidP="00CC4385">
            <w:pPr>
              <w:tabs>
                <w:tab w:val="left" w:pos="1701"/>
              </w:tabs>
              <w:rPr>
                <w:snapToGrid w:val="0"/>
              </w:rPr>
            </w:pPr>
          </w:p>
          <w:p w:rsidR="00D90E4B" w:rsidRDefault="00D90E4B" w:rsidP="00D90E4B">
            <w:pPr>
              <w:rPr>
                <w:rFonts w:eastAsiaTheme="minorHAnsi"/>
                <w:bCs/>
                <w:color w:val="000000"/>
                <w:szCs w:val="24"/>
                <w:lang w:eastAsia="en-US"/>
              </w:rPr>
            </w:pPr>
            <w:r>
              <w:rPr>
                <w:rFonts w:eastAsiaTheme="minorHAnsi"/>
                <w:bCs/>
                <w:color w:val="000000"/>
                <w:szCs w:val="24"/>
                <w:lang w:eastAsia="en-US"/>
              </w:rPr>
              <w:t>Utskottet ansåg</w:t>
            </w:r>
            <w:r w:rsidRPr="00035A24">
              <w:rPr>
                <w:rFonts w:eastAsiaTheme="minorHAnsi"/>
                <w:bCs/>
                <w:color w:val="000000"/>
                <w:szCs w:val="24"/>
                <w:lang w:eastAsia="en-US"/>
              </w:rPr>
              <w:t xml:space="preserve"> att förslaget inte strider mot subsidiaritetsprincipen.</w:t>
            </w:r>
          </w:p>
          <w:p w:rsidR="00D90E4B" w:rsidRDefault="00D90E4B" w:rsidP="00D90E4B">
            <w:pPr>
              <w:tabs>
                <w:tab w:val="left" w:pos="1701"/>
              </w:tabs>
              <w:rPr>
                <w:snapToGrid w:val="0"/>
              </w:rPr>
            </w:pPr>
          </w:p>
          <w:p w:rsidR="001042A1" w:rsidRDefault="001042A1" w:rsidP="001042A1">
            <w:pPr>
              <w:rPr>
                <w:sz w:val="22"/>
              </w:rPr>
            </w:pPr>
            <w:r>
              <w:t>SD-ledamöterna reserverade sig mot beslutet och menade att det saknats tillräckligt med tid för att analysera förslaget och utesluta att det strider mot subsidiaritetsprincipen.</w:t>
            </w:r>
          </w:p>
          <w:p w:rsidR="001042A1" w:rsidRDefault="001042A1" w:rsidP="00D90E4B">
            <w:pPr>
              <w:tabs>
                <w:tab w:val="left" w:pos="1701"/>
              </w:tabs>
              <w:rPr>
                <w:snapToGrid w:val="0"/>
              </w:rPr>
            </w:pPr>
          </w:p>
          <w:p w:rsidR="00D90E4B" w:rsidRPr="00035A24" w:rsidRDefault="00D90E4B" w:rsidP="00D90E4B">
            <w:pPr>
              <w:rPr>
                <w:rFonts w:eastAsiaTheme="minorHAnsi"/>
                <w:bCs/>
                <w:color w:val="000000"/>
                <w:szCs w:val="24"/>
                <w:lang w:eastAsia="en-US"/>
              </w:rPr>
            </w:pPr>
            <w:r>
              <w:rPr>
                <w:rFonts w:eastAsiaTheme="minorHAnsi"/>
                <w:bCs/>
                <w:color w:val="000000"/>
                <w:szCs w:val="24"/>
                <w:lang w:eastAsia="en-US"/>
              </w:rPr>
              <w:t>Denna paragraf förklarades omedelbart justerad.</w:t>
            </w:r>
          </w:p>
          <w:p w:rsidR="000550A6" w:rsidRDefault="000550A6" w:rsidP="00556626">
            <w:pPr>
              <w:tabs>
                <w:tab w:val="left" w:pos="1701"/>
              </w:tabs>
              <w:rPr>
                <w:b/>
                <w:snapToGrid w:val="0"/>
              </w:rPr>
            </w:pPr>
          </w:p>
          <w:p w:rsidR="000550A6" w:rsidRDefault="000550A6" w:rsidP="00556626">
            <w:pPr>
              <w:tabs>
                <w:tab w:val="left" w:pos="1701"/>
              </w:tabs>
              <w:rPr>
                <w:snapToGrid w:val="0"/>
              </w:rPr>
            </w:pPr>
            <w:r>
              <w:rPr>
                <w:rFonts w:eastAsiaTheme="minorHAnsi"/>
                <w:b/>
                <w:bCs/>
                <w:color w:val="000000"/>
                <w:szCs w:val="24"/>
                <w:lang w:eastAsia="en-US"/>
              </w:rPr>
              <w:t>Förslag om förordning om elektronisk godstransportinformation</w:t>
            </w:r>
          </w:p>
          <w:p w:rsidR="000550A6" w:rsidRDefault="000550A6" w:rsidP="00556626">
            <w:pPr>
              <w:tabs>
                <w:tab w:val="left" w:pos="1701"/>
              </w:tabs>
              <w:rPr>
                <w:snapToGrid w:val="0"/>
              </w:rPr>
            </w:pPr>
          </w:p>
          <w:p w:rsidR="00CC4385" w:rsidRDefault="00CC4385" w:rsidP="00CC4385">
            <w:pPr>
              <w:tabs>
                <w:tab w:val="left" w:pos="1701"/>
              </w:tabs>
              <w:rPr>
                <w:snapToGrid w:val="0"/>
              </w:rPr>
            </w:pPr>
            <w:r>
              <w:rPr>
                <w:snapToGrid w:val="0"/>
              </w:rPr>
              <w:t>Utskottet inledde subsidiar</w:t>
            </w:r>
            <w:r w:rsidR="00FD202D">
              <w:rPr>
                <w:snapToGrid w:val="0"/>
              </w:rPr>
              <w:t>itetsprövningen av COM(2018) 279</w:t>
            </w:r>
            <w:r>
              <w:rPr>
                <w:snapToGrid w:val="0"/>
              </w:rPr>
              <w:t>.</w:t>
            </w:r>
          </w:p>
          <w:p w:rsidR="00D90E4B" w:rsidRDefault="00D90E4B" w:rsidP="00CC4385">
            <w:pPr>
              <w:tabs>
                <w:tab w:val="left" w:pos="1701"/>
              </w:tabs>
              <w:rPr>
                <w:snapToGrid w:val="0"/>
              </w:rPr>
            </w:pPr>
          </w:p>
          <w:p w:rsidR="001042A1" w:rsidRDefault="001042A1" w:rsidP="001042A1">
            <w:pPr>
              <w:rPr>
                <w:sz w:val="22"/>
              </w:rPr>
            </w:pPr>
            <w:r>
              <w:t>Under förutsättning att förslaget kommer att hänvisas till utskottet för subsidiaritetsprövning beslutade utskottet att meddela att förslaget inte strider mot subsidiaritetsprincipen.</w:t>
            </w:r>
          </w:p>
          <w:p w:rsidR="00D90E4B" w:rsidRDefault="00D90E4B" w:rsidP="00D90E4B">
            <w:pPr>
              <w:rPr>
                <w:rFonts w:eastAsiaTheme="minorHAnsi"/>
                <w:bCs/>
                <w:color w:val="000000"/>
                <w:szCs w:val="24"/>
                <w:lang w:eastAsia="en-US"/>
              </w:rPr>
            </w:pPr>
          </w:p>
          <w:p w:rsidR="001042A1" w:rsidRDefault="001042A1" w:rsidP="001042A1">
            <w:pPr>
              <w:rPr>
                <w:sz w:val="22"/>
              </w:rPr>
            </w:pPr>
            <w:r>
              <w:t>SD-ledamöterna reserverade sig mot beslutet och menade att det saknats tillräckligt med tid för att analysera förslaget och utesluta att det strider mot subsidiaritetsprincipen.</w:t>
            </w:r>
          </w:p>
          <w:p w:rsidR="00D90E4B" w:rsidRDefault="00D90E4B" w:rsidP="00D90E4B">
            <w:pPr>
              <w:tabs>
                <w:tab w:val="left" w:pos="1701"/>
              </w:tabs>
              <w:rPr>
                <w:snapToGrid w:val="0"/>
              </w:rPr>
            </w:pPr>
          </w:p>
          <w:p w:rsidR="00D90E4B" w:rsidRPr="00035A24" w:rsidRDefault="00D90E4B" w:rsidP="00D90E4B">
            <w:pPr>
              <w:rPr>
                <w:rFonts w:eastAsiaTheme="minorHAnsi"/>
                <w:bCs/>
                <w:color w:val="000000"/>
                <w:szCs w:val="24"/>
                <w:lang w:eastAsia="en-US"/>
              </w:rPr>
            </w:pPr>
            <w:r>
              <w:rPr>
                <w:rFonts w:eastAsiaTheme="minorHAnsi"/>
                <w:bCs/>
                <w:color w:val="000000"/>
                <w:szCs w:val="24"/>
                <w:lang w:eastAsia="en-US"/>
              </w:rPr>
              <w:t>Denna paragraf förklarades omedelbart justerad.</w:t>
            </w:r>
          </w:p>
          <w:p w:rsidR="000550A6" w:rsidRPr="00A50A1A" w:rsidRDefault="000550A6" w:rsidP="00556626">
            <w:pPr>
              <w:tabs>
                <w:tab w:val="left" w:pos="1701"/>
              </w:tabs>
              <w:rPr>
                <w:snapToGrid w:val="0"/>
              </w:rPr>
            </w:pPr>
          </w:p>
          <w:p w:rsidR="000550A6" w:rsidRDefault="000550A6" w:rsidP="00556626">
            <w:pPr>
              <w:rPr>
                <w:rFonts w:eastAsiaTheme="minorHAnsi"/>
                <w:b/>
                <w:bCs/>
                <w:color w:val="000000"/>
                <w:szCs w:val="24"/>
                <w:lang w:eastAsia="en-US"/>
              </w:rPr>
            </w:pPr>
            <w:r>
              <w:rPr>
                <w:rFonts w:eastAsiaTheme="minorHAnsi"/>
                <w:b/>
                <w:bCs/>
                <w:color w:val="000000"/>
                <w:szCs w:val="24"/>
                <w:lang w:eastAsia="en-US"/>
              </w:rPr>
              <w:t>Förslag om krav för typgodkännande av motorfordon och deras släpvagnar samt de system, komponenter och separata tekniska enheter som är avsedda för sådana fordon, med avseende på deras allmänna säkerhet och skydd för personer i fordonet och oskyddade trafikanter, om ändring av förordning (EU) 2018/... och om upphävande av förordningarna (EG) nr 78/2009, (EG) nr 79/2009 och (EG) nr 661/2009</w:t>
            </w:r>
          </w:p>
          <w:p w:rsidR="00CC4385" w:rsidRDefault="00CC4385" w:rsidP="00556626">
            <w:pPr>
              <w:rPr>
                <w:rFonts w:eastAsiaTheme="minorHAnsi"/>
                <w:b/>
                <w:bCs/>
                <w:color w:val="000000"/>
                <w:szCs w:val="24"/>
                <w:lang w:eastAsia="en-US"/>
              </w:rPr>
            </w:pPr>
          </w:p>
          <w:p w:rsidR="00CC4385" w:rsidRDefault="00CC4385" w:rsidP="00CC4385">
            <w:pPr>
              <w:tabs>
                <w:tab w:val="left" w:pos="1701"/>
              </w:tabs>
              <w:rPr>
                <w:snapToGrid w:val="0"/>
              </w:rPr>
            </w:pPr>
            <w:r>
              <w:rPr>
                <w:snapToGrid w:val="0"/>
              </w:rPr>
              <w:t>Utskottet inledde subsidiar</w:t>
            </w:r>
            <w:r w:rsidR="00FD202D">
              <w:rPr>
                <w:snapToGrid w:val="0"/>
              </w:rPr>
              <w:t>itetsprövningen av COM(2018) 286</w:t>
            </w:r>
            <w:r>
              <w:rPr>
                <w:snapToGrid w:val="0"/>
              </w:rPr>
              <w:t>.</w:t>
            </w:r>
          </w:p>
          <w:p w:rsidR="00D90E4B" w:rsidRDefault="00D90E4B" w:rsidP="00CC4385">
            <w:pPr>
              <w:tabs>
                <w:tab w:val="left" w:pos="1701"/>
              </w:tabs>
              <w:rPr>
                <w:snapToGrid w:val="0"/>
              </w:rPr>
            </w:pPr>
          </w:p>
          <w:p w:rsidR="00D90E4B" w:rsidRDefault="00D90E4B" w:rsidP="00D90E4B">
            <w:pPr>
              <w:rPr>
                <w:rFonts w:eastAsiaTheme="minorHAnsi"/>
                <w:bCs/>
                <w:color w:val="000000"/>
                <w:szCs w:val="24"/>
                <w:lang w:eastAsia="en-US"/>
              </w:rPr>
            </w:pPr>
            <w:r>
              <w:rPr>
                <w:rFonts w:eastAsiaTheme="minorHAnsi"/>
                <w:bCs/>
                <w:color w:val="000000"/>
                <w:szCs w:val="24"/>
                <w:lang w:eastAsia="en-US"/>
              </w:rPr>
              <w:t>Utskottet ansåg</w:t>
            </w:r>
            <w:r w:rsidRPr="00035A24">
              <w:rPr>
                <w:rFonts w:eastAsiaTheme="minorHAnsi"/>
                <w:bCs/>
                <w:color w:val="000000"/>
                <w:szCs w:val="24"/>
                <w:lang w:eastAsia="en-US"/>
              </w:rPr>
              <w:t xml:space="preserve"> att förslaget inte strider mot subsidiaritetsprincipen.</w:t>
            </w:r>
          </w:p>
          <w:p w:rsidR="00D90E4B" w:rsidRDefault="00D90E4B" w:rsidP="00D90E4B">
            <w:pPr>
              <w:tabs>
                <w:tab w:val="left" w:pos="1701"/>
              </w:tabs>
              <w:rPr>
                <w:snapToGrid w:val="0"/>
              </w:rPr>
            </w:pPr>
          </w:p>
          <w:p w:rsidR="00D90E4B" w:rsidRPr="00D90E4B" w:rsidRDefault="00D90E4B" w:rsidP="00D90E4B">
            <w:pPr>
              <w:rPr>
                <w:rFonts w:eastAsiaTheme="minorHAnsi"/>
                <w:bCs/>
                <w:color w:val="000000"/>
                <w:szCs w:val="24"/>
                <w:lang w:eastAsia="en-US"/>
              </w:rPr>
            </w:pPr>
            <w:r>
              <w:rPr>
                <w:rFonts w:eastAsiaTheme="minorHAnsi"/>
                <w:bCs/>
                <w:color w:val="000000"/>
                <w:szCs w:val="24"/>
                <w:lang w:eastAsia="en-US"/>
              </w:rPr>
              <w:t>Denna paragraf förklarades omedelbart justerad.</w:t>
            </w:r>
          </w:p>
          <w:p w:rsidR="00CC4385" w:rsidRPr="00550061" w:rsidRDefault="00CC4385" w:rsidP="00556626"/>
          <w:p w:rsidR="000550A6" w:rsidRDefault="000550A6" w:rsidP="00556626">
            <w:pPr>
              <w:tabs>
                <w:tab w:val="left" w:pos="1701"/>
              </w:tabs>
            </w:pPr>
            <w:r>
              <w:rPr>
                <w:rFonts w:eastAsiaTheme="minorHAnsi"/>
                <w:b/>
                <w:bCs/>
                <w:color w:val="000000"/>
                <w:szCs w:val="24"/>
                <w:lang w:eastAsia="en-US"/>
              </w:rPr>
              <w:t>Förslag om förordning om ändring och rättelse av förordning (EU) nr 167/2013 om godkännande och marknadstillsyn av jordbruks- och skogsbruksfordon</w:t>
            </w:r>
            <w:r w:rsidRPr="00550061">
              <w:t xml:space="preserve"> </w:t>
            </w:r>
          </w:p>
          <w:p w:rsidR="00F62717" w:rsidRDefault="00F62717" w:rsidP="00F62717">
            <w:pPr>
              <w:rPr>
                <w:rFonts w:eastAsiaTheme="minorHAnsi"/>
                <w:b/>
                <w:bCs/>
                <w:color w:val="000000"/>
                <w:szCs w:val="24"/>
                <w:lang w:eastAsia="en-US"/>
              </w:rPr>
            </w:pPr>
          </w:p>
          <w:p w:rsidR="00F62717" w:rsidRPr="00035A24" w:rsidRDefault="00F62717" w:rsidP="00F62717">
            <w:pPr>
              <w:rPr>
                <w:rFonts w:eastAsiaTheme="minorHAnsi"/>
                <w:bCs/>
                <w:color w:val="000000"/>
                <w:szCs w:val="24"/>
                <w:lang w:eastAsia="en-US"/>
              </w:rPr>
            </w:pPr>
            <w:r w:rsidRPr="00035A24">
              <w:rPr>
                <w:rFonts w:eastAsiaTheme="minorHAnsi"/>
                <w:bCs/>
                <w:color w:val="000000"/>
                <w:szCs w:val="24"/>
                <w:lang w:eastAsia="en-US"/>
              </w:rPr>
              <w:t>Utskottet fortsat</w:t>
            </w:r>
            <w:r>
              <w:rPr>
                <w:rFonts w:eastAsiaTheme="minorHAnsi"/>
                <w:bCs/>
                <w:color w:val="000000"/>
                <w:szCs w:val="24"/>
                <w:lang w:eastAsia="en-US"/>
              </w:rPr>
              <w:t>te subsidiaritetsprövningen av COM(2018) 289</w:t>
            </w:r>
            <w:r w:rsidRPr="00035A24">
              <w:rPr>
                <w:rFonts w:eastAsiaTheme="minorHAnsi"/>
                <w:bCs/>
                <w:color w:val="000000"/>
                <w:szCs w:val="24"/>
                <w:lang w:eastAsia="en-US"/>
              </w:rPr>
              <w:t>.</w:t>
            </w:r>
          </w:p>
          <w:p w:rsidR="00F62717" w:rsidRDefault="00F62717" w:rsidP="00F62717">
            <w:pPr>
              <w:rPr>
                <w:rFonts w:eastAsiaTheme="minorHAnsi"/>
                <w:b/>
                <w:bCs/>
                <w:color w:val="000000"/>
                <w:szCs w:val="24"/>
                <w:lang w:eastAsia="en-US"/>
              </w:rPr>
            </w:pPr>
          </w:p>
          <w:p w:rsidR="00F62717" w:rsidRDefault="00F62717" w:rsidP="00F62717">
            <w:pPr>
              <w:rPr>
                <w:rFonts w:eastAsiaTheme="minorHAnsi"/>
                <w:bCs/>
                <w:color w:val="000000"/>
                <w:szCs w:val="24"/>
                <w:lang w:eastAsia="en-US"/>
              </w:rPr>
            </w:pPr>
            <w:r>
              <w:rPr>
                <w:rFonts w:eastAsiaTheme="minorHAnsi"/>
                <w:bCs/>
                <w:color w:val="000000"/>
                <w:szCs w:val="24"/>
                <w:lang w:eastAsia="en-US"/>
              </w:rPr>
              <w:t>Utskottet ansåg</w:t>
            </w:r>
            <w:r w:rsidRPr="00035A24">
              <w:rPr>
                <w:rFonts w:eastAsiaTheme="minorHAnsi"/>
                <w:bCs/>
                <w:color w:val="000000"/>
                <w:szCs w:val="24"/>
                <w:lang w:eastAsia="en-US"/>
              </w:rPr>
              <w:t xml:space="preserve"> att förslaget inte strider mot subsidiaritetsprincipen.</w:t>
            </w:r>
          </w:p>
          <w:p w:rsidR="00F62717" w:rsidRDefault="00F62717" w:rsidP="00F62717">
            <w:pPr>
              <w:rPr>
                <w:rFonts w:eastAsiaTheme="minorHAnsi"/>
                <w:bCs/>
                <w:color w:val="000000"/>
                <w:szCs w:val="24"/>
                <w:lang w:eastAsia="en-US"/>
              </w:rPr>
            </w:pPr>
          </w:p>
          <w:p w:rsidR="00F62717" w:rsidRPr="00035A24" w:rsidRDefault="00F62717" w:rsidP="00F62717">
            <w:pPr>
              <w:rPr>
                <w:rFonts w:eastAsiaTheme="minorHAnsi"/>
                <w:bCs/>
                <w:color w:val="000000"/>
                <w:szCs w:val="24"/>
                <w:lang w:eastAsia="en-US"/>
              </w:rPr>
            </w:pPr>
            <w:r>
              <w:rPr>
                <w:rFonts w:eastAsiaTheme="minorHAnsi"/>
                <w:bCs/>
                <w:color w:val="000000"/>
                <w:szCs w:val="24"/>
                <w:lang w:eastAsia="en-US"/>
              </w:rPr>
              <w:t>Denna paragraf förklarades omedelbart justerad.</w:t>
            </w:r>
          </w:p>
          <w:p w:rsidR="000550A6" w:rsidRDefault="000550A6" w:rsidP="00556626">
            <w:pPr>
              <w:tabs>
                <w:tab w:val="left" w:pos="1701"/>
              </w:tabs>
            </w:pPr>
          </w:p>
          <w:p w:rsidR="000550A6" w:rsidRDefault="000550A6" w:rsidP="00556626">
            <w:pPr>
              <w:tabs>
                <w:tab w:val="left" w:pos="1701"/>
              </w:tabs>
              <w:rPr>
                <w:rFonts w:eastAsiaTheme="minorHAnsi"/>
                <w:b/>
                <w:bCs/>
                <w:color w:val="000000"/>
                <w:szCs w:val="24"/>
                <w:lang w:eastAsia="en-US"/>
              </w:rPr>
            </w:pPr>
            <w:r>
              <w:rPr>
                <w:rFonts w:eastAsiaTheme="minorHAnsi"/>
                <w:b/>
                <w:bCs/>
                <w:color w:val="000000"/>
                <w:szCs w:val="24"/>
                <w:lang w:eastAsia="en-US"/>
              </w:rPr>
              <w:t>Förslag om ändring av direktiv 2008/106/EG om minimikrav på utbildning för sjöfolk och upphävande av direktiv 2005/45/EG</w:t>
            </w:r>
          </w:p>
          <w:p w:rsidR="00CC4385" w:rsidRDefault="00CC4385" w:rsidP="00556626">
            <w:pPr>
              <w:tabs>
                <w:tab w:val="left" w:pos="1701"/>
              </w:tabs>
              <w:rPr>
                <w:rFonts w:eastAsiaTheme="minorHAnsi"/>
                <w:b/>
                <w:bCs/>
                <w:color w:val="000000"/>
                <w:szCs w:val="24"/>
                <w:lang w:eastAsia="en-US"/>
              </w:rPr>
            </w:pPr>
          </w:p>
          <w:p w:rsidR="00CC4385" w:rsidRDefault="00CC4385" w:rsidP="00CC4385">
            <w:pPr>
              <w:tabs>
                <w:tab w:val="left" w:pos="1701"/>
              </w:tabs>
              <w:rPr>
                <w:snapToGrid w:val="0"/>
              </w:rPr>
            </w:pPr>
            <w:r>
              <w:rPr>
                <w:snapToGrid w:val="0"/>
              </w:rPr>
              <w:t>Utskottet inledde subsidiar</w:t>
            </w:r>
            <w:r w:rsidR="00FD202D">
              <w:rPr>
                <w:snapToGrid w:val="0"/>
              </w:rPr>
              <w:t>itetsprövningen av COM(2018) 315</w:t>
            </w:r>
            <w:r>
              <w:rPr>
                <w:snapToGrid w:val="0"/>
              </w:rPr>
              <w:t>.</w:t>
            </w:r>
          </w:p>
          <w:p w:rsidR="00D90E4B" w:rsidRDefault="00D90E4B" w:rsidP="00CC4385">
            <w:pPr>
              <w:tabs>
                <w:tab w:val="left" w:pos="1701"/>
              </w:tabs>
              <w:rPr>
                <w:snapToGrid w:val="0"/>
              </w:rPr>
            </w:pPr>
          </w:p>
          <w:p w:rsidR="00D90E4B" w:rsidRDefault="00D90E4B" w:rsidP="00D90E4B">
            <w:pPr>
              <w:rPr>
                <w:rFonts w:eastAsiaTheme="minorHAnsi"/>
                <w:bCs/>
                <w:color w:val="000000"/>
                <w:szCs w:val="24"/>
                <w:lang w:eastAsia="en-US"/>
              </w:rPr>
            </w:pPr>
            <w:r>
              <w:rPr>
                <w:rFonts w:eastAsiaTheme="minorHAnsi"/>
                <w:bCs/>
                <w:color w:val="000000"/>
                <w:szCs w:val="24"/>
                <w:lang w:eastAsia="en-US"/>
              </w:rPr>
              <w:t>Utskottet ansåg</w:t>
            </w:r>
            <w:r w:rsidRPr="00035A24">
              <w:rPr>
                <w:rFonts w:eastAsiaTheme="minorHAnsi"/>
                <w:bCs/>
                <w:color w:val="000000"/>
                <w:szCs w:val="24"/>
                <w:lang w:eastAsia="en-US"/>
              </w:rPr>
              <w:t xml:space="preserve"> att förslaget inte strider mot subsidiaritetsprincipen.</w:t>
            </w:r>
          </w:p>
          <w:p w:rsidR="00D90E4B" w:rsidRDefault="00D90E4B" w:rsidP="00D90E4B">
            <w:pPr>
              <w:tabs>
                <w:tab w:val="left" w:pos="1701"/>
              </w:tabs>
              <w:rPr>
                <w:snapToGrid w:val="0"/>
              </w:rPr>
            </w:pPr>
          </w:p>
          <w:p w:rsidR="00D90E4B" w:rsidRPr="00D90E4B" w:rsidRDefault="00D90E4B" w:rsidP="00D90E4B">
            <w:pPr>
              <w:rPr>
                <w:rFonts w:eastAsiaTheme="minorHAnsi"/>
                <w:bCs/>
                <w:color w:val="000000"/>
                <w:szCs w:val="24"/>
                <w:lang w:eastAsia="en-US"/>
              </w:rPr>
            </w:pPr>
            <w:r>
              <w:rPr>
                <w:rFonts w:eastAsiaTheme="minorHAnsi"/>
                <w:bCs/>
                <w:color w:val="000000"/>
                <w:szCs w:val="24"/>
                <w:lang w:eastAsia="en-US"/>
              </w:rPr>
              <w:t>Denna paragraf förklarades omedelbart justerad.</w:t>
            </w:r>
          </w:p>
          <w:p w:rsidR="00CC4385" w:rsidRDefault="00CC4385" w:rsidP="00556626">
            <w:pPr>
              <w:tabs>
                <w:tab w:val="left" w:pos="1701"/>
              </w:tabs>
              <w:rPr>
                <w:rFonts w:eastAsiaTheme="minorHAnsi"/>
                <w:b/>
                <w:bCs/>
                <w:color w:val="000000"/>
                <w:szCs w:val="24"/>
                <w:lang w:eastAsia="en-US"/>
              </w:rPr>
            </w:pPr>
          </w:p>
          <w:p w:rsidR="00CC4385" w:rsidRDefault="000550A6" w:rsidP="00556626">
            <w:pPr>
              <w:tabs>
                <w:tab w:val="left" w:pos="1701"/>
              </w:tabs>
              <w:rPr>
                <w:rFonts w:eastAsiaTheme="minorHAnsi"/>
                <w:b/>
                <w:bCs/>
                <w:color w:val="000000"/>
                <w:szCs w:val="24"/>
                <w:lang w:eastAsia="en-US"/>
              </w:rPr>
            </w:pPr>
            <w:r>
              <w:rPr>
                <w:rFonts w:eastAsiaTheme="minorHAnsi"/>
                <w:b/>
                <w:bCs/>
                <w:color w:val="000000"/>
                <w:szCs w:val="24"/>
                <w:lang w:eastAsia="en-US"/>
              </w:rPr>
              <w:t>Inkommen skrivelse</w:t>
            </w:r>
          </w:p>
          <w:p w:rsidR="000550A6" w:rsidRDefault="000550A6" w:rsidP="00556626">
            <w:pPr>
              <w:tabs>
                <w:tab w:val="left" w:pos="1701"/>
              </w:tabs>
              <w:rPr>
                <w:rFonts w:eastAsiaTheme="minorHAnsi"/>
                <w:b/>
                <w:bCs/>
                <w:color w:val="000000"/>
                <w:szCs w:val="24"/>
                <w:lang w:eastAsia="en-US"/>
              </w:rPr>
            </w:pPr>
          </w:p>
          <w:p w:rsidR="000550A6" w:rsidRPr="001F63D3" w:rsidRDefault="000550A6" w:rsidP="000550A6">
            <w:pPr>
              <w:rPr>
                <w:rFonts w:eastAsiaTheme="minorHAnsi"/>
                <w:bCs/>
                <w:color w:val="000000"/>
                <w:szCs w:val="24"/>
                <w:lang w:eastAsia="en-US"/>
              </w:rPr>
            </w:pPr>
            <w:r>
              <w:rPr>
                <w:rFonts w:eastAsiaTheme="minorHAnsi"/>
                <w:bCs/>
                <w:color w:val="000000"/>
                <w:szCs w:val="24"/>
                <w:lang w:eastAsia="en-US"/>
              </w:rPr>
              <w:t>Anmäldes till utskottet inkommen skrivelse enligt bilaga 2.</w:t>
            </w:r>
          </w:p>
          <w:p w:rsidR="000550A6" w:rsidRDefault="000550A6" w:rsidP="00556626">
            <w:pPr>
              <w:tabs>
                <w:tab w:val="left" w:pos="1701"/>
              </w:tabs>
              <w:rPr>
                <w:rFonts w:eastAsiaTheme="minorHAnsi"/>
                <w:b/>
                <w:bCs/>
                <w:color w:val="000000"/>
                <w:szCs w:val="24"/>
                <w:lang w:eastAsia="en-US"/>
              </w:rPr>
            </w:pPr>
          </w:p>
          <w:p w:rsidR="00D90E4B" w:rsidRDefault="001042A1" w:rsidP="00D90E4B">
            <w:pPr>
              <w:rPr>
                <w:b/>
                <w:bCs/>
                <w:szCs w:val="24"/>
              </w:rPr>
            </w:pPr>
            <w:r>
              <w:rPr>
                <w:b/>
                <w:bCs/>
                <w:szCs w:val="24"/>
              </w:rPr>
              <w:t>Nästa sammanträde</w:t>
            </w:r>
          </w:p>
          <w:p w:rsidR="00D90E4B" w:rsidRPr="002E4D30" w:rsidRDefault="00D90E4B" w:rsidP="00D90E4B">
            <w:pPr>
              <w:rPr>
                <w:b/>
                <w:bCs/>
                <w:szCs w:val="24"/>
              </w:rPr>
            </w:pPr>
          </w:p>
          <w:p w:rsidR="00D90E4B" w:rsidRDefault="00D90E4B" w:rsidP="00D90E4B">
            <w:pPr>
              <w:rPr>
                <w:szCs w:val="24"/>
              </w:rPr>
            </w:pPr>
            <w:r w:rsidRPr="002E4D30">
              <w:rPr>
                <w:szCs w:val="24"/>
              </w:rPr>
              <w:t xml:space="preserve">Utskottet beslutade med stöd av 7 kap. 15 § riksdagsordningen, tilläggsbestämmelse 7.15.3, att </w:t>
            </w:r>
            <w:r>
              <w:rPr>
                <w:szCs w:val="24"/>
              </w:rPr>
              <w:t>utskottet får sammanträda den 14 juni</w:t>
            </w:r>
            <w:r w:rsidR="001042A1">
              <w:rPr>
                <w:szCs w:val="24"/>
              </w:rPr>
              <w:t xml:space="preserve"> kl. 10.30</w:t>
            </w:r>
            <w:r>
              <w:rPr>
                <w:szCs w:val="24"/>
              </w:rPr>
              <w:t xml:space="preserve"> 2018</w:t>
            </w:r>
            <w:r w:rsidRPr="002E4D30">
              <w:rPr>
                <w:szCs w:val="24"/>
              </w:rPr>
              <w:t xml:space="preserve">, även under arbetsplenum eller val i kammaren. </w:t>
            </w:r>
          </w:p>
          <w:p w:rsidR="00D90E4B" w:rsidRDefault="00D90E4B" w:rsidP="00D90E4B">
            <w:pPr>
              <w:rPr>
                <w:szCs w:val="24"/>
              </w:rPr>
            </w:pPr>
          </w:p>
          <w:p w:rsidR="00D90E4B" w:rsidRPr="00D90E4B" w:rsidRDefault="00D90E4B" w:rsidP="00D90E4B">
            <w:pPr>
              <w:rPr>
                <w:szCs w:val="24"/>
              </w:rPr>
            </w:pPr>
            <w:r w:rsidRPr="002E4D30">
              <w:rPr>
                <w:szCs w:val="24"/>
              </w:rPr>
              <w:t xml:space="preserve">Denna paragraf </w:t>
            </w:r>
            <w:r>
              <w:rPr>
                <w:szCs w:val="24"/>
              </w:rPr>
              <w:t>förklarades omedelbart justerad.</w:t>
            </w:r>
          </w:p>
          <w:p w:rsidR="000550A6" w:rsidRDefault="000550A6" w:rsidP="00556626">
            <w:pPr>
              <w:tabs>
                <w:tab w:val="left" w:pos="1701"/>
              </w:tabs>
            </w:pPr>
            <w:r>
              <w:rPr>
                <w:rFonts w:eastAsiaTheme="minorHAnsi"/>
                <w:b/>
                <w:bCs/>
                <w:color w:val="000000"/>
                <w:szCs w:val="24"/>
                <w:lang w:eastAsia="en-US"/>
              </w:rPr>
              <w:br/>
            </w:r>
          </w:p>
          <w:p w:rsidR="000550A6" w:rsidRPr="00550061" w:rsidRDefault="000550A6" w:rsidP="00556626">
            <w:pPr>
              <w:tabs>
                <w:tab w:val="left" w:pos="1701"/>
              </w:tabs>
            </w:pPr>
          </w:p>
        </w:tc>
      </w:tr>
      <w:tr w:rsidR="000550A6" w:rsidTr="00556626">
        <w:tc>
          <w:tcPr>
            <w:tcW w:w="567" w:type="dxa"/>
          </w:tcPr>
          <w:p w:rsidR="000550A6" w:rsidRDefault="000550A6"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p w:rsidR="00455243" w:rsidRDefault="00455243" w:rsidP="00556626">
            <w:pPr>
              <w:tabs>
                <w:tab w:val="left" w:pos="1701"/>
              </w:tabs>
              <w:rPr>
                <w:b/>
                <w:snapToGrid w:val="0"/>
              </w:rPr>
            </w:pPr>
          </w:p>
        </w:tc>
        <w:tc>
          <w:tcPr>
            <w:tcW w:w="6946" w:type="dxa"/>
            <w:gridSpan w:val="2"/>
          </w:tcPr>
          <w:p w:rsidR="00622FF3" w:rsidRDefault="00622FF3" w:rsidP="00622FF3">
            <w:pPr>
              <w:tabs>
                <w:tab w:val="left" w:pos="1701"/>
              </w:tabs>
            </w:pPr>
          </w:p>
          <w:p w:rsidR="00622FF3" w:rsidRDefault="00622FF3"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57036F" w:rsidRDefault="0057036F" w:rsidP="00622FF3">
            <w:pPr>
              <w:tabs>
                <w:tab w:val="left" w:pos="1701"/>
              </w:tabs>
            </w:pPr>
          </w:p>
          <w:p w:rsidR="00622FF3" w:rsidRDefault="00622FF3" w:rsidP="00622FF3">
            <w:pPr>
              <w:tabs>
                <w:tab w:val="left" w:pos="1701"/>
              </w:tabs>
            </w:pPr>
          </w:p>
          <w:p w:rsidR="00622FF3" w:rsidRDefault="00622FF3" w:rsidP="00622FF3">
            <w:pPr>
              <w:tabs>
                <w:tab w:val="left" w:pos="1701"/>
              </w:tabs>
            </w:pPr>
            <w:r>
              <w:t>Vid protokollet</w:t>
            </w:r>
          </w:p>
          <w:p w:rsidR="00622FF3" w:rsidRDefault="00622FF3" w:rsidP="00622FF3">
            <w:pPr>
              <w:tabs>
                <w:tab w:val="left" w:pos="1701"/>
              </w:tabs>
            </w:pPr>
          </w:p>
          <w:p w:rsidR="00622FF3" w:rsidRDefault="00622FF3" w:rsidP="00622FF3">
            <w:pPr>
              <w:tabs>
                <w:tab w:val="left" w:pos="1701"/>
              </w:tabs>
            </w:pPr>
          </w:p>
          <w:p w:rsidR="00622FF3" w:rsidRDefault="00622FF3" w:rsidP="00622FF3">
            <w:pPr>
              <w:tabs>
                <w:tab w:val="left" w:pos="1701"/>
              </w:tabs>
            </w:pPr>
          </w:p>
          <w:p w:rsidR="00622FF3" w:rsidRDefault="00622FF3" w:rsidP="00622FF3">
            <w:pPr>
              <w:tabs>
                <w:tab w:val="left" w:pos="1701"/>
              </w:tabs>
            </w:pPr>
            <w:bookmarkStart w:id="0" w:name="_GoBack"/>
            <w:bookmarkEnd w:id="0"/>
          </w:p>
          <w:p w:rsidR="00622FF3" w:rsidRDefault="00622FF3" w:rsidP="00622FF3">
            <w:pPr>
              <w:tabs>
                <w:tab w:val="left" w:pos="1701"/>
              </w:tabs>
            </w:pPr>
          </w:p>
          <w:p w:rsidR="00622FF3" w:rsidRDefault="00622FF3" w:rsidP="00622FF3">
            <w:pPr>
              <w:tabs>
                <w:tab w:val="left" w:pos="1701"/>
              </w:tabs>
            </w:pPr>
            <w:r>
              <w:t>Justeras den 14 juni 2018</w:t>
            </w:r>
          </w:p>
          <w:p w:rsidR="00622FF3" w:rsidRDefault="00622FF3" w:rsidP="00622FF3">
            <w:pPr>
              <w:tabs>
                <w:tab w:val="left" w:pos="1701"/>
              </w:tabs>
            </w:pPr>
          </w:p>
          <w:p w:rsidR="00622FF3" w:rsidRDefault="00622FF3" w:rsidP="00622FF3">
            <w:pPr>
              <w:tabs>
                <w:tab w:val="left" w:pos="1701"/>
              </w:tabs>
            </w:pPr>
          </w:p>
          <w:p w:rsidR="00622FF3" w:rsidRDefault="00622FF3" w:rsidP="00622FF3">
            <w:pPr>
              <w:tabs>
                <w:tab w:val="left" w:pos="1701"/>
              </w:tabs>
            </w:pPr>
          </w:p>
          <w:p w:rsidR="00622FF3" w:rsidRDefault="00622FF3" w:rsidP="00622FF3">
            <w:pPr>
              <w:tabs>
                <w:tab w:val="left" w:pos="1701"/>
              </w:tabs>
            </w:pPr>
          </w:p>
          <w:p w:rsidR="000550A6" w:rsidRDefault="00622FF3" w:rsidP="00622FF3">
            <w:pPr>
              <w:tabs>
                <w:tab w:val="left" w:pos="1701"/>
              </w:tabs>
              <w:rPr>
                <w:b/>
                <w:snapToGrid w:val="0"/>
              </w:rPr>
            </w:pPr>
            <w:r>
              <w:t>Karin Svensson Smith</w:t>
            </w:r>
          </w:p>
        </w:tc>
      </w:tr>
      <w:tr w:rsidR="000550A6" w:rsidTr="00556626">
        <w:tc>
          <w:tcPr>
            <w:tcW w:w="567" w:type="dxa"/>
          </w:tcPr>
          <w:p w:rsidR="000550A6" w:rsidRDefault="000550A6" w:rsidP="00556626">
            <w:pPr>
              <w:tabs>
                <w:tab w:val="left" w:pos="1701"/>
              </w:tabs>
              <w:rPr>
                <w:b/>
                <w:snapToGrid w:val="0"/>
              </w:rPr>
            </w:pPr>
          </w:p>
        </w:tc>
        <w:tc>
          <w:tcPr>
            <w:tcW w:w="6946" w:type="dxa"/>
            <w:gridSpan w:val="2"/>
          </w:tcPr>
          <w:p w:rsidR="000550A6" w:rsidRDefault="000550A6" w:rsidP="00556626">
            <w:pPr>
              <w:tabs>
                <w:tab w:val="left" w:pos="1701"/>
              </w:tabs>
              <w:rPr>
                <w:b/>
                <w:snapToGrid w:val="0"/>
              </w:rPr>
            </w:pPr>
          </w:p>
        </w:tc>
      </w:tr>
      <w:tr w:rsidR="000550A6" w:rsidTr="00556626">
        <w:tc>
          <w:tcPr>
            <w:tcW w:w="567" w:type="dxa"/>
          </w:tcPr>
          <w:p w:rsidR="000550A6" w:rsidRDefault="000550A6" w:rsidP="00556626">
            <w:pPr>
              <w:tabs>
                <w:tab w:val="left" w:pos="1701"/>
              </w:tabs>
              <w:rPr>
                <w:b/>
                <w:snapToGrid w:val="0"/>
              </w:rPr>
            </w:pPr>
          </w:p>
        </w:tc>
        <w:tc>
          <w:tcPr>
            <w:tcW w:w="6946" w:type="dxa"/>
            <w:gridSpan w:val="2"/>
          </w:tcPr>
          <w:p w:rsidR="000550A6" w:rsidRDefault="000550A6" w:rsidP="00556626">
            <w:pPr>
              <w:tabs>
                <w:tab w:val="left" w:pos="1701"/>
              </w:tabs>
              <w:rPr>
                <w:b/>
                <w:snapToGrid w:val="0"/>
              </w:rPr>
            </w:pPr>
          </w:p>
        </w:tc>
      </w:tr>
      <w:tr w:rsidR="000550A6" w:rsidTr="00556626">
        <w:trPr>
          <w:trHeight w:val="80"/>
        </w:trPr>
        <w:tc>
          <w:tcPr>
            <w:tcW w:w="567" w:type="dxa"/>
          </w:tcPr>
          <w:p w:rsidR="000550A6" w:rsidRDefault="000550A6" w:rsidP="00556626">
            <w:pPr>
              <w:tabs>
                <w:tab w:val="left" w:pos="1701"/>
              </w:tabs>
              <w:rPr>
                <w:b/>
                <w:snapToGrid w:val="0"/>
              </w:rPr>
            </w:pPr>
          </w:p>
        </w:tc>
        <w:tc>
          <w:tcPr>
            <w:tcW w:w="6946" w:type="dxa"/>
            <w:gridSpan w:val="2"/>
          </w:tcPr>
          <w:p w:rsidR="000550A6" w:rsidRDefault="000550A6" w:rsidP="00556626">
            <w:pPr>
              <w:tabs>
                <w:tab w:val="left" w:pos="1701"/>
              </w:tabs>
              <w:rPr>
                <w:b/>
                <w:snapToGrid w:val="0"/>
              </w:rPr>
            </w:pPr>
          </w:p>
        </w:tc>
      </w:tr>
      <w:tr w:rsidR="000550A6" w:rsidTr="00556626">
        <w:trPr>
          <w:gridAfter w:val="1"/>
          <w:wAfter w:w="357" w:type="dxa"/>
        </w:trPr>
        <w:tc>
          <w:tcPr>
            <w:tcW w:w="7156" w:type="dxa"/>
            <w:gridSpan w:val="2"/>
          </w:tcPr>
          <w:p w:rsidR="000550A6" w:rsidRPr="00142088" w:rsidRDefault="000550A6" w:rsidP="00556626">
            <w:pPr>
              <w:tabs>
                <w:tab w:val="left" w:pos="1701"/>
              </w:tabs>
            </w:pPr>
          </w:p>
        </w:tc>
      </w:tr>
    </w:tbl>
    <w:p w:rsidR="000550A6" w:rsidRDefault="000550A6" w:rsidP="000550A6">
      <w:pPr>
        <w:widowControl/>
      </w:pPr>
    </w:p>
    <w:p w:rsidR="000550A6" w:rsidRDefault="000550A6" w:rsidP="000550A6">
      <w:pPr>
        <w:tabs>
          <w:tab w:val="left" w:pos="1701"/>
        </w:tabs>
      </w:pP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3544"/>
        <w:gridCol w:w="1485"/>
      </w:tblGrid>
      <w:tr w:rsidR="000550A6" w:rsidTr="00556626">
        <w:tc>
          <w:tcPr>
            <w:tcW w:w="3402" w:type="dxa"/>
            <w:gridSpan w:val="2"/>
            <w:tcBorders>
              <w:top w:val="nil"/>
              <w:left w:val="nil"/>
              <w:bottom w:val="nil"/>
              <w:right w:val="nil"/>
            </w:tcBorders>
          </w:tcPr>
          <w:p w:rsidR="000550A6" w:rsidRDefault="000550A6" w:rsidP="00556626">
            <w:pPr>
              <w:tabs>
                <w:tab w:val="left" w:pos="1701"/>
              </w:tabs>
            </w:pPr>
          </w:p>
        </w:tc>
        <w:tc>
          <w:tcPr>
            <w:tcW w:w="3544" w:type="dxa"/>
            <w:tcBorders>
              <w:top w:val="nil"/>
              <w:left w:val="nil"/>
              <w:bottom w:val="nil"/>
              <w:right w:val="nil"/>
            </w:tcBorders>
          </w:tcPr>
          <w:p w:rsidR="000550A6" w:rsidRDefault="000550A6" w:rsidP="00556626">
            <w:pPr>
              <w:tabs>
                <w:tab w:val="left" w:pos="1701"/>
              </w:tabs>
              <w:jc w:val="center"/>
              <w:rPr>
                <w:b/>
              </w:rPr>
            </w:pPr>
          </w:p>
        </w:tc>
        <w:tc>
          <w:tcPr>
            <w:tcW w:w="1485" w:type="dxa"/>
            <w:tcBorders>
              <w:top w:val="nil"/>
              <w:left w:val="nil"/>
              <w:bottom w:val="nil"/>
              <w:right w:val="nil"/>
            </w:tcBorders>
          </w:tcPr>
          <w:p w:rsidR="000550A6" w:rsidRDefault="000550A6" w:rsidP="00556626">
            <w:pPr>
              <w:tabs>
                <w:tab w:val="left" w:pos="1701"/>
              </w:tabs>
            </w:pPr>
          </w:p>
        </w:tc>
      </w:tr>
      <w:tr w:rsidR="000550A6" w:rsidTr="00556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0550A6"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3"/>
          </w:tcPr>
          <w:p w:rsidR="000550A6"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0550A6" w:rsidTr="005566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0550A6"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3"/>
          </w:tcPr>
          <w:p w:rsidR="000550A6"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0550A6" w:rsidRDefault="000550A6" w:rsidP="000550A6"/>
    <w:p w:rsidR="000550A6" w:rsidRDefault="000550A6" w:rsidP="000550A6">
      <w:pPr>
        <w:tabs>
          <w:tab w:val="left" w:pos="1701"/>
        </w:tabs>
      </w:pPr>
    </w:p>
    <w:p w:rsidR="000550A6" w:rsidRDefault="000550A6" w:rsidP="000550A6"/>
    <w:p w:rsidR="000550A6" w:rsidRDefault="000550A6" w:rsidP="000550A6"/>
    <w:p w:rsidR="000550A6" w:rsidRDefault="000550A6" w:rsidP="000550A6"/>
    <w:p w:rsidR="000550A6" w:rsidRDefault="000550A6" w:rsidP="000550A6"/>
    <w:p w:rsidR="000550A6" w:rsidRDefault="000550A6" w:rsidP="000550A6"/>
    <w:p w:rsidR="0057036F" w:rsidRDefault="0057036F" w:rsidP="000550A6"/>
    <w:p w:rsidR="0057036F" w:rsidRDefault="0057036F" w:rsidP="000550A6"/>
    <w:p w:rsidR="0057036F" w:rsidRDefault="0057036F" w:rsidP="000550A6"/>
    <w:p w:rsidR="0057036F" w:rsidRDefault="0057036F" w:rsidP="000550A6"/>
    <w:p w:rsidR="0057036F" w:rsidRDefault="0057036F" w:rsidP="000550A6"/>
    <w:p w:rsidR="0057036F" w:rsidRDefault="0057036F" w:rsidP="000550A6"/>
    <w:p w:rsidR="0057036F" w:rsidRDefault="0057036F" w:rsidP="000550A6"/>
    <w:p w:rsidR="0057036F" w:rsidRDefault="0057036F" w:rsidP="000550A6"/>
    <w:p w:rsidR="0057036F" w:rsidRDefault="0057036F" w:rsidP="000550A6"/>
    <w:p w:rsidR="0057036F" w:rsidRDefault="0057036F" w:rsidP="000550A6"/>
    <w:p w:rsidR="0057036F" w:rsidRDefault="0057036F" w:rsidP="000550A6"/>
    <w:p w:rsidR="000550A6" w:rsidRDefault="000550A6" w:rsidP="000550A6"/>
    <w:p w:rsidR="000550A6" w:rsidRDefault="000550A6" w:rsidP="000550A6"/>
    <w:p w:rsidR="000550A6" w:rsidRDefault="000550A6" w:rsidP="000550A6"/>
    <w:p w:rsidR="000550A6" w:rsidRDefault="000550A6" w:rsidP="000550A6"/>
    <w:p w:rsidR="000550A6" w:rsidRDefault="000550A6" w:rsidP="000550A6"/>
    <w:p w:rsidR="000550A6" w:rsidRDefault="000550A6" w:rsidP="000550A6"/>
    <w:p w:rsidR="000550A6" w:rsidRDefault="000550A6" w:rsidP="000550A6"/>
    <w:p w:rsidR="000550A6" w:rsidRDefault="000550A6" w:rsidP="000550A6"/>
    <w:p w:rsidR="000550A6" w:rsidRDefault="000550A6" w:rsidP="000550A6"/>
    <w:p w:rsidR="000550A6" w:rsidRDefault="000550A6" w:rsidP="000550A6"/>
    <w:tbl>
      <w:tblPr>
        <w:tblW w:w="8785" w:type="dxa"/>
        <w:tblInd w:w="220" w:type="dxa"/>
        <w:tblLayout w:type="fixed"/>
        <w:tblCellMar>
          <w:left w:w="70" w:type="dxa"/>
          <w:right w:w="70" w:type="dxa"/>
        </w:tblCellMar>
        <w:tblLook w:val="00A0" w:firstRow="1" w:lastRow="0" w:firstColumn="1" w:lastColumn="0" w:noHBand="0" w:noVBand="0"/>
      </w:tblPr>
      <w:tblGrid>
        <w:gridCol w:w="1268"/>
        <w:gridCol w:w="2168"/>
        <w:gridCol w:w="316"/>
        <w:gridCol w:w="395"/>
        <w:gridCol w:w="356"/>
        <w:gridCol w:w="356"/>
        <w:gridCol w:w="308"/>
        <w:gridCol w:w="404"/>
        <w:gridCol w:w="356"/>
        <w:gridCol w:w="356"/>
        <w:gridCol w:w="356"/>
        <w:gridCol w:w="92"/>
        <w:gridCol w:w="264"/>
        <w:gridCol w:w="359"/>
        <w:gridCol w:w="359"/>
        <w:gridCol w:w="356"/>
        <w:gridCol w:w="358"/>
        <w:gridCol w:w="358"/>
      </w:tblGrid>
      <w:tr w:rsidR="000550A6" w:rsidRPr="009F3323" w:rsidTr="00556626">
        <w:trPr>
          <w:gridBefore w:val="1"/>
          <w:gridAfter w:val="1"/>
          <w:wBefore w:w="1268" w:type="dxa"/>
          <w:wAfter w:w="358" w:type="dxa"/>
        </w:trPr>
        <w:tc>
          <w:tcPr>
            <w:tcW w:w="7159" w:type="dxa"/>
            <w:gridSpan w:val="16"/>
          </w:tcPr>
          <w:p w:rsidR="000550A6" w:rsidRPr="009F3323" w:rsidRDefault="000550A6" w:rsidP="00556626">
            <w:pPr>
              <w:widowControl/>
              <w:spacing w:after="160" w:line="259" w:lineRule="auto"/>
              <w:rPr>
                <w:szCs w:val="24"/>
              </w:rPr>
            </w:pPr>
          </w:p>
        </w:tc>
      </w:tr>
      <w:tr w:rsidR="000550A6" w:rsidRPr="00206869" w:rsidTr="00556626">
        <w:tblPrEx>
          <w:tblLook w:val="04A0" w:firstRow="1" w:lastRow="0" w:firstColumn="1" w:lastColumn="0" w:noHBand="0" w:noVBand="1"/>
        </w:tblPrEx>
        <w:trPr>
          <w:cantSplit/>
        </w:trPr>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lang w:val="en-GB" w:eastAsia="en-US"/>
              </w:rPr>
            </w:pPr>
            <w:r w:rsidRPr="00206869">
              <w:rPr>
                <w:b/>
                <w:sz w:val="18"/>
                <w:lang w:val="en-GB" w:eastAsia="en-US"/>
              </w:rPr>
              <w:lastRenderedPageBreak/>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b/>
                <w:sz w:val="18"/>
                <w:lang w:val="en-GB" w:eastAsia="en-US"/>
              </w:rPr>
            </w:pPr>
            <w:r w:rsidRPr="00206869">
              <w:rPr>
                <w:b/>
                <w:sz w:val="18"/>
                <w:lang w:val="en-GB" w:eastAsia="en-US"/>
              </w:rPr>
              <w:t>NÄRVAROFÖRTECKNING</w:t>
            </w:r>
          </w:p>
        </w:tc>
        <w:tc>
          <w:tcPr>
            <w:tcW w:w="2502" w:type="dxa"/>
            <w:gridSpan w:val="8"/>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roofErr w:type="spellStart"/>
            <w:r w:rsidRPr="00206869">
              <w:rPr>
                <w:b/>
                <w:sz w:val="18"/>
                <w:lang w:val="en-GB" w:eastAsia="en-US"/>
              </w:rPr>
              <w:t>Bilaga</w:t>
            </w:r>
            <w:proofErr w:type="spellEnd"/>
            <w:r w:rsidRPr="00206869">
              <w:rPr>
                <w:b/>
                <w:sz w:val="18"/>
                <w:lang w:val="en-GB" w:eastAsia="en-US"/>
              </w:rPr>
              <w:t xml:space="preserve"> 1 till </w:t>
            </w:r>
            <w:proofErr w:type="spellStart"/>
            <w:r w:rsidRPr="00206869">
              <w:rPr>
                <w:b/>
                <w:sz w:val="18"/>
                <w:lang w:val="en-GB" w:eastAsia="en-US"/>
              </w:rPr>
              <w:t>protokoll</w:t>
            </w:r>
            <w:proofErr w:type="spellEnd"/>
            <w:r w:rsidRPr="00206869">
              <w:rPr>
                <w:sz w:val="18"/>
                <w:lang w:val="en-GB" w:eastAsia="en-US"/>
              </w:rPr>
              <w:t xml:space="preserve"> </w:t>
            </w:r>
          </w:p>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b/>
                <w:sz w:val="18"/>
                <w:lang w:val="en-GB" w:eastAsia="en-US"/>
              </w:rPr>
              <w:t>2017/18:33</w:t>
            </w:r>
          </w:p>
        </w:tc>
      </w:tr>
      <w:tr w:rsidR="000550A6" w:rsidRPr="00206869" w:rsidTr="00556626">
        <w:tblPrEx>
          <w:tblLook w:val="04A0" w:firstRow="1" w:lastRow="0" w:firstColumn="1" w:lastColumn="0" w:noHBand="0" w:noVBand="1"/>
        </w:tblPrEx>
        <w:trPr>
          <w:cantSplit/>
        </w:trPr>
        <w:tc>
          <w:tcPr>
            <w:tcW w:w="343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1"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 1</w:t>
            </w:r>
            <w:r w:rsidR="001042A1">
              <w:rPr>
                <w:sz w:val="18"/>
                <w:lang w:val="en-GB" w:eastAsia="en-US"/>
              </w:rPr>
              <w:t>-12</w:t>
            </w:r>
          </w:p>
        </w:tc>
        <w:tc>
          <w:tcPr>
            <w:tcW w:w="712"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 xml:space="preserve"> </w:t>
            </w:r>
            <w:r w:rsidRPr="004D7467">
              <w:rPr>
                <w:sz w:val="18"/>
                <w:lang w:val="en-GB" w:eastAsia="en-US"/>
              </w:rPr>
              <w:t>§</w:t>
            </w:r>
            <w:r w:rsidR="001042A1">
              <w:rPr>
                <w:sz w:val="18"/>
                <w:lang w:val="en-GB" w:eastAsia="en-US"/>
              </w:rPr>
              <w:t xml:space="preserve"> 13</w:t>
            </w:r>
          </w:p>
        </w:tc>
        <w:tc>
          <w:tcPr>
            <w:tcW w:w="712"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2"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2" w:type="dxa"/>
            <w:gridSpan w:val="3"/>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8"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1072" w:type="dxa"/>
            <w:gridSpan w:val="3"/>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b/>
                <w:i/>
                <w:sz w:val="18"/>
                <w:lang w:val="en-GB" w:eastAsia="en-US"/>
              </w:rPr>
              <w:t>LEDAMÖTER</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r w:rsidRPr="00206869">
              <w:rPr>
                <w:sz w:val="18"/>
                <w:lang w:val="en-GB" w:eastAsia="en-US"/>
              </w:rPr>
              <w:t>N</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Pr>
                <w:sz w:val="18"/>
                <w:lang w:val="en-GB" w:eastAsia="en-US"/>
              </w:rPr>
              <w:t>N</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eastAsia="en-US"/>
              </w:rPr>
            </w:pPr>
            <w:r w:rsidRPr="00206869">
              <w:rPr>
                <w:color w:val="000000"/>
                <w:sz w:val="18"/>
                <w:szCs w:val="22"/>
                <w:lang w:eastAsia="en-US"/>
              </w:rPr>
              <w:t xml:space="preserve">Karin Svensson Smith (MP), </w:t>
            </w:r>
            <w:r w:rsidRPr="00206869">
              <w:rPr>
                <w:i/>
                <w:color w:val="000000"/>
                <w:sz w:val="18"/>
                <w:szCs w:val="22"/>
                <w:lang w:eastAsia="en-US"/>
              </w:rPr>
              <w:t>ordf.</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r>
              <w:rPr>
                <w:sz w:val="18"/>
                <w:lang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r>
              <w:rPr>
                <w:sz w:val="18"/>
                <w:lang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color w:val="000000"/>
                <w:sz w:val="18"/>
                <w:szCs w:val="22"/>
                <w:lang w:val="en-US" w:eastAsia="en-US"/>
              </w:rPr>
            </w:pPr>
            <w:r w:rsidRPr="00206869">
              <w:rPr>
                <w:sz w:val="18"/>
                <w:szCs w:val="22"/>
                <w:lang w:val="en-US" w:eastAsia="en-US"/>
              </w:rPr>
              <w:t xml:space="preserve">Jessica Rosencrantz (M), </w:t>
            </w:r>
            <w:r w:rsidRPr="00206869">
              <w:rPr>
                <w:i/>
                <w:sz w:val="18"/>
                <w:szCs w:val="22"/>
                <w:lang w:val="en-US" w:eastAsia="en-US"/>
              </w:rPr>
              <w:t xml:space="preserve">vice </w:t>
            </w:r>
            <w:proofErr w:type="spellStart"/>
            <w:r w:rsidRPr="00206869">
              <w:rPr>
                <w:i/>
                <w:sz w:val="18"/>
                <w:szCs w:val="22"/>
                <w:lang w:val="en-US" w:eastAsia="en-US"/>
              </w:rPr>
              <w:t>ordf</w:t>
            </w:r>
            <w:proofErr w:type="spellEnd"/>
            <w:r w:rsidRPr="00206869">
              <w:rPr>
                <w:i/>
                <w:sz w:val="18"/>
                <w:szCs w:val="22"/>
                <w:lang w:val="en-US" w:eastAsia="en-US"/>
              </w:rPr>
              <w:t>.</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Pia Nilsson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Suzanne Svensson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i/>
                <w:sz w:val="18"/>
                <w:szCs w:val="22"/>
                <w:lang w:val="en-GB" w:eastAsia="en-US"/>
              </w:rPr>
            </w:pPr>
            <w:r w:rsidRPr="00206869">
              <w:rPr>
                <w:sz w:val="18"/>
                <w:szCs w:val="22"/>
                <w:lang w:val="en-GB" w:eastAsia="en-US"/>
              </w:rPr>
              <w:t>Edward Riedl (M)</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US" w:eastAsia="en-US"/>
              </w:rPr>
            </w:pPr>
            <w:r w:rsidRPr="00206869">
              <w:rPr>
                <w:sz w:val="18"/>
                <w:szCs w:val="22"/>
                <w:lang w:val="en-US" w:eastAsia="en-US"/>
              </w:rPr>
              <w:t>Lars Mejern Larsson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US"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US" w:eastAsia="en-US"/>
              </w:rPr>
            </w:pPr>
          </w:p>
        </w:tc>
      </w:tr>
      <w:tr w:rsidR="000550A6" w:rsidRPr="00206869" w:rsidTr="00556626">
        <w:tblPrEx>
          <w:tblLook w:val="04A0" w:firstRow="1" w:lastRow="0" w:firstColumn="1" w:lastColumn="0" w:noHBand="0" w:noVBand="1"/>
        </w:tblPrEx>
        <w:trPr>
          <w:trHeight w:val="276"/>
        </w:trPr>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Tony Wiklander (SD)</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rPr>
          <w:trHeight w:val="138"/>
        </w:trPr>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Sten Bergheden (M)</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Leif Pettersson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Anders Åkesson (C)</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Boriana Åberg (M)</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Jasenko Omanovic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Per Klarberg (SD)</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Nina Lundström (L)</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Robert Halef (KD)</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Johan Andersson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r w:rsidRPr="00206869">
              <w:rPr>
                <w:b/>
                <w:i/>
                <w:sz w:val="18"/>
                <w:lang w:val="en-GB" w:eastAsia="en-US"/>
              </w:rPr>
              <w:t>SUPPLEANTER</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Teres Lindberg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Erik Ottoson (M)</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Rikard Larsson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Jimmy Ståhl (SD)</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r>
              <w:rPr>
                <w:sz w:val="18"/>
                <w:lang w:val="en-GB" w:eastAsia="en-US"/>
              </w:rPr>
              <w:t>X</w:t>
            </w: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1B6C7F"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r>
              <w:rPr>
                <w:sz w:val="18"/>
                <w:lang w:val="en-GB" w:eastAsia="en-US"/>
              </w:rPr>
              <w:t>X</w:t>
            </w: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proofErr w:type="spellStart"/>
            <w:r w:rsidRPr="00206869">
              <w:rPr>
                <w:sz w:val="18"/>
                <w:szCs w:val="22"/>
                <w:lang w:val="en-GB" w:eastAsia="en-US"/>
              </w:rPr>
              <w:t>Lotta</w:t>
            </w:r>
            <w:proofErr w:type="spellEnd"/>
            <w:r w:rsidRPr="00206869">
              <w:rPr>
                <w:sz w:val="18"/>
                <w:szCs w:val="22"/>
                <w:lang w:val="en-GB" w:eastAsia="en-US"/>
              </w:rPr>
              <w:t xml:space="preserve"> </w:t>
            </w:r>
            <w:proofErr w:type="spellStart"/>
            <w:r w:rsidRPr="00206869">
              <w:rPr>
                <w:sz w:val="18"/>
                <w:szCs w:val="22"/>
                <w:lang w:val="en-GB" w:eastAsia="en-US"/>
              </w:rPr>
              <w:t>Finstorp</w:t>
            </w:r>
            <w:proofErr w:type="spellEnd"/>
            <w:r w:rsidRPr="00206869">
              <w:rPr>
                <w:sz w:val="18"/>
                <w:szCs w:val="22"/>
                <w:lang w:val="en-GB" w:eastAsia="en-US"/>
              </w:rPr>
              <w:t xml:space="preserve"> (M)</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Mattias Jonsson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 xml:space="preserve">Daniel </w:t>
            </w:r>
            <w:proofErr w:type="spellStart"/>
            <w:r w:rsidRPr="00206869">
              <w:rPr>
                <w:sz w:val="18"/>
                <w:szCs w:val="22"/>
                <w:lang w:val="en-GB" w:eastAsia="en-US"/>
              </w:rPr>
              <w:t>Bäckström</w:t>
            </w:r>
            <w:proofErr w:type="spellEnd"/>
            <w:r w:rsidRPr="00206869">
              <w:rPr>
                <w:sz w:val="18"/>
                <w:szCs w:val="22"/>
                <w:lang w:val="en-GB" w:eastAsia="en-US"/>
              </w:rPr>
              <w:t xml:space="preserve"> (C)</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Lorentz Tovatt(MP)</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proofErr w:type="spellStart"/>
            <w:r w:rsidRPr="00206869">
              <w:rPr>
                <w:sz w:val="18"/>
                <w:szCs w:val="22"/>
                <w:lang w:val="en-GB" w:eastAsia="en-US"/>
              </w:rPr>
              <w:t>Jörgen</w:t>
            </w:r>
            <w:proofErr w:type="spellEnd"/>
            <w:r w:rsidRPr="00206869">
              <w:rPr>
                <w:sz w:val="18"/>
                <w:szCs w:val="22"/>
                <w:lang w:val="en-GB" w:eastAsia="en-US"/>
              </w:rPr>
              <w:t xml:space="preserve"> Andersson (M)</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 xml:space="preserve">Maria Andersson </w:t>
            </w:r>
            <w:proofErr w:type="spellStart"/>
            <w:r w:rsidRPr="00206869">
              <w:rPr>
                <w:sz w:val="18"/>
                <w:szCs w:val="22"/>
                <w:lang w:val="en-GB" w:eastAsia="en-US"/>
              </w:rPr>
              <w:t>Willner</w:t>
            </w:r>
            <w:proofErr w:type="spellEnd"/>
            <w:r w:rsidRPr="00206869">
              <w:rPr>
                <w:sz w:val="18"/>
                <w:szCs w:val="22"/>
                <w:lang w:val="en-GB"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Sara-Lena Bjälkö (SD)</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r w:rsidRPr="00206869">
              <w:rPr>
                <w:sz w:val="18"/>
                <w:szCs w:val="22"/>
                <w:lang w:val="en-GB" w:eastAsia="en-US"/>
              </w:rPr>
              <w:t>Lars Tysklind (L)</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rPr>
                <w:sz w:val="18"/>
                <w:szCs w:val="22"/>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tabs>
                <w:tab w:val="left" w:pos="328"/>
              </w:tabs>
              <w:spacing w:line="256" w:lineRule="auto"/>
              <w:rPr>
                <w:sz w:val="18"/>
                <w:szCs w:val="22"/>
                <w:lang w:val="en-GB" w:eastAsia="en-US"/>
              </w:rPr>
            </w:pPr>
            <w:r w:rsidRPr="00206869">
              <w:rPr>
                <w:sz w:val="18"/>
                <w:szCs w:val="22"/>
                <w:lang w:val="en-GB" w:eastAsia="en-US"/>
              </w:rPr>
              <w:t>Birger Lahti (V)</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GB" w:eastAsia="en-US"/>
              </w:rPr>
            </w:pPr>
            <w:proofErr w:type="spellStart"/>
            <w:r w:rsidRPr="00206869">
              <w:rPr>
                <w:sz w:val="18"/>
                <w:szCs w:val="22"/>
                <w:lang w:val="en-US" w:eastAsia="en-US"/>
              </w:rPr>
              <w:t>Tuve</w:t>
            </w:r>
            <w:proofErr w:type="spellEnd"/>
            <w:r w:rsidRPr="00206869">
              <w:rPr>
                <w:sz w:val="18"/>
                <w:szCs w:val="22"/>
                <w:lang w:val="en-US" w:eastAsia="en-US"/>
              </w:rPr>
              <w:t xml:space="preserve"> </w:t>
            </w:r>
            <w:proofErr w:type="spellStart"/>
            <w:r w:rsidRPr="00206869">
              <w:rPr>
                <w:sz w:val="18"/>
                <w:szCs w:val="22"/>
                <w:lang w:val="en-US" w:eastAsia="en-US"/>
              </w:rPr>
              <w:t>Skånberg</w:t>
            </w:r>
            <w:proofErr w:type="spellEnd"/>
            <w:r w:rsidRPr="00206869">
              <w:rPr>
                <w:sz w:val="18"/>
                <w:szCs w:val="22"/>
                <w:lang w:val="en-US" w:eastAsia="en-US"/>
              </w:rPr>
              <w:t xml:space="preserve"> (KD)</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US" w:eastAsia="en-US"/>
              </w:rPr>
            </w:pPr>
            <w:proofErr w:type="spellStart"/>
            <w:r w:rsidRPr="00206869">
              <w:rPr>
                <w:sz w:val="18"/>
                <w:szCs w:val="22"/>
                <w:lang w:val="en-US" w:eastAsia="en-US"/>
              </w:rPr>
              <w:t>Krister</w:t>
            </w:r>
            <w:proofErr w:type="spellEnd"/>
            <w:r w:rsidRPr="00206869">
              <w:rPr>
                <w:sz w:val="18"/>
                <w:szCs w:val="22"/>
                <w:lang w:val="en-US" w:eastAsia="en-US"/>
              </w:rPr>
              <w:t xml:space="preserve"> </w:t>
            </w:r>
            <w:proofErr w:type="spellStart"/>
            <w:r w:rsidRPr="00206869">
              <w:rPr>
                <w:sz w:val="18"/>
                <w:szCs w:val="22"/>
                <w:lang w:val="en-US" w:eastAsia="en-US"/>
              </w:rPr>
              <w:t>Örnfjäder</w:t>
            </w:r>
            <w:proofErr w:type="spellEnd"/>
            <w:r w:rsidRPr="00206869">
              <w:rPr>
                <w:sz w:val="18"/>
                <w:szCs w:val="22"/>
                <w:lang w:val="en-US"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US" w:eastAsia="en-US"/>
              </w:rPr>
            </w:pPr>
            <w:r w:rsidRPr="00206869">
              <w:rPr>
                <w:sz w:val="18"/>
                <w:szCs w:val="22"/>
                <w:lang w:val="en-US" w:eastAsia="en-US"/>
              </w:rPr>
              <w:t xml:space="preserve">Nina </w:t>
            </w:r>
            <w:proofErr w:type="spellStart"/>
            <w:r w:rsidRPr="00206869">
              <w:rPr>
                <w:sz w:val="18"/>
                <w:szCs w:val="22"/>
                <w:lang w:val="en-US" w:eastAsia="en-US"/>
              </w:rPr>
              <w:t>Kain</w:t>
            </w:r>
            <w:proofErr w:type="spellEnd"/>
            <w:r w:rsidRPr="00206869">
              <w:rPr>
                <w:sz w:val="18"/>
                <w:szCs w:val="22"/>
                <w:lang w:val="en-US" w:eastAsia="en-US"/>
              </w:rPr>
              <w:t xml:space="preserve"> (SD)</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US" w:eastAsia="en-US"/>
              </w:rPr>
            </w:pPr>
            <w:r w:rsidRPr="00206869">
              <w:rPr>
                <w:sz w:val="18"/>
                <w:szCs w:val="22"/>
                <w:lang w:val="en-US" w:eastAsia="en-US"/>
              </w:rPr>
              <w:t xml:space="preserve">Adam </w:t>
            </w:r>
            <w:proofErr w:type="spellStart"/>
            <w:r w:rsidRPr="00206869">
              <w:rPr>
                <w:sz w:val="18"/>
                <w:szCs w:val="22"/>
                <w:lang w:val="en-US" w:eastAsia="en-US"/>
              </w:rPr>
              <w:t>Marttinen</w:t>
            </w:r>
            <w:proofErr w:type="spellEnd"/>
            <w:r w:rsidRPr="00206869">
              <w:rPr>
                <w:sz w:val="18"/>
                <w:szCs w:val="22"/>
                <w:lang w:val="en-US" w:eastAsia="en-US"/>
              </w:rPr>
              <w:t xml:space="preserve"> (SD)</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US" w:eastAsia="en-US"/>
              </w:rPr>
            </w:pPr>
            <w:proofErr w:type="spellStart"/>
            <w:r w:rsidRPr="00206869">
              <w:rPr>
                <w:sz w:val="18"/>
                <w:szCs w:val="22"/>
                <w:lang w:val="en-US" w:eastAsia="en-US"/>
              </w:rPr>
              <w:t>Stina</w:t>
            </w:r>
            <w:proofErr w:type="spellEnd"/>
            <w:r w:rsidRPr="00206869">
              <w:rPr>
                <w:sz w:val="18"/>
                <w:szCs w:val="22"/>
                <w:lang w:val="en-US" w:eastAsia="en-US"/>
              </w:rPr>
              <w:t xml:space="preserve"> </w:t>
            </w:r>
            <w:proofErr w:type="spellStart"/>
            <w:r w:rsidRPr="00206869">
              <w:rPr>
                <w:sz w:val="18"/>
                <w:szCs w:val="22"/>
                <w:lang w:val="en-US" w:eastAsia="en-US"/>
              </w:rPr>
              <w:t>Bergström</w:t>
            </w:r>
            <w:proofErr w:type="spellEnd"/>
            <w:r w:rsidRPr="00206869">
              <w:rPr>
                <w:sz w:val="18"/>
                <w:szCs w:val="22"/>
                <w:lang w:val="en-US" w:eastAsia="en-US"/>
              </w:rPr>
              <w:t xml:space="preserve"> (MP)</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US" w:eastAsia="en-US"/>
              </w:rPr>
            </w:pPr>
            <w:r>
              <w:rPr>
                <w:sz w:val="18"/>
                <w:szCs w:val="22"/>
                <w:lang w:val="en-US" w:eastAsia="en-US"/>
              </w:rPr>
              <w:t xml:space="preserve">Daniel </w:t>
            </w:r>
            <w:proofErr w:type="spellStart"/>
            <w:r>
              <w:rPr>
                <w:sz w:val="18"/>
                <w:szCs w:val="22"/>
                <w:lang w:val="en-US" w:eastAsia="en-US"/>
              </w:rPr>
              <w:t>Riazat</w:t>
            </w:r>
            <w:proofErr w:type="spellEnd"/>
            <w:r>
              <w:rPr>
                <w:sz w:val="18"/>
                <w:szCs w:val="22"/>
                <w:lang w:val="en-US" w:eastAsia="en-US"/>
              </w:rPr>
              <w:t xml:space="preserve"> </w:t>
            </w:r>
            <w:r w:rsidRPr="00206869">
              <w:rPr>
                <w:sz w:val="18"/>
                <w:szCs w:val="22"/>
                <w:lang w:val="en-US" w:eastAsia="en-US"/>
              </w:rPr>
              <w:t>(V)</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US" w:eastAsia="en-US"/>
              </w:rPr>
            </w:pPr>
            <w:r w:rsidRPr="00206869">
              <w:rPr>
                <w:sz w:val="18"/>
                <w:szCs w:val="22"/>
                <w:lang w:val="en-US" w:eastAsia="en-US"/>
              </w:rPr>
              <w:t xml:space="preserve">Magnus </w:t>
            </w:r>
            <w:proofErr w:type="spellStart"/>
            <w:r w:rsidRPr="00206869">
              <w:rPr>
                <w:sz w:val="18"/>
                <w:szCs w:val="22"/>
                <w:lang w:val="en-US" w:eastAsia="en-US"/>
              </w:rPr>
              <w:t>Oscarsson</w:t>
            </w:r>
            <w:proofErr w:type="spellEnd"/>
            <w:r w:rsidRPr="00206869">
              <w:rPr>
                <w:sz w:val="18"/>
                <w:szCs w:val="22"/>
                <w:lang w:val="en-US" w:eastAsia="en-US"/>
              </w:rPr>
              <w:t xml:space="preserve"> (KD)</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US" w:eastAsia="en-US"/>
              </w:rPr>
            </w:pPr>
            <w:r w:rsidRPr="00206869">
              <w:rPr>
                <w:sz w:val="18"/>
                <w:szCs w:val="22"/>
                <w:lang w:val="en-US" w:eastAsia="en-US"/>
              </w:rPr>
              <w:t>Mathias Sundin (L)</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US" w:eastAsia="en-US"/>
              </w:rPr>
            </w:pPr>
            <w:r w:rsidRPr="00206869">
              <w:rPr>
                <w:sz w:val="18"/>
                <w:szCs w:val="22"/>
                <w:lang w:val="en-US" w:eastAsia="en-US"/>
              </w:rPr>
              <w:t>Said Abdu (L)</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hideMark/>
          </w:tcPr>
          <w:p w:rsidR="000550A6" w:rsidRPr="00206869" w:rsidRDefault="000550A6" w:rsidP="00556626">
            <w:pPr>
              <w:spacing w:line="256" w:lineRule="auto"/>
              <w:rPr>
                <w:sz w:val="18"/>
                <w:szCs w:val="22"/>
                <w:lang w:val="en-US" w:eastAsia="en-US"/>
              </w:rPr>
            </w:pPr>
            <w:r w:rsidRPr="00206869">
              <w:rPr>
                <w:sz w:val="18"/>
                <w:szCs w:val="22"/>
                <w:lang w:val="en-US" w:eastAsia="en-US"/>
              </w:rPr>
              <w:t>Monica Green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spacing w:line="256" w:lineRule="auto"/>
              <w:rPr>
                <w:sz w:val="18"/>
                <w:szCs w:val="22"/>
                <w:lang w:val="en-US" w:eastAsia="en-US"/>
              </w:rPr>
            </w:pPr>
            <w:r w:rsidRPr="00206869">
              <w:rPr>
                <w:sz w:val="18"/>
                <w:szCs w:val="22"/>
                <w:lang w:val="en-US" w:eastAsia="en-US"/>
              </w:rPr>
              <w:t xml:space="preserve">Patrik </w:t>
            </w:r>
            <w:proofErr w:type="spellStart"/>
            <w:r w:rsidRPr="00206869">
              <w:rPr>
                <w:sz w:val="18"/>
                <w:szCs w:val="22"/>
                <w:lang w:val="en-US" w:eastAsia="en-US"/>
              </w:rPr>
              <w:t>Engström</w:t>
            </w:r>
            <w:proofErr w:type="spellEnd"/>
            <w:r w:rsidRPr="00206869">
              <w:rPr>
                <w:sz w:val="18"/>
                <w:szCs w:val="22"/>
                <w:lang w:val="en-US"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spacing w:line="256" w:lineRule="auto"/>
              <w:rPr>
                <w:sz w:val="18"/>
                <w:szCs w:val="22"/>
                <w:lang w:val="en-US" w:eastAsia="en-US"/>
              </w:rPr>
            </w:pPr>
            <w:r w:rsidRPr="00206869">
              <w:rPr>
                <w:sz w:val="18"/>
                <w:szCs w:val="22"/>
                <w:lang w:val="en-US" w:eastAsia="en-US"/>
              </w:rPr>
              <w:t xml:space="preserve">Roland </w:t>
            </w:r>
            <w:proofErr w:type="spellStart"/>
            <w:r w:rsidRPr="00206869">
              <w:rPr>
                <w:sz w:val="18"/>
                <w:szCs w:val="22"/>
                <w:lang w:val="en-US" w:eastAsia="en-US"/>
              </w:rPr>
              <w:t>Utbult</w:t>
            </w:r>
            <w:proofErr w:type="spellEnd"/>
            <w:r w:rsidRPr="00206869">
              <w:rPr>
                <w:sz w:val="18"/>
                <w:szCs w:val="22"/>
                <w:lang w:val="en-US" w:eastAsia="en-US"/>
              </w:rPr>
              <w:t xml:space="preserve"> (KD)</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spacing w:line="256" w:lineRule="auto"/>
              <w:rPr>
                <w:sz w:val="18"/>
                <w:szCs w:val="22"/>
                <w:lang w:val="en-US" w:eastAsia="en-US"/>
              </w:rPr>
            </w:pPr>
            <w:r>
              <w:rPr>
                <w:sz w:val="18"/>
                <w:szCs w:val="22"/>
                <w:lang w:val="en-US" w:eastAsia="en-US"/>
              </w:rPr>
              <w:t xml:space="preserve">Marie –Louise </w:t>
            </w:r>
            <w:r w:rsidRPr="00206869">
              <w:rPr>
                <w:sz w:val="18"/>
                <w:szCs w:val="22"/>
                <w:lang w:val="en-US" w:eastAsia="en-US"/>
              </w:rPr>
              <w:t xml:space="preserve"> </w:t>
            </w:r>
            <w:proofErr w:type="spellStart"/>
            <w:r w:rsidRPr="00206869">
              <w:rPr>
                <w:sz w:val="18"/>
                <w:szCs w:val="22"/>
                <w:lang w:val="en-US" w:eastAsia="en-US"/>
              </w:rPr>
              <w:t>Rönnmark</w:t>
            </w:r>
            <w:proofErr w:type="spellEnd"/>
            <w:r w:rsidRPr="00206869">
              <w:rPr>
                <w:sz w:val="18"/>
                <w:szCs w:val="22"/>
                <w:lang w:val="en-US" w:eastAsia="en-US"/>
              </w:rPr>
              <w:t xml:space="preserve"> (S)</w:t>
            </w: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c>
          <w:tcPr>
            <w:tcW w:w="343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spacing w:line="256" w:lineRule="auto"/>
              <w:rPr>
                <w:sz w:val="18"/>
                <w:szCs w:val="22"/>
                <w:lang w:val="en-US" w:eastAsia="en-US"/>
              </w:rPr>
            </w:pPr>
          </w:p>
        </w:tc>
        <w:tc>
          <w:tcPr>
            <w:tcW w:w="31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95"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08"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404"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18"/>
                <w:lang w:val="en-GB" w:eastAsia="en-US"/>
              </w:rPr>
            </w:pPr>
          </w:p>
        </w:tc>
        <w:tc>
          <w:tcPr>
            <w:tcW w:w="356"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gridSpan w:val="2"/>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9" w:type="dxa"/>
            <w:tcBorders>
              <w:top w:val="single" w:sz="6" w:space="0" w:color="auto"/>
              <w:left w:val="single" w:sz="6" w:space="0" w:color="auto"/>
              <w:bottom w:val="single" w:sz="6" w:space="0" w:color="auto"/>
              <w:right w:val="single" w:sz="6"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356" w:type="dxa"/>
            <w:tcBorders>
              <w:top w:val="single" w:sz="6" w:space="0" w:color="auto"/>
              <w:left w:val="single" w:sz="6" w:space="0" w:color="auto"/>
              <w:bottom w:val="single" w:sz="6"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c>
          <w:tcPr>
            <w:tcW w:w="716" w:type="dxa"/>
            <w:gridSpan w:val="2"/>
            <w:tcBorders>
              <w:top w:val="single" w:sz="4" w:space="0" w:color="auto"/>
              <w:left w:val="single" w:sz="4" w:space="0" w:color="auto"/>
              <w:bottom w:val="single" w:sz="4" w:space="0" w:color="auto"/>
              <w:right w:val="single" w:sz="4" w:space="0" w:color="auto"/>
            </w:tcBorders>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lang w:val="en-GB" w:eastAsia="en-US"/>
              </w:rPr>
            </w:pPr>
          </w:p>
        </w:tc>
      </w:tr>
      <w:tr w:rsidR="000550A6" w:rsidRPr="00206869" w:rsidTr="00556626">
        <w:tblPrEx>
          <w:tblLook w:val="04A0" w:firstRow="1" w:lastRow="0" w:firstColumn="1" w:lastColumn="0" w:noHBand="0" w:noVBand="1"/>
        </w:tblPrEx>
        <w:trPr>
          <w:gridAfter w:val="6"/>
          <w:wAfter w:w="2054" w:type="dxa"/>
          <w:trHeight w:val="263"/>
        </w:trPr>
        <w:tc>
          <w:tcPr>
            <w:tcW w:w="6731" w:type="dxa"/>
            <w:gridSpan w:val="12"/>
            <w:tcBorders>
              <w:top w:val="single" w:sz="4" w:space="0" w:color="auto"/>
              <w:left w:val="nil"/>
              <w:bottom w:val="single" w:sz="4" w:space="0" w:color="auto"/>
              <w:right w:val="single" w:sz="4" w:space="0" w:color="auto"/>
            </w:tcBorders>
            <w:hideMark/>
          </w:tcPr>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eastAsia="en-US"/>
              </w:rPr>
            </w:pPr>
            <w:r w:rsidRPr="00206869">
              <w:rPr>
                <w:sz w:val="18"/>
                <w:lang w:eastAsia="en-US"/>
              </w:rPr>
              <w:t>X = Ledamöter som deltagit i handläggningen</w:t>
            </w:r>
          </w:p>
          <w:p w:rsidR="000550A6" w:rsidRPr="00206869" w:rsidRDefault="000550A6" w:rsidP="0055662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56" w:lineRule="auto"/>
              <w:rPr>
                <w:sz w:val="18"/>
                <w:lang w:eastAsia="en-US"/>
              </w:rPr>
            </w:pPr>
            <w:r w:rsidRPr="00206869">
              <w:rPr>
                <w:sz w:val="18"/>
                <w:lang w:eastAsia="en-US"/>
              </w:rPr>
              <w:t>O = Ledamöter som härutöver har varit närvarande</w:t>
            </w:r>
          </w:p>
        </w:tc>
      </w:tr>
    </w:tbl>
    <w:p w:rsidR="000550A6" w:rsidRPr="00A37376" w:rsidRDefault="000550A6" w:rsidP="000550A6"/>
    <w:p w:rsidR="000550A6" w:rsidRPr="00A37376" w:rsidRDefault="000550A6" w:rsidP="000550A6"/>
    <w:p w:rsidR="000550A6" w:rsidRPr="00A37376" w:rsidRDefault="000550A6" w:rsidP="000550A6"/>
    <w:p w:rsidR="000550A6" w:rsidRPr="00A37376" w:rsidRDefault="000550A6" w:rsidP="000550A6"/>
    <w:p w:rsidR="00A37376" w:rsidRDefault="00A37376" w:rsidP="006D3AF9"/>
    <w:p w:rsidR="000550A6" w:rsidRDefault="000550A6" w:rsidP="006D3AF9"/>
    <w:p w:rsidR="000550A6" w:rsidRDefault="000550A6" w:rsidP="006D3AF9"/>
    <w:p w:rsidR="000550A6" w:rsidRDefault="000550A6" w:rsidP="006D3AF9"/>
    <w:p w:rsidR="000550A6" w:rsidRDefault="000550A6" w:rsidP="000550A6">
      <w:r>
        <w:t>TRAFIKUTSKOTTET        2018-06-12                               Bilaga 2 till protokoll</w:t>
      </w:r>
    </w:p>
    <w:p w:rsidR="000550A6" w:rsidRDefault="000550A6" w:rsidP="000550A6">
      <w:r>
        <w:t xml:space="preserve">                                                                                                       2017/18:33</w:t>
      </w:r>
    </w:p>
    <w:p w:rsidR="000550A6" w:rsidRDefault="000550A6" w:rsidP="000550A6"/>
    <w:p w:rsidR="000550A6" w:rsidRDefault="000550A6" w:rsidP="000550A6"/>
    <w:p w:rsidR="000550A6" w:rsidRDefault="000550A6" w:rsidP="000550A6"/>
    <w:p w:rsidR="000550A6" w:rsidRPr="00A37376" w:rsidRDefault="000550A6" w:rsidP="000550A6"/>
    <w:p w:rsidR="000550A6" w:rsidRPr="00EB5051" w:rsidRDefault="000550A6" w:rsidP="000550A6">
      <w:pPr>
        <w:rPr>
          <w:szCs w:val="24"/>
        </w:rPr>
      </w:pPr>
      <w:r w:rsidRPr="00EB5051">
        <w:rPr>
          <w:szCs w:val="24"/>
        </w:rPr>
        <w:t xml:space="preserve">Skrivelse angående </w:t>
      </w:r>
      <w:r w:rsidR="00FD0B66">
        <w:rPr>
          <w:szCs w:val="24"/>
        </w:rPr>
        <w:t>nytt transportkoncept</w:t>
      </w:r>
      <w:r>
        <w:rPr>
          <w:szCs w:val="24"/>
        </w:rPr>
        <w:t xml:space="preserve">                                  Ja</w:t>
      </w:r>
      <w:r w:rsidRPr="00EB5051">
        <w:rPr>
          <w:szCs w:val="24"/>
        </w:rPr>
        <w:t xml:space="preserve">                                                                  </w:t>
      </w:r>
      <w:r w:rsidRPr="00EB5051">
        <w:rPr>
          <w:szCs w:val="24"/>
        </w:rPr>
        <w:br/>
        <w:t>dnr:</w:t>
      </w:r>
      <w:r w:rsidR="00FD0B66">
        <w:rPr>
          <w:szCs w:val="24"/>
        </w:rPr>
        <w:t xml:space="preserve"> 2057</w:t>
      </w:r>
      <w:r w:rsidRPr="00EB5051">
        <w:rPr>
          <w:szCs w:val="24"/>
        </w:rPr>
        <w:t>-2017/18</w:t>
      </w:r>
      <w:r>
        <w:rPr>
          <w:szCs w:val="24"/>
        </w:rPr>
        <w:t xml:space="preserve">, </w:t>
      </w:r>
      <w:r w:rsidR="00FD0B66">
        <w:rPr>
          <w:szCs w:val="24"/>
        </w:rPr>
        <w:t xml:space="preserve"> privatperson, Donsö</w:t>
      </w:r>
      <w:r w:rsidRPr="00EB5051">
        <w:rPr>
          <w:szCs w:val="24"/>
        </w:rPr>
        <w:t xml:space="preserve">                                                                                                              </w:t>
      </w:r>
    </w:p>
    <w:p w:rsidR="000550A6" w:rsidRPr="00A37376" w:rsidRDefault="000550A6" w:rsidP="006D3AF9"/>
    <w:sectPr w:rsidR="000550A6" w:rsidRPr="00A3737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altName w:val="Arial"/>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altName w:val="Arial"/>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A6"/>
    <w:rsid w:val="000550A6"/>
    <w:rsid w:val="0006043F"/>
    <w:rsid w:val="00072835"/>
    <w:rsid w:val="00094A50"/>
    <w:rsid w:val="001042A1"/>
    <w:rsid w:val="001B6C7F"/>
    <w:rsid w:val="0028015F"/>
    <w:rsid w:val="00280BC7"/>
    <w:rsid w:val="002B7046"/>
    <w:rsid w:val="00386CC5"/>
    <w:rsid w:val="00455243"/>
    <w:rsid w:val="005315D0"/>
    <w:rsid w:val="00560EA7"/>
    <w:rsid w:val="0057036F"/>
    <w:rsid w:val="00585C22"/>
    <w:rsid w:val="005B1DD2"/>
    <w:rsid w:val="00602481"/>
    <w:rsid w:val="00622FF3"/>
    <w:rsid w:val="006D3AF9"/>
    <w:rsid w:val="00712851"/>
    <w:rsid w:val="007149F6"/>
    <w:rsid w:val="007B6A85"/>
    <w:rsid w:val="00874A67"/>
    <w:rsid w:val="008D3BE8"/>
    <w:rsid w:val="008F5C48"/>
    <w:rsid w:val="00925EF5"/>
    <w:rsid w:val="00980BA4"/>
    <w:rsid w:val="009855B9"/>
    <w:rsid w:val="00A016F8"/>
    <w:rsid w:val="00A37376"/>
    <w:rsid w:val="00B026D0"/>
    <w:rsid w:val="00CC4385"/>
    <w:rsid w:val="00D61751"/>
    <w:rsid w:val="00D66118"/>
    <w:rsid w:val="00D8468E"/>
    <w:rsid w:val="00D90E4B"/>
    <w:rsid w:val="00DE3D8E"/>
    <w:rsid w:val="00F063C4"/>
    <w:rsid w:val="00F62717"/>
    <w:rsid w:val="00F66E5F"/>
    <w:rsid w:val="00FD0B66"/>
    <w:rsid w:val="00FD202D"/>
    <w:rsid w:val="00FF1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6DAB6-CB14-4E60-A5F9-B07162DE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0A6"/>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Default">
    <w:name w:val="Default"/>
    <w:rsid w:val="000550A6"/>
    <w:pPr>
      <w:autoSpaceDE w:val="0"/>
      <w:autoSpaceDN w:val="0"/>
      <w:adjustRightInd w:val="0"/>
      <w:spacing w:after="0" w:line="240" w:lineRule="auto"/>
    </w:pPr>
    <w:rPr>
      <w:rFonts w:ascii="Times New Roman" w:hAnsi="Times New Roman" w:cs="Times New Roman"/>
      <w:color w:val="000000"/>
      <w:sz w:val="24"/>
      <w:szCs w:val="24"/>
      <w:lang w:val="sv-SE"/>
    </w:rPr>
  </w:style>
  <w:style w:type="paragraph" w:styleId="Ballongtext">
    <w:name w:val="Balloon Text"/>
    <w:basedOn w:val="Normal"/>
    <w:link w:val="BallongtextChar"/>
    <w:uiPriority w:val="99"/>
    <w:semiHidden/>
    <w:unhideWhenUsed/>
    <w:rsid w:val="005B1DD2"/>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B1DD2"/>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599530">
      <w:bodyDiv w:val="1"/>
      <w:marLeft w:val="0"/>
      <w:marRight w:val="0"/>
      <w:marTop w:val="0"/>
      <w:marBottom w:val="0"/>
      <w:divBdr>
        <w:top w:val="none" w:sz="0" w:space="0" w:color="auto"/>
        <w:left w:val="none" w:sz="0" w:space="0" w:color="auto"/>
        <w:bottom w:val="none" w:sz="0" w:space="0" w:color="auto"/>
        <w:right w:val="none" w:sz="0" w:space="0" w:color="auto"/>
      </w:divBdr>
    </w:div>
    <w:div w:id="1410999610">
      <w:bodyDiv w:val="1"/>
      <w:marLeft w:val="0"/>
      <w:marRight w:val="0"/>
      <w:marTop w:val="0"/>
      <w:marBottom w:val="0"/>
      <w:divBdr>
        <w:top w:val="none" w:sz="0" w:space="0" w:color="auto"/>
        <w:left w:val="none" w:sz="0" w:space="0" w:color="auto"/>
        <w:bottom w:val="none" w:sz="0" w:space="0" w:color="auto"/>
        <w:right w:val="none" w:sz="0" w:space="0" w:color="auto"/>
      </w:divBdr>
    </w:div>
    <w:div w:id="1432359599">
      <w:bodyDiv w:val="1"/>
      <w:marLeft w:val="0"/>
      <w:marRight w:val="0"/>
      <w:marTop w:val="0"/>
      <w:marBottom w:val="0"/>
      <w:divBdr>
        <w:top w:val="none" w:sz="0" w:space="0" w:color="auto"/>
        <w:left w:val="none" w:sz="0" w:space="0" w:color="auto"/>
        <w:bottom w:val="none" w:sz="0" w:space="0" w:color="auto"/>
        <w:right w:val="none" w:sz="0" w:space="0" w:color="auto"/>
      </w:divBdr>
    </w:div>
    <w:div w:id="212660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0</TotalTime>
  <Pages>6</Pages>
  <Words>944</Words>
  <Characters>6001</Characters>
  <Application>Microsoft Office Word</Application>
  <DocSecurity>0</DocSecurity>
  <Lines>1500</Lines>
  <Paragraphs>224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2</cp:revision>
  <cp:lastPrinted>2018-06-12T12:17:00Z</cp:lastPrinted>
  <dcterms:created xsi:type="dcterms:W3CDTF">2018-08-23T11:02:00Z</dcterms:created>
  <dcterms:modified xsi:type="dcterms:W3CDTF">2018-08-23T11:02:00Z</dcterms:modified>
</cp:coreProperties>
</file>