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575" w:rsidRPr="00912838" w:rsidRDefault="00D30575">
      <w:pPr>
        <w:pStyle w:val="RKnormal"/>
        <w:ind w:left="-1418"/>
      </w:pPr>
    </w:p>
    <w:p w:rsidR="00D30575" w:rsidRPr="00912838" w:rsidRDefault="00D30575">
      <w:pPr>
        <w:pStyle w:val="RKnormal"/>
        <w:ind w:left="-1418"/>
        <w:jc w:val="center"/>
        <w:rPr>
          <w:b/>
          <w:bCs/>
        </w:rPr>
      </w:pPr>
    </w:p>
    <w:p w:rsidR="00D30575" w:rsidRPr="00912838" w:rsidRDefault="00D30575">
      <w:pPr>
        <w:pStyle w:val="RKnormal"/>
        <w:ind w:left="-1418"/>
        <w:jc w:val="center"/>
        <w:rPr>
          <w:b/>
          <w:bCs/>
        </w:rPr>
      </w:pPr>
    </w:p>
    <w:p w:rsidR="004F71F8" w:rsidRPr="00912838" w:rsidRDefault="00BC3B89">
      <w:pPr>
        <w:pStyle w:val="RKnormal"/>
        <w:ind w:left="-1418"/>
        <w:rPr>
          <w:b/>
        </w:rPr>
      </w:pPr>
      <w:r w:rsidRPr="00912838">
        <w:rPr>
          <w:b/>
        </w:rPr>
        <w:t xml:space="preserve">Förslag till en rådsrekommendation om rökfria miljöer </w:t>
      </w:r>
    </w:p>
    <w:p w:rsidR="00471B76" w:rsidRPr="00912838" w:rsidRDefault="00471B76">
      <w:pPr>
        <w:pStyle w:val="RKnormal"/>
        <w:ind w:left="-1418"/>
        <w:rPr>
          <w:b/>
        </w:rPr>
      </w:pPr>
      <w:r w:rsidRPr="00912838">
        <w:rPr>
          <w:b/>
        </w:rPr>
        <w:t>Dokument 16055/09+ADD1 Förslag till en rådsrekommendation om rökfria miljöer, antagande</w:t>
      </w:r>
    </w:p>
    <w:p w:rsidR="003C68BF" w:rsidRPr="00912838" w:rsidRDefault="003C68BF">
      <w:pPr>
        <w:pStyle w:val="RKnormal"/>
        <w:ind w:left="-1418"/>
        <w:rPr>
          <w:b/>
        </w:rPr>
      </w:pPr>
      <w:r w:rsidRPr="00912838">
        <w:rPr>
          <w:b/>
        </w:rPr>
        <w:t xml:space="preserve">Rådspm översänt till riksdagen den 19 november 2009. </w:t>
      </w:r>
    </w:p>
    <w:p w:rsidR="00895144" w:rsidRPr="00912838" w:rsidRDefault="00895144">
      <w:pPr>
        <w:pStyle w:val="RKnormal"/>
        <w:ind w:left="-1418"/>
      </w:pPr>
    </w:p>
    <w:p w:rsidR="004E1A92" w:rsidRPr="00912838" w:rsidRDefault="004E1A92">
      <w:pPr>
        <w:pStyle w:val="RKnormal"/>
        <w:ind w:left="-1418"/>
      </w:pPr>
      <w:r w:rsidRPr="00912838">
        <w:rPr>
          <w:b/>
        </w:rPr>
        <w:t>Ansvarigt departement:</w:t>
      </w:r>
      <w:r w:rsidRPr="00912838">
        <w:t xml:space="preserve"> Socialdepartementet</w:t>
      </w:r>
    </w:p>
    <w:p w:rsidR="004E1A92" w:rsidRPr="00912838" w:rsidRDefault="004E1A92">
      <w:pPr>
        <w:pStyle w:val="RKnormal"/>
        <w:ind w:left="-1418"/>
      </w:pPr>
    </w:p>
    <w:p w:rsidR="00BC3B89" w:rsidRPr="00912838" w:rsidRDefault="004E1A92">
      <w:pPr>
        <w:pStyle w:val="RKnormal"/>
        <w:ind w:left="-1418"/>
      </w:pPr>
      <w:r w:rsidRPr="00912838">
        <w:rPr>
          <w:b/>
        </w:rPr>
        <w:t>Ansvarigt statsråd:</w:t>
      </w:r>
      <w:r w:rsidR="00BC3B89" w:rsidRPr="00912838">
        <w:t xml:space="preserve"> Maria Larsson</w:t>
      </w:r>
    </w:p>
    <w:p w:rsidR="00003C51" w:rsidRPr="00912838" w:rsidRDefault="00003C51">
      <w:pPr>
        <w:pStyle w:val="RKnormal"/>
        <w:ind w:left="-1418"/>
      </w:pPr>
    </w:p>
    <w:p w:rsidR="00003C51" w:rsidRPr="00912838" w:rsidRDefault="00003C51">
      <w:pPr>
        <w:pStyle w:val="RKnormal"/>
        <w:ind w:left="-1418"/>
        <w:rPr>
          <w:b/>
          <w:color w:val="FF0000"/>
        </w:rPr>
      </w:pPr>
      <w:r w:rsidRPr="00912838">
        <w:t>Färdigförhandlad II-punkt från möte i Coreper I 2009-10-23 som ska antas som A-punkt vid EPSCO 2009-11-30.</w:t>
      </w:r>
    </w:p>
    <w:p w:rsidR="00895144" w:rsidRPr="00912838" w:rsidRDefault="00895144">
      <w:pPr>
        <w:pStyle w:val="RKnormal"/>
        <w:ind w:left="-1418"/>
        <w:rPr>
          <w:b/>
        </w:rPr>
      </w:pPr>
    </w:p>
    <w:p w:rsidR="00471B76" w:rsidRPr="00912838" w:rsidRDefault="00D30575" w:rsidP="00471B76">
      <w:pPr>
        <w:pStyle w:val="RKnormal"/>
        <w:ind w:left="-1418"/>
      </w:pPr>
      <w:r w:rsidRPr="00912838">
        <w:rPr>
          <w:b/>
        </w:rPr>
        <w:t>Bakgrund:</w:t>
      </w:r>
      <w:r w:rsidRPr="00912838">
        <w:t xml:space="preserve"> </w:t>
      </w:r>
      <w:r w:rsidR="00471B76" w:rsidRPr="00912838">
        <w:t>Rådsrekommendation för rökfria miljöer bygger på ett offentligt samråd av EU-kommissionens meddelande Rökfritt Europa som genomfördes under våren 2007. EPSCO-rådets (Rådet för sysselsättning, socialpolitik, hälso- och sjukvård samt konsumentfrågor) efterföljande diskussion vi</w:t>
      </w:r>
      <w:r w:rsidR="004E1A92" w:rsidRPr="00912838">
        <w:t>sade att det fanns stöd bland medlemsstaterna</w:t>
      </w:r>
      <w:r w:rsidR="00471B76" w:rsidRPr="00912838">
        <w:t xml:space="preserve"> för att på EU-nivå arbeta vidare med frågorna, men att medlemsstaterna i rådet då framhöll att lagstiftning är en nationell fråga. EU-kommissionen har därefter meddelat att frågan om arbetsmiljö ska behandlas inom arbetsmiljöområdet inom ramen för den sociala dialogen. </w:t>
      </w:r>
    </w:p>
    <w:p w:rsidR="00471B76" w:rsidRPr="00912838" w:rsidRDefault="00471B76" w:rsidP="00471B76">
      <w:pPr>
        <w:pStyle w:val="RKnormal"/>
        <w:ind w:left="-1418"/>
      </w:pPr>
    </w:p>
    <w:p w:rsidR="00471B76" w:rsidRPr="00912838" w:rsidRDefault="00471B76" w:rsidP="00471B76">
      <w:pPr>
        <w:pStyle w:val="RKnormal"/>
        <w:ind w:left="-1418"/>
      </w:pPr>
      <w:r w:rsidRPr="00912838">
        <w:t xml:space="preserve">För de frågor som inte är arbetsmiljöfrågor har EU-kommissionen aviserat att man avser gå fram med en rådsrekommendation som under hösten har behandlats i rådsarbetsgruppen för hälsa. Rättslig grund för förslaget är artikel 152 i EG-fördraget. </w:t>
      </w:r>
    </w:p>
    <w:p w:rsidR="00471B76" w:rsidRPr="00912838" w:rsidRDefault="00471B76" w:rsidP="00471B76">
      <w:pPr>
        <w:pStyle w:val="RKnormal"/>
        <w:ind w:left="-1418"/>
      </w:pPr>
    </w:p>
    <w:p w:rsidR="00471B76" w:rsidRPr="00912838" w:rsidRDefault="00471B76" w:rsidP="00471B76">
      <w:pPr>
        <w:pStyle w:val="RKnormal"/>
        <w:ind w:left="-1418"/>
      </w:pPr>
      <w:r w:rsidRPr="00912838">
        <w:t>Rådsrekommendationen är förhållandevis kort i sin operativa del.</w:t>
      </w:r>
      <w:r w:rsidRPr="00912838">
        <w:rPr>
          <w:sz w:val="28"/>
          <w:szCs w:val="28"/>
        </w:rPr>
        <w:t xml:space="preserve"> </w:t>
      </w:r>
      <w:r w:rsidRPr="00912838">
        <w:t xml:space="preserve">Det huvudsakliga syftet med förslaget är att genomföra artikel 8 i Världshälsoorganisationens ramkonvention om tobakskontroll. Artikel 8 handlar om skydd mot exponering för tobaksrök. Rådet rekommenderar medlemsstaterna att genomföra eller upprätthålla lagstiftning och/eller andra effektiva åtgärder för skydd mot tobaksrök på arbetsplatser inomhus, offentliga lokaler och allmänna transporter. </w:t>
      </w:r>
    </w:p>
    <w:p w:rsidR="00471B76" w:rsidRPr="00912838" w:rsidRDefault="00471B76" w:rsidP="00471B76">
      <w:pPr>
        <w:pStyle w:val="RKnormal"/>
        <w:ind w:left="-1418"/>
      </w:pPr>
    </w:p>
    <w:p w:rsidR="00471B76" w:rsidRPr="00912838" w:rsidRDefault="00471B76" w:rsidP="00471B76">
      <w:pPr>
        <w:pStyle w:val="RKnormal"/>
        <w:ind w:left="-1418"/>
      </w:pPr>
      <w:r w:rsidRPr="00912838">
        <w:t xml:space="preserve">Under hösten behandling i rådsarbetsgruppen för hälsa så har det föreslagits vissa tillägg till texten gällande frågan om så kallad plain packaging för tobaksprodukter. </w:t>
      </w:r>
    </w:p>
    <w:p w:rsidR="00471B76" w:rsidRPr="00912838" w:rsidRDefault="00471B76" w:rsidP="00471B76">
      <w:pPr>
        <w:pStyle w:val="RKnormal"/>
        <w:ind w:left="-1418"/>
      </w:pPr>
      <w:r w:rsidRPr="00912838">
        <w:t>Vid den avslutande Coreperbehandlingen hade fem medlemsstater reservationer avseende frågan om plain packaging.  Resultatet av behandlingen i Coreper är att en uppmjukad text riktad till KOM har fått tillräckligt stöd</w:t>
      </w:r>
      <w:r w:rsidR="004E1A92" w:rsidRPr="00912838">
        <w:t xml:space="preserve"> bland medlemsstaterna</w:t>
      </w:r>
      <w:r w:rsidRPr="00912838">
        <w:t>. Dock bibehöll samma fem medlemsstater sina reservationer. Det slutliga kompromissen med uppmaningar till KOM lyder:</w:t>
      </w:r>
    </w:p>
    <w:p w:rsidR="00471B76" w:rsidRPr="00912838" w:rsidRDefault="00471B76" w:rsidP="00471B76">
      <w:pPr>
        <w:pStyle w:val="RKnormal"/>
        <w:ind w:left="-1418"/>
      </w:pPr>
      <w:r w:rsidRPr="00912838">
        <w:t xml:space="preserve">”2. In the context of the possible revision of the tobacco Product Directive, consider all product related measures aimed at reducing the attractiveness and addictiveness of tobacco products. </w:t>
      </w:r>
    </w:p>
    <w:p w:rsidR="00471B76" w:rsidRPr="00912838" w:rsidRDefault="00471B76" w:rsidP="00471B76">
      <w:pPr>
        <w:pStyle w:val="RKnormal"/>
        <w:ind w:left="-1418"/>
      </w:pPr>
      <w:r w:rsidRPr="00912838">
        <w:lastRenderedPageBreak/>
        <w:t xml:space="preserve">3. Analyse the legal issues and the evidence base for the impact of plain packaging, including on the function of the internal market.” </w:t>
      </w:r>
    </w:p>
    <w:p w:rsidR="00D30575" w:rsidRPr="00912838" w:rsidRDefault="00D30575">
      <w:pPr>
        <w:ind w:left="-1778"/>
        <w:rPr>
          <w:rFonts w:ascii="Garamond" w:hAnsi="Garamond"/>
          <w:sz w:val="24"/>
        </w:rPr>
      </w:pPr>
    </w:p>
    <w:sectPr w:rsidR="00D30575" w:rsidRPr="00912838"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500" w:rsidRPr="00912838" w:rsidRDefault="00EA5500">
      <w:r w:rsidRPr="00912838">
        <w:separator/>
      </w:r>
    </w:p>
  </w:endnote>
  <w:endnote w:type="continuationSeparator" w:id="0">
    <w:p w:rsidR="00EA5500" w:rsidRPr="00912838" w:rsidRDefault="00EA5500">
      <w:r w:rsidRPr="009128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500" w:rsidRPr="00912838" w:rsidRDefault="00EA5500">
      <w:r w:rsidRPr="00912838">
        <w:separator/>
      </w:r>
    </w:p>
  </w:footnote>
  <w:footnote w:type="continuationSeparator" w:id="0">
    <w:p w:rsidR="00EA5500" w:rsidRPr="00912838" w:rsidRDefault="00EA5500">
      <w:r w:rsidRPr="009128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51" w:rsidRPr="00912838" w:rsidRDefault="00003C51">
    <w:pPr>
      <w:pStyle w:val="Sidhuvud"/>
      <w:framePr w:wrap="auto" w:vAnchor="text" w:hAnchor="margin" w:xAlign="right" w:y="1"/>
      <w:rPr>
        <w:rStyle w:val="Sidnummer"/>
      </w:rPr>
    </w:pPr>
    <w:r w:rsidRPr="00912838">
      <w:rPr>
        <w:rStyle w:val="Sidnummer"/>
      </w:rPr>
      <w:fldChar w:fldCharType="begin" w:fldLock="1"/>
    </w:r>
    <w:r w:rsidRPr="00912838">
      <w:rPr>
        <w:rStyle w:val="Sidnummer"/>
      </w:rPr>
      <w:instrText xml:space="preserve">PAGE  </w:instrText>
    </w:r>
    <w:r w:rsidRPr="00912838">
      <w:rPr>
        <w:rStyle w:val="Sidnummer"/>
      </w:rPr>
      <w:fldChar w:fldCharType="separate"/>
    </w:r>
    <w:r w:rsidR="00425F22" w:rsidRPr="00912838">
      <w:rPr>
        <w:rStyle w:val="Sidnummer"/>
      </w:rPr>
      <w:t>2</w:t>
    </w:r>
    <w:r w:rsidRPr="00912838">
      <w:rPr>
        <w:rStyle w:val="Sidnummer"/>
      </w:rPr>
      <w:fldChar w:fldCharType="end"/>
    </w:r>
  </w:p>
  <w:p w:rsidR="00003C51" w:rsidRPr="00912838" w:rsidRDefault="00003C51">
    <w:pPr>
      <w:pStyle w:val="Sidhuvud"/>
      <w:ind w:right="360"/>
    </w:pPr>
  </w:p>
  <w:p w:rsidR="00003C51" w:rsidRPr="00912838" w:rsidRDefault="00003C5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51" w:rsidRPr="00912838" w:rsidRDefault="00912838">
    <w:pPr>
      <w:framePr w:w="2948" w:h="1321" w:hRule="exact" w:wrap="notBeside" w:vAnchor="page" w:hAnchor="page" w:x="1362" w:y="653"/>
    </w:pPr>
    <w:r w:rsidRPr="00912838">
      <w:rPr>
        <w:noProof/>
      </w:rPr>
      <w:drawing>
        <wp:inline distT="0" distB="0" distL="0" distR="0">
          <wp:extent cx="1866900" cy="8445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C51" w:rsidRPr="00912838" w:rsidRDefault="00003C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029C3"/>
    <w:multiLevelType w:val="hybridMultilevel"/>
    <w:tmpl w:val="9B1AD0E2"/>
    <w:lvl w:ilvl="0" w:tplc="04090001">
      <w:start w:val="1"/>
      <w:numFmt w:val="bullet"/>
      <w:lvlText w:val=""/>
      <w:lvlJc w:val="left"/>
      <w:pPr>
        <w:tabs>
          <w:tab w:val="num" w:pos="-338"/>
        </w:tabs>
        <w:ind w:left="-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2" w15:restartNumberingAfterBreak="0">
    <w:nsid w:val="3F2C4D72"/>
    <w:multiLevelType w:val="singleLevel"/>
    <w:tmpl w:val="2CE00F4C"/>
    <w:lvl w:ilvl="0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3" w15:restartNumberingAfterBreak="0">
    <w:nsid w:val="442D275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73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642C26"/>
    <w:multiLevelType w:val="hybridMultilevel"/>
    <w:tmpl w:val="C164AB10"/>
    <w:lvl w:ilvl="0" w:tplc="04090001">
      <w:start w:val="1"/>
      <w:numFmt w:val="bullet"/>
      <w:lvlText w:val=""/>
      <w:lvlJc w:val="left"/>
      <w:pPr>
        <w:tabs>
          <w:tab w:val="num" w:pos="-698"/>
        </w:tabs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num w:numId="1" w16cid:durableId="1603165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14496001">
    <w:abstractNumId w:val="2"/>
  </w:num>
  <w:num w:numId="3" w16cid:durableId="986546059">
    <w:abstractNumId w:val="4"/>
  </w:num>
  <w:num w:numId="4" w16cid:durableId="1401757698">
    <w:abstractNumId w:val="3"/>
  </w:num>
  <w:num w:numId="5" w16cid:durableId="752969837">
    <w:abstractNumId w:val="5"/>
  </w:num>
  <w:num w:numId="6" w16cid:durableId="164596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F8"/>
    <w:rsid w:val="00003C51"/>
    <w:rsid w:val="003C68BF"/>
    <w:rsid w:val="003F33C6"/>
    <w:rsid w:val="00424B18"/>
    <w:rsid w:val="00425F22"/>
    <w:rsid w:val="00471B76"/>
    <w:rsid w:val="004A6081"/>
    <w:rsid w:val="004E1A92"/>
    <w:rsid w:val="004F71F8"/>
    <w:rsid w:val="00564F80"/>
    <w:rsid w:val="00895144"/>
    <w:rsid w:val="00912838"/>
    <w:rsid w:val="00A27ED4"/>
    <w:rsid w:val="00BC3B89"/>
    <w:rsid w:val="00D30575"/>
    <w:rsid w:val="00E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31E7EE-5AC5-4EC2-BFAD-A1CB7172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OrigGarmnd BT" w:hAnsi="OrigGarmnd BT"/>
      <w:sz w:val="24"/>
    </w:r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Garamond" w:hAnsi="Garamond"/>
      <w:sz w:val="24"/>
    </w:rPr>
  </w:style>
  <w:style w:type="paragraph" w:customStyle="1" w:styleId="RKrubrik">
    <w:name w:val="RKrubrik"/>
    <w:basedOn w:val="RKnormal"/>
    <w:next w:val="RKnormal"/>
    <w:rsid w:val="00471B76"/>
    <w:pPr>
      <w:keepNext/>
      <w:tabs>
        <w:tab w:val="left" w:pos="1134"/>
      </w:tabs>
      <w:overflowPunct w:val="0"/>
      <w:autoSpaceDE w:val="0"/>
      <w:autoSpaceDN w:val="0"/>
      <w:adjustRightInd w:val="0"/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2216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Följande uppgifter ska vara med i underlaget:</vt:lpstr>
    </vt:vector>
  </TitlesOfParts>
  <Company>UD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Följande uppgifter ska vara med i underlaget:</dc:title>
  <dc:subject>Följande uppgifter ska vara med i underlaget:</dc:subject>
  <dc:creator>Riksdagen</dc:creator>
  <cp:keywords>Riksdagen</cp:keywords>
  <dc:description/>
  <cp:lastModifiedBy>Lars Brink</cp:lastModifiedBy>
  <cp:revision>2</cp:revision>
  <cp:lastPrinted>2009-11-30T09:41:00Z</cp:lastPrinted>
  <dcterms:created xsi:type="dcterms:W3CDTF">2025-12-18T00:12:00Z</dcterms:created>
  <dcterms:modified xsi:type="dcterms:W3CDTF">2025-12-18T00:12:00Z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Socialdepartementet</vt:lpwstr>
  </property>
  <property fmtid="{D5CDD505-2E9C-101B-9397-08002B2CF9AE}" pid="3" name="RKOrdnaActivityCategory">
    <vt:lpwstr>4.1. Europeiska unionen</vt:lpwstr>
  </property>
  <property fmtid="{D5CDD505-2E9C-101B-9397-08002B2CF9AE}" pid="4" name="RKOrdnaDiarienummer">
    <vt:lpwstr/>
  </property>
  <property fmtid="{D5CDD505-2E9C-101B-9397-08002B2CF9AE}" pid="5" name="ContentType">
    <vt:lpwstr>Word</vt:lpwstr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