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43342" w:rsidRPr="00C17D37" w:rsidRDefault="00543342">
      <w:pPr>
        <w:pStyle w:val="Frslagsrubrik"/>
      </w:pPr>
      <w:r w:rsidRPr="00C17D37">
        <w:t>Förslag till riksdagsbeslut</w:t>
      </w:r>
    </w:p>
    <w:p w:rsidR="00543342" w:rsidRPr="00C17D37" w:rsidRDefault="00543342">
      <w:pPr>
        <w:pStyle w:val="Hemstlatt"/>
        <w:numPr>
          <w:ilvl w:val="0"/>
          <w:numId w:val="1"/>
        </w:numPr>
      </w:pPr>
      <w:r w:rsidRPr="00C17D37">
        <w:t>Riksdagen avslår proposition 2011/12:133.</w:t>
      </w:r>
    </w:p>
    <w:p w:rsidR="00543342" w:rsidRPr="00C17D37" w:rsidRDefault="00543342">
      <w:pPr>
        <w:pStyle w:val="Hemstlatt"/>
        <w:numPr>
          <w:ilvl w:val="0"/>
          <w:numId w:val="1"/>
        </w:numPr>
      </w:pPr>
      <w:r w:rsidRPr="00C17D37">
        <w:t>Riksdagen tillkännager för regeringen som sin mening vad som anförs i motionen om nominering av vissa ledamöter i styrelse</w:t>
      </w:r>
      <w:r w:rsidRPr="00C17D37">
        <w:t>r</w:t>
      </w:r>
      <w:r w:rsidRPr="00C17D37">
        <w:t>na för statliga universitet och högskolor.</w:t>
      </w:r>
    </w:p>
    <w:p w:rsidR="00543342" w:rsidRPr="00C17D37" w:rsidRDefault="00543342">
      <w:pPr>
        <w:pStyle w:val="Hemstlatt"/>
        <w:numPr>
          <w:ilvl w:val="0"/>
          <w:numId w:val="1"/>
        </w:numPr>
      </w:pPr>
      <w:r w:rsidRPr="00C17D37">
        <w:t>Riksdagen tillkännager för regeringen som sin mening vad som anförs i motionen om att jämställdhet och breddad rekrytering är viktiga kvalitetsfrågor.</w:t>
      </w:r>
    </w:p>
    <w:p w:rsidR="00543342" w:rsidRPr="00C17D37" w:rsidRDefault="00543342">
      <w:pPr>
        <w:pStyle w:val="Hemstlatt"/>
        <w:numPr>
          <w:ilvl w:val="0"/>
          <w:numId w:val="1"/>
        </w:numPr>
      </w:pPr>
      <w:r w:rsidRPr="00C17D37">
        <w:t>Riksdagen tillkännager för regeringen som sin mening vad som anförs i motionen om en nationell omvärldsbevakning och o</w:t>
      </w:r>
      <w:r w:rsidRPr="00C17D37">
        <w:t>m</w:t>
      </w:r>
      <w:r w:rsidRPr="00C17D37">
        <w:t>världsanalys för högskolesektorn.</w:t>
      </w:r>
    </w:p>
    <w:p w:rsidR="00543342" w:rsidRPr="00C17D37" w:rsidRDefault="00543342">
      <w:pPr>
        <w:pStyle w:val="Hemstlatt"/>
        <w:numPr>
          <w:ilvl w:val="0"/>
          <w:numId w:val="1"/>
        </w:numPr>
      </w:pPr>
      <w:r w:rsidRPr="00C17D37">
        <w:t>Riksdagen tillkännager för regeringen som sin mening vad som anförs i motionen om ett självständigt analysuppdrag.</w:t>
      </w:r>
    </w:p>
    <w:p w:rsidR="00543342" w:rsidRPr="00C17D37" w:rsidRDefault="00543342">
      <w:pPr>
        <w:pStyle w:val="Hemstlatt"/>
        <w:numPr>
          <w:ilvl w:val="0"/>
          <w:numId w:val="1"/>
        </w:numPr>
      </w:pPr>
      <w:r w:rsidRPr="00C17D37">
        <w:t>Riksdagen tillkännager för regeringen som sin mening vad som anförs i motionen om uppgiften att bedöma utländska utbil</w:t>
      </w:r>
      <w:r w:rsidRPr="00C17D37">
        <w:t>d</w:t>
      </w:r>
      <w:r w:rsidRPr="00C17D37">
        <w:t>ningar.</w:t>
      </w:r>
    </w:p>
    <w:p w:rsidR="00543342" w:rsidRPr="00C17D37" w:rsidRDefault="00543342">
      <w:pPr>
        <w:pStyle w:val="Hemstlatt"/>
        <w:numPr>
          <w:ilvl w:val="0"/>
          <w:numId w:val="1"/>
        </w:numPr>
      </w:pPr>
      <w:r w:rsidRPr="00C17D37">
        <w:t>Riksdagen tillkännager för regeringen som sin mening vad som anförs i motionen om att hantera både antagning och urval och föreskrifter för desamma.</w:t>
      </w:r>
    </w:p>
    <w:p w:rsidR="00543342" w:rsidRPr="00C17D37" w:rsidRDefault="00543342">
      <w:pPr>
        <w:pStyle w:val="Rubrik1"/>
      </w:pPr>
      <w:r w:rsidRPr="00C17D37">
        <w:t>Motivering</w:t>
      </w:r>
    </w:p>
    <w:p w:rsidR="00543342" w:rsidRPr="00C17D37" w:rsidRDefault="00543342">
      <w:r w:rsidRPr="00C17D37">
        <w:t>Det är en god idé att förändra myndighetsstrukturen inom delar av utbil</w:t>
      </w:r>
      <w:r w:rsidRPr="00C17D37">
        <w:t>d</w:t>
      </w:r>
      <w:r w:rsidRPr="00C17D37">
        <w:t>ningsområdet så att en myndighet ansvarar för kvalitetssäkring och tillsyn och en annan myndighet ansvarar för uppgifter av service- och samordningskara</w:t>
      </w:r>
      <w:r w:rsidRPr="00C17D37">
        <w:t>k</w:t>
      </w:r>
      <w:r w:rsidRPr="00C17D37">
        <w:t>tär. Men liksom regeringen nu backar i frågan om hur de externa ledamöterna i styrelserna för statliga universitet och högskolor ska utses så finns en stor risk för att förslagen, om de bifalls, om nya myndigheter inom utbildningso</w:t>
      </w:r>
      <w:r w:rsidRPr="00C17D37">
        <w:t>m</w:t>
      </w:r>
      <w:r w:rsidRPr="00C17D37">
        <w:t xml:space="preserve">rådet kommer att behöva tas om. Varken propositionen eller den utredning </w:t>
      </w:r>
      <w:r w:rsidRPr="00C17D37">
        <w:lastRenderedPageBreak/>
        <w:t>som ligger bakom förslagen är tillräckligt genomarbet</w:t>
      </w:r>
      <w:r w:rsidRPr="00C17D37">
        <w:t>ade. Dessa viktiga fö</w:t>
      </w:r>
      <w:r w:rsidRPr="00C17D37">
        <w:t>r</w:t>
      </w:r>
      <w:r w:rsidRPr="00C17D37">
        <w:t>ändringar inom myndigheterna inom utbildningsområdet kräver en mer no</w:t>
      </w:r>
      <w:r w:rsidRPr="00C17D37">
        <w:t>g</w:t>
      </w:r>
      <w:r w:rsidRPr="00C17D37">
        <w:t>sam beredning och vi avvisar därför förslaget och föreslår att regeringen åte</w:t>
      </w:r>
      <w:r w:rsidRPr="00C17D37">
        <w:t>r</w:t>
      </w:r>
      <w:r w:rsidRPr="00C17D37">
        <w:t>kommer efter att konsekvenserna av regeringens förslag mer noggrant utretts.</w:t>
      </w:r>
    </w:p>
    <w:p w:rsidR="00543342" w:rsidRPr="00C17D37" w:rsidRDefault="00543342">
      <w:pPr>
        <w:pStyle w:val="Rubrik2"/>
      </w:pPr>
      <w:r w:rsidRPr="00C17D37">
        <w:t>Nominering av vissa ledamöter i styrelserna för statliga universitet och högskolor</w:t>
      </w:r>
    </w:p>
    <w:p w:rsidR="00543342" w:rsidRPr="00C17D37" w:rsidRDefault="00543342">
      <w:r w:rsidRPr="00C17D37">
        <w:t>Regeringen backar nu vad gäller hur de externa ledamöterna i styrelserna för statliga universitet och högskolor ska utses. Vi varnade för det system som infördes och att ansvarsförhållandena mellan rektor och styrelse skulle bli mycket problematiska. Det förslag som nu läggs fram har tagits fram på ett ostrukturerat sätt och har inte förankring i högskolesektorn då bara en knapp tredjedel av remissinstanserna tillstyrker eller godtar det.</w:t>
      </w:r>
    </w:p>
    <w:p w:rsidR="00543342" w:rsidRPr="00C17D37" w:rsidRDefault="00543342">
      <w:pPr>
        <w:pStyle w:val="Normaltindrag"/>
      </w:pPr>
      <w:r w:rsidRPr="00C17D37">
        <w:t>Det finns en grundläggande skillnad mellan oss och regeringen i synen på akademisk frihet och hur den bäst upprätthålls, något som avspeglats i flera sammanhang i den högskole- och forskningspolitik som regeringen bedrivit. Vi ser att avvägningen mellan statlig styrning och akademisk frihet upprät</w:t>
      </w:r>
      <w:r w:rsidRPr="00C17D37">
        <w:t>t</w:t>
      </w:r>
      <w:r w:rsidRPr="00C17D37">
        <w:t>hålls genom att regeringen utser ledamöter i styrelser för statliga universitet och högskolor men avhåller sig från detaljreglering av hur dessa styrelser ska sköta sitt uppdrag och uppnå sina mål.</w:t>
      </w:r>
    </w:p>
    <w:p w:rsidR="00543342" w:rsidRPr="00C17D37" w:rsidRDefault="00543342">
      <w:pPr>
        <w:pStyle w:val="Normaltindrag"/>
      </w:pPr>
      <w:r w:rsidRPr="00C17D37">
        <w:t>En valberedning som föreslår styrelsens sammansättning är en god idé. Men valberedningen bör vara mycket brett sammansatt med samtliga parter repr</w:t>
      </w:r>
      <w:r w:rsidRPr="00C17D37">
        <w:t>e</w:t>
      </w:r>
      <w:r w:rsidRPr="00C17D37">
        <w:t>senterade. En sådan beredning ger regeringen bästa möjliga underlag för att fatta ett väl förankrat beslut med den breda sammansättning av externa led</w:t>
      </w:r>
      <w:r w:rsidRPr="00C17D37">
        <w:t>a</w:t>
      </w:r>
      <w:r w:rsidRPr="00C17D37">
        <w:t>möter som statliga universitets och högskolors uppdrag kräver.</w:t>
      </w:r>
    </w:p>
    <w:p w:rsidR="00543342" w:rsidRPr="00C17D37" w:rsidRDefault="00543342">
      <w:pPr>
        <w:pStyle w:val="Rubrik2"/>
      </w:pPr>
      <w:r w:rsidRPr="00C17D37">
        <w:t>Jämställdhet och breddad rekrytering är viktiga kvalitetsfrågor</w:t>
      </w:r>
    </w:p>
    <w:p w:rsidR="00543342" w:rsidRPr="00C17D37" w:rsidRDefault="00543342">
      <w:r w:rsidRPr="00C17D37">
        <w:t>Det är av största vikt att en högskolemyndighet har i uppdrag att arbeta för att motverka diskriminering och främja lika rättigheter och möjligheter. En hö</w:t>
      </w:r>
      <w:r w:rsidRPr="00C17D37">
        <w:t>g</w:t>
      </w:r>
      <w:r w:rsidRPr="00C17D37">
        <w:t>skolemyndighet bör även ha i uppdrag att stimulera intresset för högre studier generellt och att arbeta för att bredda rekryteringen till högre studier.</w:t>
      </w:r>
    </w:p>
    <w:p w:rsidR="00543342" w:rsidRPr="00C17D37" w:rsidRDefault="00543342">
      <w:pPr>
        <w:pStyle w:val="Normaltindrag"/>
      </w:pPr>
      <w:r w:rsidRPr="00C17D37">
        <w:t>Ökad jämställdhet och breddad rekrytering är viktigt för såväl att se till att alla ges lika reella möjligheter som att öka kvaliteten i högskolan. Att st</w:t>
      </w:r>
      <w:r w:rsidRPr="00C17D37">
        <w:t>u</w:t>
      </w:r>
      <w:r w:rsidRPr="00C17D37">
        <w:t>dentgruppen motsvarar samhället är centralt för att utbildningen ska bli så bra som möjligt och för att forskningen ska bli relevant.</w:t>
      </w:r>
    </w:p>
    <w:p w:rsidR="00543342" w:rsidRPr="00C17D37" w:rsidRDefault="00543342">
      <w:pPr>
        <w:pStyle w:val="Normaltindrag"/>
      </w:pPr>
      <w:r w:rsidRPr="00C17D37">
        <w:t>För att nå framgång i arbetet för en jämställd högskola och att alla oavsett bakgrund ska ges lika möjligheter att studera är det nödvändigt att en nati</w:t>
      </w:r>
      <w:r w:rsidRPr="00C17D37">
        <w:t>o</w:t>
      </w:r>
      <w:r w:rsidRPr="00C17D37">
        <w:t>nell aktör bedriver ett främjande arbete. Det är nödvändigt med en kunnig aktör som kan driva på arbetet för att det ska hålla högsta kvalitet och leda till resultat. Regeringens förslag till ny myndighetsstruktur sätter ett stort fråg</w:t>
      </w:r>
      <w:r w:rsidRPr="00C17D37">
        <w:t>e</w:t>
      </w:r>
      <w:r w:rsidRPr="00C17D37">
        <w:t>tecken efter om regeringen tycker att jämställdhet och breddad rekrytering överhuvudtaget är viktiga frågor.</w:t>
      </w:r>
    </w:p>
    <w:p w:rsidR="00543342" w:rsidRPr="00C17D37" w:rsidRDefault="00543342">
      <w:pPr>
        <w:pStyle w:val="Rubrik2"/>
      </w:pPr>
      <w:r w:rsidRPr="00C17D37">
        <w:t>En nationell omvärldsbevakning och -analys för högskolesektorn</w:t>
      </w:r>
    </w:p>
    <w:p w:rsidR="00543342" w:rsidRPr="00C17D37" w:rsidRDefault="00543342">
      <w:r w:rsidRPr="00C17D37">
        <w:t>En högskolemyndighet bör ha ansvar för omvärldsbevakning och -analys för högskolesektorn. En omvärldsbevakning i vidare mening är nödvändig för att stärka sektorns ställning såväl nationellt som internationellt. Sverige har inte råd att inte ha en sammanhållen analys av den högre utbildningen i en tid när kunskap blir allt viktigare och vårt främsta konkurrensmedel som nation.</w:t>
      </w:r>
    </w:p>
    <w:p w:rsidR="00543342" w:rsidRPr="00C17D37" w:rsidRDefault="00543342">
      <w:pPr>
        <w:pStyle w:val="Rubrik2"/>
      </w:pPr>
      <w:r w:rsidRPr="00C17D37">
        <w:t>Självständigt analysuppdrag</w:t>
      </w:r>
    </w:p>
    <w:p w:rsidR="00543342" w:rsidRPr="00C17D37" w:rsidRDefault="00543342">
      <w:r w:rsidRPr="00C17D37">
        <w:t>Analysuppdraget för kvalitetssäkrings- och tillsynsmyndigheten bör inte b</w:t>
      </w:r>
      <w:r w:rsidRPr="00C17D37">
        <w:t>e</w:t>
      </w:r>
      <w:r w:rsidRPr="00C17D37">
        <w:t>gränsas till Regeringskansliets behov. Högskoleverkets nuvarande uppföl</w:t>
      </w:r>
      <w:r w:rsidRPr="00C17D37">
        <w:t>j</w:t>
      </w:r>
      <w:r w:rsidRPr="00C17D37">
        <w:t>ningsuppdrag bör föras över till kvalitetssäkrings- och tillsynsmyndigheten som bör ges ett självständigt uppdrag att tillgodose olika intressenters behov av breda analyser och fånga upp trender.</w:t>
      </w:r>
    </w:p>
    <w:p w:rsidR="00543342" w:rsidRPr="00C17D37" w:rsidRDefault="00543342">
      <w:pPr>
        <w:pStyle w:val="Rubrik2"/>
      </w:pPr>
      <w:r w:rsidRPr="00C17D37">
        <w:t>Uppgift att bedöma utländska utbildningar</w:t>
      </w:r>
    </w:p>
    <w:p w:rsidR="00543342" w:rsidRPr="00C17D37" w:rsidRDefault="00543342">
      <w:r w:rsidRPr="00C17D37">
        <w:t>Uppgiften att bedöma utländska utbildningar bör inte överföras till stöd- och servicemyndigheten. Den grannlaga uppgiften att bedöma utbildningars kval</w:t>
      </w:r>
      <w:r w:rsidRPr="00C17D37">
        <w:t>i</w:t>
      </w:r>
      <w:r w:rsidRPr="00C17D37">
        <w:t>tet bör istället anförtros kvalitetssäkrings- och tillsynsmyndigheten.</w:t>
      </w:r>
    </w:p>
    <w:p w:rsidR="00543342" w:rsidRPr="00C17D37" w:rsidRDefault="00543342">
      <w:pPr>
        <w:pStyle w:val="Rubrik2"/>
      </w:pPr>
      <w:r w:rsidRPr="00C17D37">
        <w:t>Både hantera antagning och urval och utfärda föreskrifter för desamma</w:t>
      </w:r>
    </w:p>
    <w:p w:rsidR="00543342" w:rsidRPr="00C17D37" w:rsidRDefault="00543342">
      <w:r w:rsidRPr="00C17D37">
        <w:t>Det finns en konflikt i att stöd- och servicemyndigheten både ska hantera antagning och tillträde och utfärda föreskrifter för desamma. Denna konflikt bör adresseras innan beslut fattas.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17D37">
        <w:trPr>
          <w:cantSplit/>
        </w:trPr>
        <w:tc>
          <w:tcPr>
            <w:tcW w:w="3046" w:type="dxa"/>
          </w:tcPr>
          <w:p w:rsidR="00543342" w:rsidRPr="00C17D37" w:rsidRDefault="00543342">
            <w:pPr>
              <w:pStyle w:val="UnderskriftDatum"/>
              <w:spacing w:before="240"/>
            </w:pPr>
            <w:r w:rsidRPr="00C17D37">
              <w:t>Stockholm den 11 april 2012</w:t>
            </w:r>
          </w:p>
        </w:tc>
        <w:tc>
          <w:tcPr>
            <w:tcW w:w="3047" w:type="dxa"/>
          </w:tcPr>
          <w:p w:rsidR="00543342" w:rsidRPr="00C17D37" w:rsidRDefault="00543342">
            <w:pPr>
              <w:pStyle w:val="Underskrifter"/>
              <w:spacing w:before="240"/>
            </w:pPr>
          </w:p>
        </w:tc>
      </w:tr>
      <w:tr w:rsidR="00000000" w:rsidRPr="00C17D37">
        <w:trPr>
          <w:cantSplit/>
        </w:trPr>
        <w:tc>
          <w:tcPr>
            <w:tcW w:w="3046" w:type="dxa"/>
          </w:tcPr>
          <w:p w:rsidR="00543342" w:rsidRPr="00C17D37" w:rsidRDefault="00543342">
            <w:pPr>
              <w:pStyle w:val="Underskrifter"/>
            </w:pPr>
            <w:r w:rsidRPr="00C17D37">
              <w:t>Ibrahim Baylan (S)</w:t>
            </w:r>
          </w:p>
        </w:tc>
        <w:tc>
          <w:tcPr>
            <w:tcW w:w="3046" w:type="dxa"/>
          </w:tcPr>
          <w:p w:rsidR="00543342" w:rsidRPr="00C17D37" w:rsidRDefault="00543342">
            <w:pPr>
              <w:pStyle w:val="Underskrifter"/>
            </w:pPr>
          </w:p>
        </w:tc>
      </w:tr>
      <w:tr w:rsidR="00000000" w:rsidRPr="00C17D37">
        <w:trPr>
          <w:cantSplit/>
        </w:trPr>
        <w:tc>
          <w:tcPr>
            <w:tcW w:w="3046" w:type="dxa"/>
          </w:tcPr>
          <w:p w:rsidR="00543342" w:rsidRPr="00C17D37" w:rsidRDefault="00543342">
            <w:pPr>
              <w:pStyle w:val="Underskrifter"/>
            </w:pPr>
            <w:r w:rsidRPr="00C17D37">
              <w:t>Louise Malmström (S)</w:t>
            </w:r>
          </w:p>
        </w:tc>
        <w:tc>
          <w:tcPr>
            <w:tcW w:w="3046" w:type="dxa"/>
          </w:tcPr>
          <w:p w:rsidR="00543342" w:rsidRPr="00C17D37" w:rsidRDefault="00543342">
            <w:pPr>
              <w:pStyle w:val="Underskrifter"/>
            </w:pPr>
            <w:r w:rsidRPr="00C17D37">
              <w:t>Håkan Bergman (S)</w:t>
            </w:r>
          </w:p>
        </w:tc>
      </w:tr>
      <w:tr w:rsidR="00000000" w:rsidRPr="00C17D37">
        <w:trPr>
          <w:cantSplit/>
        </w:trPr>
        <w:tc>
          <w:tcPr>
            <w:tcW w:w="3046" w:type="dxa"/>
          </w:tcPr>
          <w:p w:rsidR="00543342" w:rsidRPr="00C17D37" w:rsidRDefault="00543342">
            <w:pPr>
              <w:pStyle w:val="Underskrifter"/>
            </w:pPr>
            <w:r w:rsidRPr="00C17D37">
              <w:t>Caroline Helmersson Olsson (S)</w:t>
            </w:r>
          </w:p>
        </w:tc>
        <w:tc>
          <w:tcPr>
            <w:tcW w:w="3046" w:type="dxa"/>
          </w:tcPr>
          <w:p w:rsidR="00543342" w:rsidRPr="00C17D37" w:rsidRDefault="00543342">
            <w:pPr>
              <w:pStyle w:val="Underskrifter"/>
            </w:pPr>
            <w:r w:rsidRPr="00C17D37">
              <w:t>Thomas Strand (S)</w:t>
            </w:r>
          </w:p>
        </w:tc>
      </w:tr>
      <w:tr w:rsidR="00000000" w:rsidRPr="00C17D37">
        <w:trPr>
          <w:cantSplit/>
        </w:trPr>
        <w:tc>
          <w:tcPr>
            <w:tcW w:w="3046" w:type="dxa"/>
          </w:tcPr>
          <w:p w:rsidR="00543342" w:rsidRPr="00C17D37" w:rsidRDefault="00543342">
            <w:pPr>
              <w:pStyle w:val="Underskrifter"/>
            </w:pPr>
            <w:r w:rsidRPr="00C17D37">
              <w:t>Gunilla Svantorp (S)</w:t>
            </w:r>
          </w:p>
        </w:tc>
        <w:tc>
          <w:tcPr>
            <w:tcW w:w="3046" w:type="dxa"/>
          </w:tcPr>
          <w:p w:rsidR="00543342" w:rsidRPr="00C17D37" w:rsidRDefault="00543342">
            <w:pPr>
              <w:pStyle w:val="Underskrifter"/>
            </w:pPr>
            <w:r w:rsidRPr="00C17D37">
              <w:t>Adnan Dibrani (S)</w:t>
            </w:r>
          </w:p>
        </w:tc>
      </w:tr>
    </w:tbl>
    <w:p w:rsidR="00543342" w:rsidRPr="00C17D37" w:rsidRDefault="00543342">
      <w:pPr>
        <w:pStyle w:val="Normaltindrag"/>
      </w:pPr>
    </w:p>
    <w:sectPr w:rsidR="00543342" w:rsidRPr="00C17D3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43342" w:rsidRPr="00C17D37" w:rsidRDefault="00543342">
      <w:r w:rsidRPr="00C17D37">
        <w:separator/>
      </w:r>
    </w:p>
  </w:endnote>
  <w:endnote w:type="continuationSeparator" w:id="0">
    <w:p w:rsidR="00543342" w:rsidRPr="00C17D37" w:rsidRDefault="00543342">
      <w:r w:rsidRPr="00C17D3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3342" w:rsidRPr="00C17D37" w:rsidRDefault="00C17D37">
    <w:pPr>
      <w:pStyle w:val="Sidfot"/>
    </w:pPr>
    <w:r w:rsidRPr="00C17D3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8876875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3342" w:rsidRDefault="0054334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43342" w:rsidRDefault="0054334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3342" w:rsidRPr="00C17D37" w:rsidRDefault="00C17D37">
    <w:pPr>
      <w:pStyle w:val="Sidfot"/>
    </w:pPr>
    <w:r w:rsidRPr="00C17D3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45711380"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3342" w:rsidRDefault="00543342">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43342" w:rsidRDefault="00543342">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3342" w:rsidRPr="00C17D37" w:rsidRDefault="00C17D37">
    <w:pPr>
      <w:pStyle w:val="Sidfot"/>
    </w:pPr>
    <w:r w:rsidRPr="00C17D3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0456979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3342" w:rsidRDefault="0054334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43342" w:rsidRDefault="0054334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43342" w:rsidRPr="00C17D37" w:rsidRDefault="00543342">
      <w:r w:rsidRPr="00C17D37">
        <w:separator/>
      </w:r>
    </w:p>
  </w:footnote>
  <w:footnote w:type="continuationSeparator" w:id="0">
    <w:p w:rsidR="00543342" w:rsidRPr="00C17D37" w:rsidRDefault="00543342">
      <w:r w:rsidRPr="00C17D3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3342" w:rsidRPr="00C17D37" w:rsidRDefault="00C17D37">
    <w:pPr>
      <w:pStyle w:val="Sidhuvud"/>
    </w:pPr>
    <w:r w:rsidRPr="00C17D3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6040582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3342" w:rsidRDefault="00543342">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43342" w:rsidRDefault="00543342">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Ub10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3342" w:rsidRPr="00C17D37" w:rsidRDefault="00C17D37">
    <w:pPr>
      <w:pStyle w:val="Sidhuvud"/>
    </w:pPr>
    <w:r w:rsidRPr="00C17D3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5594744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3342" w:rsidRDefault="00543342">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43342" w:rsidRDefault="00543342">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Ub10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3342" w:rsidRPr="00C17D37" w:rsidRDefault="00543342">
    <w:pPr>
      <w:pStyle w:val="FSHNormal"/>
      <w:tabs>
        <w:tab w:val="right" w:pos="5840"/>
      </w:tabs>
    </w:pPr>
    <w:r w:rsidRPr="00C17D37">
      <w:br/>
    </w:r>
    <w:r w:rsidRPr="00C17D37">
      <w:fldChar w:fldCharType="begin" w:fldLock="1"/>
    </w:r>
    <w:r w:rsidRPr="00C17D37">
      <w:instrText xml:space="preserve"> DOCPROPERTY</w:instrText>
    </w:r>
    <w:r w:rsidRPr="00C17D37">
      <w:rPr>
        <w:sz w:val="18"/>
      </w:rPr>
      <w:instrText xml:space="preserve"> "YearUser" *\charformat </w:instrText>
    </w:r>
    <w:r w:rsidRPr="00C17D37">
      <w:fldChar w:fldCharType="separate"/>
    </w:r>
    <w:r w:rsidRPr="00C17D37">
      <w:t>2011/12</w:t>
    </w:r>
    <w:r w:rsidRPr="00C17D37">
      <w:fldChar w:fldCharType="end"/>
    </w:r>
    <w:r w:rsidRPr="00C17D37">
      <w:t xml:space="preserve"> </w:t>
    </w:r>
    <w:r w:rsidRPr="00C17D37">
      <w:tab/>
      <w:t xml:space="preserve">mnr: </w:t>
    </w:r>
    <w:r w:rsidRPr="00C17D37">
      <w:fldChar w:fldCharType="begin" w:fldLock="1"/>
    </w:r>
    <w:r w:rsidRPr="00C17D37">
      <w:instrText xml:space="preserve"> DOCPROPERTY</w:instrText>
    </w:r>
    <w:r w:rsidRPr="00C17D37">
      <w:rPr>
        <w:sz w:val="18"/>
      </w:rPr>
      <w:instrText xml:space="preserve"> "Motionsnummer" *\charformat </w:instrText>
    </w:r>
    <w:r w:rsidRPr="00C17D37">
      <w:fldChar w:fldCharType="separate"/>
    </w:r>
    <w:r w:rsidRPr="00C17D37">
      <w:t>Ub10</w:t>
    </w:r>
    <w:r w:rsidRPr="00C17D37">
      <w:fldChar w:fldCharType="end"/>
    </w:r>
    <w:r w:rsidRPr="00C17D37">
      <w:br/>
    </w:r>
    <w:r w:rsidRPr="00C17D37">
      <w:fldChar w:fldCharType="begin" w:fldLock="1"/>
    </w:r>
    <w:r w:rsidRPr="00C17D37">
      <w:instrText xml:space="preserve"> DOCPROPERTY</w:instrText>
    </w:r>
    <w:r w:rsidRPr="00C17D37">
      <w:rPr>
        <w:sz w:val="18"/>
      </w:rPr>
      <w:instrText xml:space="preserve"> "Samling" *\charformat </w:instrText>
    </w:r>
    <w:r w:rsidRPr="00C17D37">
      <w:fldChar w:fldCharType="end"/>
    </w:r>
    <w:r w:rsidRPr="00C17D37">
      <w:tab/>
      <w:t xml:space="preserve">pnr: </w:t>
    </w:r>
    <w:r w:rsidRPr="00C17D37">
      <w:fldChar w:fldCharType="begin" w:fldLock="1"/>
    </w:r>
    <w:r w:rsidRPr="00C17D37">
      <w:instrText xml:space="preserve"> DOCPROPERTY</w:instrText>
    </w:r>
    <w:r w:rsidRPr="00C17D37">
      <w:rPr>
        <w:sz w:val="18"/>
      </w:rPr>
      <w:instrText xml:space="preserve"> "Partinummer" *\charformat </w:instrText>
    </w:r>
    <w:r w:rsidRPr="00C17D37">
      <w:fldChar w:fldCharType="separate"/>
    </w:r>
    <w:r w:rsidRPr="00C17D37">
      <w:t>S48012</w:t>
    </w:r>
    <w:r w:rsidRPr="00C17D37">
      <w:fldChar w:fldCharType="end"/>
    </w:r>
  </w:p>
  <w:p w:rsidR="00543342" w:rsidRPr="00C17D37" w:rsidRDefault="00543342">
    <w:pPr>
      <w:pStyle w:val="FSHRub1"/>
    </w:pPr>
    <w:r w:rsidRPr="00C17D37">
      <w:t>Motion till riksdagen</w:t>
    </w:r>
    <w:r w:rsidRPr="00C17D37">
      <w:br/>
    </w:r>
    <w:r w:rsidRPr="00C17D37">
      <w:fldChar w:fldCharType="begin" w:fldLock="1"/>
    </w:r>
    <w:r w:rsidRPr="00C17D37">
      <w:instrText xml:space="preserve"> DOCPROPERTY "YearUser" *\charformat </w:instrText>
    </w:r>
    <w:r w:rsidRPr="00C17D37">
      <w:fldChar w:fldCharType="separate"/>
    </w:r>
    <w:r w:rsidRPr="00C17D37">
      <w:t>2011/12</w:t>
    </w:r>
    <w:r w:rsidRPr="00C17D37">
      <w:fldChar w:fldCharType="end"/>
    </w:r>
    <w:r w:rsidRPr="00C17D37">
      <w:t>:</w:t>
    </w:r>
    <w:r w:rsidRPr="00C17D37">
      <w:fldChar w:fldCharType="begin" w:fldLock="1"/>
    </w:r>
    <w:r w:rsidRPr="00C17D37">
      <w:instrText xml:space="preserve"> DOCPROPERTY "Motionsnummer" *\charformat </w:instrText>
    </w:r>
    <w:r w:rsidRPr="00C17D37">
      <w:fldChar w:fldCharType="separate"/>
    </w:r>
    <w:r w:rsidRPr="00C17D37">
      <w:t>Ub10</w:t>
    </w:r>
    <w:r w:rsidRPr="00C17D37">
      <w:fldChar w:fldCharType="end"/>
    </w:r>
  </w:p>
  <w:p w:rsidR="00543342" w:rsidRPr="00C17D37" w:rsidRDefault="00543342">
    <w:pPr>
      <w:pStyle w:val="FSHNormalS5"/>
    </w:pPr>
    <w:r w:rsidRPr="00C17D37">
      <w:fldChar w:fldCharType="begin" w:fldLock="1"/>
    </w:r>
    <w:r w:rsidRPr="00C17D37">
      <w:instrText xml:space="preserve"> DOCPROPERTY "MotionarText" *\charformat </w:instrText>
    </w:r>
    <w:r w:rsidRPr="00C17D37">
      <w:fldChar w:fldCharType="separate"/>
    </w:r>
    <w:r w:rsidRPr="00C17D37">
      <w:t>av Ibrahim Baylan m.fl. (S)</w:t>
    </w:r>
    <w:r w:rsidRPr="00C17D37">
      <w:fldChar w:fldCharType="end"/>
    </w:r>
    <w:r w:rsidRPr="00C17D37">
      <w:br/>
    </w:r>
    <w:r w:rsidRPr="00C17D37">
      <w:fldChar w:fldCharType="begin" w:fldLock="1"/>
    </w:r>
    <w:r w:rsidRPr="00C17D37">
      <w:instrText xml:space="preserve"> DOCPROPERTY "SvarFrasKort" *\charformat </w:instrText>
    </w:r>
    <w:r w:rsidRPr="00C17D37">
      <w:fldChar w:fldCharType="separate"/>
    </w:r>
    <w:r w:rsidRPr="00C17D37">
      <w:t>med anledning av prop. 2011/12:133</w:t>
    </w:r>
    <w:r w:rsidRPr="00C17D37">
      <w:fldChar w:fldCharType="end"/>
    </w:r>
  </w:p>
  <w:p w:rsidR="00543342" w:rsidRPr="00C17D37" w:rsidRDefault="00543342">
    <w:pPr>
      <w:pStyle w:val="FSHTitel"/>
    </w:pPr>
    <w:r w:rsidRPr="00C17D37">
      <w:fldChar w:fldCharType="begin" w:fldLock="1"/>
    </w:r>
    <w:r w:rsidRPr="00C17D37">
      <w:instrText xml:space="preserve"> DOCPROPERTY</w:instrText>
    </w:r>
    <w:r w:rsidRPr="00C17D37">
      <w:rPr>
        <w:sz w:val="18"/>
      </w:rPr>
      <w:instrText xml:space="preserve"> "RubrikSvar" *\charformat </w:instrText>
    </w:r>
    <w:r w:rsidRPr="00C17D37">
      <w:fldChar w:fldCharType="separate"/>
    </w:r>
    <w:r w:rsidRPr="00C17D37">
      <w:t>Nya myndigheter inom utbildningsområdet m.m.</w:t>
    </w:r>
    <w:r w:rsidRPr="00C17D37">
      <w:fldChar w:fldCharType="end"/>
    </w:r>
  </w:p>
  <w:p w:rsidR="00543342" w:rsidRPr="00C17D37" w:rsidRDefault="00543342">
    <w:pPr>
      <w:pStyle w:val="Normal00"/>
    </w:pPr>
  </w:p>
  <w:p w:rsidR="00543342" w:rsidRPr="00C17D37" w:rsidRDefault="0054334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0E06AC5"/>
    <w:multiLevelType w:val="hybridMultilevel"/>
    <w:tmpl w:val="9C4812E8"/>
    <w:lvl w:ilvl="0" w:tplc="6090E07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7D7417EC"/>
    <w:multiLevelType w:val="hybridMultilevel"/>
    <w:tmpl w:val="DCFC653A"/>
    <w:lvl w:ilvl="0" w:tplc="DF5A032A">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797867173">
    <w:abstractNumId w:val="3"/>
  </w:num>
  <w:num w:numId="2" w16cid:durableId="1636333012">
    <w:abstractNumId w:val="2"/>
  </w:num>
  <w:num w:numId="3" w16cid:durableId="488328637">
    <w:abstractNumId w:val="1"/>
  </w:num>
  <w:num w:numId="4" w16cid:durableId="200481125">
    <w:abstractNumId w:val="0"/>
  </w:num>
  <w:num w:numId="5" w16cid:durableId="2113166501">
    <w:abstractNumId w:val="7"/>
  </w:num>
  <w:num w:numId="6" w16cid:durableId="2081633420">
    <w:abstractNumId w:val="6"/>
  </w:num>
  <w:num w:numId="7" w16cid:durableId="745613603">
    <w:abstractNumId w:val="5"/>
  </w:num>
  <w:num w:numId="8" w16cid:durableId="1735856917">
    <w:abstractNumId w:val="4"/>
  </w:num>
  <w:num w:numId="9" w16cid:durableId="798962482">
    <w:abstractNumId w:val="8"/>
  </w:num>
  <w:num w:numId="10" w16cid:durableId="825315526">
    <w:abstractNumId w:val="9"/>
  </w:num>
  <w:num w:numId="11" w16cid:durableId="229387855">
    <w:abstractNumId w:val="10"/>
  </w:num>
  <w:num w:numId="12" w16cid:durableId="1029063974">
    <w:abstractNumId w:val="14"/>
  </w:num>
  <w:num w:numId="13" w16cid:durableId="2005431021">
    <w:abstractNumId w:val="16"/>
  </w:num>
  <w:num w:numId="14" w16cid:durableId="777722603">
    <w:abstractNumId w:val="17"/>
  </w:num>
  <w:num w:numId="15" w16cid:durableId="1316302636">
    <w:abstractNumId w:val="11"/>
  </w:num>
  <w:num w:numId="16" w16cid:durableId="1653482906">
    <w:abstractNumId w:val="19"/>
  </w:num>
  <w:num w:numId="17" w16cid:durableId="957024305">
    <w:abstractNumId w:val="18"/>
  </w:num>
  <w:num w:numId="18" w16cid:durableId="2064476542">
    <w:abstractNumId w:val="15"/>
  </w:num>
  <w:num w:numId="19" w16cid:durableId="1273056344">
    <w:abstractNumId w:val="12"/>
  </w:num>
  <w:num w:numId="20" w16cid:durableId="490099668">
    <w:abstractNumId w:val="20"/>
  </w:num>
  <w:num w:numId="21" w16cid:durableId="78966216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2-04-04"/>
    <w:docVar w:name="PersonGUIDs" w:val="{F9C32F89-F2C5-471E-8268-2240EA5062CC},{CA5D01D2-421F-4F5D-8E1A-A951884A2201},{1838BAC7-5804-43D1-84D1-59154FA8A178},{2284A28A-35FB-4B6B-8B37-F5FECFC0DBFC},{B95FC32C-C965-4CD0-8439-57561DC117E3},{08D37412-6E35-4AAD-ABA0-31DCDBF3ADC8},{051A49D3-53CD-4642-8F4B-35937085BCA3}"/>
  </w:docVars>
  <w:rsids>
    <w:rsidRoot w:val="00112B39"/>
    <w:rsid w:val="00112B39"/>
    <w:rsid w:val="00543342"/>
    <w:rsid w:val="00C17D3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6A52EA2-90AA-41BA-8599-E220319CD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1"/>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Default">
    <w:name w:val="Default"/>
    <w:pPr>
      <w:autoSpaceDE w:val="0"/>
      <w:autoSpaceDN w:val="0"/>
      <w:adjustRightInd w:val="0"/>
    </w:pPr>
    <w:rPr>
      <w:rFonts w:ascii="Arial" w:hAnsi="Arial" w:cs="Arial"/>
      <w:color w:val="000000"/>
      <w:sz w:val="24"/>
      <w:szCs w:val="24"/>
      <w:lang w:val="sv-SE" w:eastAsia="sv-SE"/>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826</Words>
  <Characters>5007</Characters>
  <Application>Microsoft Office Word</Application>
  <DocSecurity>4</DocSecurity>
  <Lines>100</Lines>
  <Paragraphs>39</Paragraphs>
  <ScaleCrop>false</ScaleCrop>
  <HeadingPairs>
    <vt:vector size="2" baseType="variant">
      <vt:variant>
        <vt:lpstr>Rubrik</vt:lpstr>
      </vt:variant>
      <vt:variant>
        <vt:i4>1</vt:i4>
      </vt:variant>
    </vt:vector>
  </HeadingPairs>
  <TitlesOfParts>
    <vt:vector size="1" baseType="lpstr">
      <vt:lpstr>S48012</vt:lpstr>
    </vt:vector>
  </TitlesOfParts>
  <Company>Riksdagen</Company>
  <LinksUpToDate>false</LinksUpToDate>
  <CharactersWithSpaces>5794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S48012</dc:title>
  <dc:subject>S48012</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2012-04-20T12:57:00Z</cp:lastPrinted>
  <dcterms:created xsi:type="dcterms:W3CDTF">2025-12-17T20:36:00Z</dcterms:created>
  <dcterms:modified xsi:type="dcterms:W3CDTF">2025-12-17T20:36:00Z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mot2000_533_2012-04-04</vt:lpwstr>
  </property>
  <property fmtid="{D5CDD505-2E9C-101B-9397-08002B2CF9AE}" pid="3" name="version">
    <vt:lpwstr>mot2000_533_2012-04-04</vt:lpwstr>
  </property>
  <property fmtid="{D5CDD505-2E9C-101B-9397-08002B2CF9AE}" pid="4" name="dokumenttyp">
    <vt:lpwstr>motion</vt:lpwstr>
  </property>
  <property fmtid="{D5CDD505-2E9C-101B-9397-08002B2CF9AE}" pid="5" name="Sekr">
    <vt:lpwstr>kp</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med anledning av prop. 2011/12:133 Nya myndigheter inom utbildningsområdet m.m.</vt:lpwstr>
  </property>
  <property fmtid="{D5CDD505-2E9C-101B-9397-08002B2CF9AE}" pid="11" name="SvarFrasKort">
    <vt:lpwstr>med anledning av prop. 2011/12:133</vt:lpwstr>
  </property>
  <property fmtid="{D5CDD505-2E9C-101B-9397-08002B2CF9AE}" pid="12" name="Svar">
    <vt:lpwstr>Proposition</vt:lpwstr>
  </property>
  <property fmtid="{D5CDD505-2E9C-101B-9397-08002B2CF9AE}" pid="13" name="SvarNr">
    <vt:lpwstr>2011/12:133</vt:lpwstr>
  </property>
  <property fmtid="{D5CDD505-2E9C-101B-9397-08002B2CF9AE}" pid="14" name="RubrikSvar">
    <vt:lpwstr>Nya myndigheter inom utbildningsområdet m.m.</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S48012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Ibrahim Baylan m.fl. (S)</vt:lpwstr>
  </property>
  <property fmtid="{D5CDD505-2E9C-101B-9397-08002B2CF9AE}" pid="26" name="MotionarLista">
    <vt:lpwstr>Baylan, Ibrahim (S)\Malmström, Louise (S)\Bergman, Håkan (S)\Helmersson Olsson, Caroline (S)\Strand, Thomas (S)\Svantorp, Gunilla (S)\Dibrani, Adnan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Ibrahim Baylan (S), Louise Malmström (S), Håkan Bergman (S), Caroline Helmersson Olsson (S), Thomas Strand (S), Gunilla Svantorp (S), Adnan Dibrani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Ub10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11 april 2012</vt:lpwstr>
  </property>
  <property fmtid="{D5CDD505-2E9C-101B-9397-08002B2CF9AE}" pid="44" name="NotesUID">
    <vt:lpwstr>kristina.persdotter@riksdagen.se</vt:lpwstr>
  </property>
  <property fmtid="{D5CDD505-2E9C-101B-9397-08002B2CF9AE}" pid="45" name="ReservUID">
    <vt:lpwstr>ka0131aa</vt:lpwstr>
  </property>
  <property fmtid="{D5CDD505-2E9C-101B-9397-08002B2CF9AE}" pid="46" name="MotionID">
    <vt:lpwstr>20112012000000000083000480120075</vt:lpwstr>
  </property>
  <property fmtid="{D5CDD505-2E9C-101B-9397-08002B2CF9AE}" pid="47" name="datum">
    <vt:lpwstr>120411</vt:lpwstr>
  </property>
  <property fmtid="{D5CDD505-2E9C-101B-9397-08002B2CF9AE}" pid="48" name="avsändar-e-post">
    <vt:lpwstr>kristina.persdotter@riksdagen.se</vt:lpwstr>
  </property>
  <property fmtid="{D5CDD505-2E9C-101B-9397-08002B2CF9AE}" pid="49" name="id">
    <vt:lpwstr>20112012000000000083000480120075</vt:lpwstr>
  </property>
  <property fmtid="{D5CDD505-2E9C-101B-9397-08002B2CF9AE}" pid="50" name="nummer">
    <vt:lpwstr>10</vt:lpwstr>
  </property>
  <property fmtid="{D5CDD505-2E9C-101B-9397-08002B2CF9AE}" pid="51" name="utskottsbeteckning">
    <vt:lpwstr>Ub</vt:lpwstr>
  </property>
  <property fmtid="{D5CDD505-2E9C-101B-9397-08002B2CF9AE}" pid="52" name="GlobalUID">
    <vt:lpwstr>{EA7F779C-FE4F-43D9-A4F0-B55E80A13F41}</vt:lpwstr>
  </property>
  <property fmtid="{D5CDD505-2E9C-101B-9397-08002B2CF9AE}" pid="53" name="Överföringar">
    <vt:i4>0</vt:i4>
  </property>
  <property fmtid="{D5CDD505-2E9C-101B-9397-08002B2CF9AE}" pid="54" name="Checksum">
    <vt:lpwstr>*0012256470261*</vt:lpwstr>
  </property>
  <property fmtid="{D5CDD505-2E9C-101B-9397-08002B2CF9AE}" pid="55" name="skuggnummer">
    <vt:lpwstr/>
  </property>
  <property fmtid="{D5CDD505-2E9C-101B-9397-08002B2CF9AE}" pid="56" name="urixVersion">
    <vt:lpwstr>4.5.0.25</vt:lpwstr>
  </property>
  <property fmtid="{D5CDD505-2E9C-101B-9397-08002B2CF9AE}" pid="57" name="urixOrigin">
    <vt:lpwstr>120420 14:58:03.179</vt:lpwstr>
  </property>
  <property fmtid="{D5CDD505-2E9C-101B-9397-08002B2CF9AE}" pid="58" name="urixGuid">
    <vt:lpwstr>{16DB24B8-92B9-45E7-9BE3-62D6B59FBB71}</vt:lpwstr>
  </property>
</Properties>
</file>