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A53AA" w:rsidTr="00170BBA">
        <w:tc>
          <w:tcPr>
            <w:tcW w:w="2268" w:type="dxa"/>
          </w:tcPr>
          <w:p w:rsidR="007A53AA" w:rsidRDefault="007A53AA" w:rsidP="00170BBA">
            <w:pPr>
              <w:framePr w:w="5035" w:h="1644" w:wrap="notBeside" w:vAnchor="page" w:hAnchor="page" w:x="6573" w:y="721"/>
              <w:rPr>
                <w:rFonts w:ascii="TradeGothic" w:hAnsi="TradeGothic"/>
                <w:i/>
                <w:sz w:val="18"/>
              </w:rPr>
            </w:pPr>
          </w:p>
        </w:tc>
        <w:tc>
          <w:tcPr>
            <w:tcW w:w="2999" w:type="dxa"/>
            <w:gridSpan w:val="2"/>
          </w:tcPr>
          <w:p w:rsidR="007A53AA" w:rsidRDefault="007A53AA" w:rsidP="00170BBA">
            <w:pPr>
              <w:framePr w:w="5035" w:h="1644" w:wrap="notBeside" w:vAnchor="page" w:hAnchor="page" w:x="6573" w:y="721"/>
              <w:rPr>
                <w:rFonts w:ascii="TradeGothic" w:hAnsi="TradeGothic"/>
                <w:i/>
                <w:sz w:val="18"/>
              </w:rPr>
            </w:pPr>
          </w:p>
        </w:tc>
      </w:tr>
      <w:tr w:rsidR="007A53AA" w:rsidTr="00170BBA">
        <w:tc>
          <w:tcPr>
            <w:tcW w:w="5267" w:type="dxa"/>
            <w:gridSpan w:val="3"/>
          </w:tcPr>
          <w:p w:rsidR="007A53AA" w:rsidRDefault="007A53AA" w:rsidP="00170BBA">
            <w:pPr>
              <w:framePr w:w="5035" w:h="1644" w:wrap="notBeside" w:vAnchor="page" w:hAnchor="page" w:x="6573" w:y="721"/>
              <w:rPr>
                <w:rFonts w:ascii="TradeGothic" w:hAnsi="TradeGothic"/>
                <w:b/>
              </w:rPr>
            </w:pPr>
            <w:r>
              <w:rPr>
                <w:rFonts w:ascii="TradeGothic" w:hAnsi="TradeGothic"/>
                <w:b/>
                <w:sz w:val="22"/>
              </w:rPr>
              <w:t>Kommenterad dagordning</w:t>
            </w:r>
          </w:p>
        </w:tc>
      </w:tr>
      <w:tr w:rsidR="007A53AA" w:rsidTr="00170BBA">
        <w:tc>
          <w:tcPr>
            <w:tcW w:w="3402" w:type="dxa"/>
            <w:gridSpan w:val="2"/>
          </w:tcPr>
          <w:p w:rsidR="007A53AA" w:rsidRPr="00ED10A8" w:rsidRDefault="007A53AA" w:rsidP="00170BBA">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7A53AA" w:rsidRDefault="007A53AA" w:rsidP="00170BBA">
            <w:pPr>
              <w:framePr w:w="5035" w:h="1644" w:wrap="notBeside" w:vAnchor="page" w:hAnchor="page" w:x="6573" w:y="721"/>
            </w:pPr>
          </w:p>
        </w:tc>
      </w:tr>
      <w:tr w:rsidR="007A53AA" w:rsidTr="00170BBA">
        <w:tc>
          <w:tcPr>
            <w:tcW w:w="2268" w:type="dxa"/>
          </w:tcPr>
          <w:p w:rsidR="007A53AA" w:rsidRDefault="007A53AA" w:rsidP="00777488">
            <w:pPr>
              <w:framePr w:w="5035" w:h="1644" w:wrap="notBeside" w:vAnchor="page" w:hAnchor="page" w:x="6573" w:y="721"/>
            </w:pPr>
            <w:r>
              <w:t>2012-06-14</w:t>
            </w:r>
          </w:p>
        </w:tc>
        <w:tc>
          <w:tcPr>
            <w:tcW w:w="2999" w:type="dxa"/>
            <w:gridSpan w:val="2"/>
          </w:tcPr>
          <w:p w:rsidR="007A53AA" w:rsidRPr="00ED583F" w:rsidRDefault="007A53AA" w:rsidP="00170BBA">
            <w:pPr>
              <w:framePr w:w="5035" w:h="1644" w:wrap="notBeside" w:vAnchor="page" w:hAnchor="page" w:x="6573" w:y="721"/>
              <w:rPr>
                <w:sz w:val="20"/>
              </w:rPr>
            </w:pPr>
          </w:p>
        </w:tc>
      </w:tr>
      <w:tr w:rsidR="007A53AA" w:rsidTr="00170BBA">
        <w:tc>
          <w:tcPr>
            <w:tcW w:w="2268" w:type="dxa"/>
          </w:tcPr>
          <w:p w:rsidR="007A53AA" w:rsidRDefault="007A53AA" w:rsidP="00170BBA">
            <w:pPr>
              <w:framePr w:w="5035" w:h="1644" w:wrap="notBeside" w:vAnchor="page" w:hAnchor="page" w:x="6573" w:y="721"/>
            </w:pPr>
          </w:p>
        </w:tc>
        <w:tc>
          <w:tcPr>
            <w:tcW w:w="2999" w:type="dxa"/>
            <w:gridSpan w:val="2"/>
          </w:tcPr>
          <w:p w:rsidR="007A53AA" w:rsidRDefault="007A53AA" w:rsidP="00170BBA">
            <w:pPr>
              <w:framePr w:w="5035" w:h="1644" w:wrap="notBeside" w:vAnchor="page" w:hAnchor="page" w:x="6573" w:y="721"/>
            </w:pPr>
          </w:p>
        </w:tc>
      </w:tr>
    </w:tbl>
    <w:tbl>
      <w:tblPr>
        <w:tblW w:w="0" w:type="auto"/>
        <w:tblLayout w:type="fixed"/>
        <w:tblLook w:val="0000"/>
      </w:tblPr>
      <w:tblGrid>
        <w:gridCol w:w="4911"/>
      </w:tblGrid>
      <w:tr w:rsidR="007A53AA" w:rsidTr="00170BBA">
        <w:trPr>
          <w:trHeight w:val="284"/>
        </w:trPr>
        <w:tc>
          <w:tcPr>
            <w:tcW w:w="4911" w:type="dxa"/>
          </w:tcPr>
          <w:p w:rsidR="007A53AA" w:rsidRDefault="007A53AA" w:rsidP="00170BBA">
            <w:pPr>
              <w:pStyle w:val="Avsndare"/>
              <w:framePr w:h="2483" w:wrap="notBeside" w:x="1504"/>
              <w:rPr>
                <w:b/>
                <w:i w:val="0"/>
                <w:sz w:val="22"/>
              </w:rPr>
            </w:pPr>
            <w:r>
              <w:rPr>
                <w:b/>
                <w:i w:val="0"/>
                <w:sz w:val="22"/>
              </w:rPr>
              <w:t>Statsrådsberedningen</w:t>
            </w:r>
          </w:p>
        </w:tc>
      </w:tr>
      <w:tr w:rsidR="007A53AA"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r>
              <w:rPr>
                <w:bCs/>
                <w:iCs/>
              </w:rPr>
              <w:t>Kansliet för samordning av EU-frågor</w:t>
            </w: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r w:rsidR="007A53AA" w:rsidRPr="00ED10A8" w:rsidTr="00170BBA">
        <w:trPr>
          <w:trHeight w:val="284"/>
        </w:trPr>
        <w:tc>
          <w:tcPr>
            <w:tcW w:w="4911" w:type="dxa"/>
          </w:tcPr>
          <w:p w:rsidR="007A53AA" w:rsidRDefault="007A53AA" w:rsidP="00170BBA">
            <w:pPr>
              <w:pStyle w:val="Avsndare"/>
              <w:framePr w:h="2483" w:wrap="notBeside" w:x="1504"/>
              <w:rPr>
                <w:bCs/>
                <w:iCs/>
              </w:rPr>
            </w:pPr>
          </w:p>
        </w:tc>
      </w:tr>
    </w:tbl>
    <w:p w:rsidR="007A53AA" w:rsidRPr="00ED10A8" w:rsidRDefault="007A53AA" w:rsidP="00652326">
      <w:pPr>
        <w:framePr w:w="4400" w:h="2523" w:wrap="notBeside" w:vAnchor="page" w:hAnchor="page" w:x="6453" w:y="2445"/>
        <w:ind w:left="142"/>
        <w:rPr>
          <w:b/>
        </w:rPr>
      </w:pPr>
    </w:p>
    <w:p w:rsidR="007A53AA" w:rsidRDefault="007A53AA" w:rsidP="00652326">
      <w:pPr>
        <w:pStyle w:val="RKrubrik"/>
        <w:pBdr>
          <w:bottom w:val="single" w:sz="6" w:space="1" w:color="auto"/>
        </w:pBdr>
      </w:pPr>
      <w:bookmarkStart w:id="0" w:name="bRubrik"/>
      <w:bookmarkEnd w:id="0"/>
      <w:r>
        <w:t>Allmänna rådets möte den 26 juni 2012</w:t>
      </w:r>
    </w:p>
    <w:p w:rsidR="007A53AA" w:rsidRDefault="007A53AA" w:rsidP="00652326">
      <w:pPr>
        <w:pStyle w:val="RKrubrik"/>
      </w:pPr>
      <w:r>
        <w:t>Kommenterad dagordning</w:t>
      </w:r>
    </w:p>
    <w:p w:rsidR="007A53AA" w:rsidRDefault="007A53AA" w:rsidP="002E1B14">
      <w:pPr>
        <w:pStyle w:val="RKrubrik"/>
        <w:numPr>
          <w:ilvl w:val="0"/>
          <w:numId w:val="5"/>
        </w:numPr>
        <w:ind w:hanging="1500"/>
      </w:pPr>
      <w:r>
        <w:t>Godkännande av dagordningen</w:t>
      </w:r>
    </w:p>
    <w:p w:rsidR="007A53AA" w:rsidRDefault="007A53AA" w:rsidP="00777488">
      <w:pPr>
        <w:pStyle w:val="RKnormal"/>
      </w:pPr>
    </w:p>
    <w:p w:rsidR="007A53AA" w:rsidRPr="00777488" w:rsidRDefault="007A53AA" w:rsidP="00777488">
      <w:pPr>
        <w:pStyle w:val="RKnormal"/>
      </w:pPr>
    </w:p>
    <w:p w:rsidR="007A53AA" w:rsidRPr="00964D52" w:rsidRDefault="007A53AA" w:rsidP="002F4832">
      <w:pPr>
        <w:pStyle w:val="Default"/>
        <w:rPr>
          <w:i/>
          <w:iCs/>
          <w:u w:val="single"/>
        </w:rPr>
      </w:pPr>
      <w:r w:rsidRPr="00964D52">
        <w:rPr>
          <w:i/>
          <w:iCs/>
          <w:u w:val="single"/>
        </w:rPr>
        <w:t>Icke lagstiftande verksamhet</w:t>
      </w:r>
    </w:p>
    <w:p w:rsidR="007A53AA" w:rsidRDefault="007A53AA" w:rsidP="002E1B14">
      <w:pPr>
        <w:pStyle w:val="RKrubrik"/>
        <w:numPr>
          <w:ilvl w:val="0"/>
          <w:numId w:val="5"/>
        </w:numPr>
        <w:ind w:left="1503" w:hanging="1503"/>
      </w:pPr>
      <w:r>
        <w:t>Utvidgningen - Montenegro</w:t>
      </w:r>
    </w:p>
    <w:p w:rsidR="007A53AA" w:rsidRDefault="007A53AA" w:rsidP="002F4832">
      <w:pPr>
        <w:pStyle w:val="RKnormal"/>
        <w:rPr>
          <w:i/>
        </w:rPr>
      </w:pPr>
    </w:p>
    <w:p w:rsidR="007A53AA" w:rsidRPr="002F4832" w:rsidRDefault="007A53AA" w:rsidP="002F4832">
      <w:pPr>
        <w:pStyle w:val="RKnormal"/>
        <w:rPr>
          <w:i/>
        </w:rPr>
      </w:pPr>
      <w:r w:rsidRPr="002F4832">
        <w:rPr>
          <w:i/>
        </w:rPr>
        <w:t xml:space="preserve">Diskussions- och ev. beslutspunkt  </w:t>
      </w:r>
    </w:p>
    <w:p w:rsidR="007A53AA" w:rsidRDefault="007A53AA" w:rsidP="002F4832">
      <w:pPr>
        <w:pStyle w:val="RKnormal"/>
      </w:pPr>
    </w:p>
    <w:p w:rsidR="007A53AA" w:rsidRDefault="007A53AA" w:rsidP="002F4832">
      <w:pPr>
        <w:pStyle w:val="RKnormal"/>
      </w:pPr>
      <w:r>
        <w:t xml:space="preserve">Den 22 maj presenterade kommissionen en översynsrapport om Montenegros framsteg inom rättsstatsområdet. I rapporten noteras att vissa framsteg gjorts i form av antagande av ny lagstiftning och förstärkning av en del administrativa funktioner inom RIF-området, men den tydliggör även att det fortsatt återstår mycket att göra innan </w:t>
      </w:r>
      <w:r w:rsidRPr="00984372">
        <w:t>Montenegro levererat tillfredsställande konkreta resultat i linje med EU:s regelverk</w:t>
      </w:r>
      <w:r>
        <w:t xml:space="preserve">. Kommissionen rekommenderar trots allt att rådet fattar beslut om öppnande av anslutningsförhandlingar. </w:t>
      </w:r>
    </w:p>
    <w:p w:rsidR="007A53AA" w:rsidRDefault="007A53AA" w:rsidP="002F4832">
      <w:pPr>
        <w:pStyle w:val="RKnormal"/>
      </w:pPr>
    </w:p>
    <w:p w:rsidR="007A53AA" w:rsidRDefault="007A53AA" w:rsidP="002F4832">
      <w:pPr>
        <w:pStyle w:val="RKnormal"/>
      </w:pPr>
      <w:r>
        <w:t xml:space="preserve">Regeringen anser att kommissionens rapport visar på stora brister i den montenegrinska statsapparaten. Regeringen har därför efterfrågat ytterligare information för att övertygas om att Montenegro skulle vara redo att hantera dessa brister med hjälp av de verktyg som erbjuds i och med anslutningsförhandlingar med EU. </w:t>
      </w:r>
    </w:p>
    <w:p w:rsidR="007A53AA" w:rsidRDefault="007A53AA" w:rsidP="002F4832">
      <w:pPr>
        <w:pStyle w:val="RKnormal"/>
      </w:pPr>
    </w:p>
    <w:p w:rsidR="007A53AA" w:rsidRDefault="007A53AA" w:rsidP="00BD6B5A">
      <w:pPr>
        <w:pStyle w:val="RKnormal"/>
      </w:pPr>
      <w:r>
        <w:t xml:space="preserve">Under utvidgningsrubriken önskar Sverige resa en diskussion om Makedonien. Kommissionen har tre år i rad rekommenderat en förhandlingsstart med Makedonien, som hittills blockerats p.g.a. den olösta namnfrågan. </w:t>
      </w:r>
    </w:p>
    <w:p w:rsidR="007A53AA" w:rsidRDefault="007A53AA" w:rsidP="002F4832">
      <w:pPr>
        <w:pStyle w:val="RKnormal"/>
      </w:pPr>
    </w:p>
    <w:p w:rsidR="007A53AA" w:rsidRPr="002F4832" w:rsidRDefault="007A53AA" w:rsidP="002F4832">
      <w:pPr>
        <w:pStyle w:val="RKnormal"/>
      </w:pPr>
      <w:r>
        <w:t>Regeringen anser att situationen vad gäller Makedoniens förhandlings</w:t>
      </w:r>
      <w:r>
        <w:softHyphen/>
        <w:t xml:space="preserve">start är ohållbar. Namnfrågan är en bilateral fråga som ej ska få blockera landet EU-närmande.    </w:t>
      </w:r>
    </w:p>
    <w:p w:rsidR="007A53AA" w:rsidRDefault="007A53AA" w:rsidP="00777488">
      <w:pPr>
        <w:pStyle w:val="RKnormal"/>
        <w:rPr>
          <w:i/>
          <w:u w:val="single"/>
        </w:rPr>
      </w:pPr>
    </w:p>
    <w:p w:rsidR="007A53AA" w:rsidRDefault="007A53AA" w:rsidP="00777488">
      <w:pPr>
        <w:pStyle w:val="RKnormal"/>
        <w:rPr>
          <w:i/>
          <w:u w:val="single"/>
        </w:rPr>
      </w:pPr>
      <w:r w:rsidRPr="005671C0">
        <w:rPr>
          <w:i/>
          <w:u w:val="single"/>
        </w:rPr>
        <w:t>Lagstiftningsöverläggningar</w:t>
      </w:r>
    </w:p>
    <w:p w:rsidR="007A53AA" w:rsidRDefault="007A53AA" w:rsidP="002E1B14">
      <w:pPr>
        <w:pStyle w:val="RKrubrik"/>
        <w:numPr>
          <w:ilvl w:val="0"/>
          <w:numId w:val="5"/>
        </w:numPr>
        <w:ind w:hanging="1500"/>
      </w:pPr>
      <w:r>
        <w:t>Godkännande av A-punktslistan</w:t>
      </w:r>
    </w:p>
    <w:p w:rsidR="007A53AA" w:rsidRDefault="007A53AA" w:rsidP="002E1B14">
      <w:pPr>
        <w:pStyle w:val="RKrubrik"/>
        <w:numPr>
          <w:ilvl w:val="0"/>
          <w:numId w:val="5"/>
        </w:numPr>
        <w:ind w:left="1503" w:hanging="1503"/>
      </w:pPr>
      <w:r>
        <w:t>Sammanhållningspolitiken</w:t>
      </w:r>
    </w:p>
    <w:p w:rsidR="007A53AA" w:rsidRDefault="007A53AA" w:rsidP="00F958EE">
      <w:pPr>
        <w:pStyle w:val="RKnormal"/>
        <w:tabs>
          <w:tab w:val="clear" w:pos="2835"/>
          <w:tab w:val="left" w:pos="1276"/>
        </w:tabs>
        <w:ind w:left="567"/>
      </w:pPr>
      <w:r>
        <w:t>=</w:t>
      </w:r>
      <w:r>
        <w:tab/>
      </w:r>
      <w:r w:rsidRPr="00F958EE">
        <w:t>Partiell allmän riktlinje</w:t>
      </w:r>
    </w:p>
    <w:p w:rsidR="007A53AA" w:rsidRDefault="007A53AA" w:rsidP="00F958EE">
      <w:pPr>
        <w:pStyle w:val="RKnormal"/>
        <w:tabs>
          <w:tab w:val="clear" w:pos="2835"/>
          <w:tab w:val="left" w:pos="1276"/>
        </w:tabs>
        <w:ind w:left="567"/>
      </w:pPr>
    </w:p>
    <w:p w:rsidR="007A53AA" w:rsidRPr="00CB0E95" w:rsidRDefault="007A53AA" w:rsidP="00CB0E95">
      <w:pPr>
        <w:pStyle w:val="RKnormal"/>
        <w:tabs>
          <w:tab w:val="left" w:pos="1276"/>
        </w:tabs>
        <w:rPr>
          <w:i/>
        </w:rPr>
      </w:pPr>
      <w:r w:rsidRPr="00CB0E95">
        <w:rPr>
          <w:i/>
        </w:rPr>
        <w:t>Diskussionspunkt</w:t>
      </w:r>
    </w:p>
    <w:p w:rsidR="007A53AA" w:rsidRDefault="007A53AA" w:rsidP="003A6AA4">
      <w:pPr>
        <w:pStyle w:val="RKnormal"/>
        <w:tabs>
          <w:tab w:val="left" w:pos="1276"/>
        </w:tabs>
      </w:pPr>
    </w:p>
    <w:p w:rsidR="007A53AA" w:rsidRDefault="007A53AA" w:rsidP="003A6AA4">
      <w:pPr>
        <w:pStyle w:val="RKnormal"/>
        <w:tabs>
          <w:tab w:val="left" w:pos="1276"/>
        </w:tabs>
      </w:pPr>
      <w:r>
        <w:t xml:space="preserve">Förordningspaketet för strukturfonderna (exklusive budgetaspekter, som hanteras samlat tillsammans med övriga budgetfrågor i den s.k. förhandlingsboxen) förhandlas i rådsarbetsgruppen för strukturella åtgärder. </w:t>
      </w:r>
    </w:p>
    <w:p w:rsidR="007A53AA" w:rsidRDefault="007A53AA" w:rsidP="003A6AA4">
      <w:pPr>
        <w:pStyle w:val="RKnormal"/>
        <w:tabs>
          <w:tab w:val="left" w:pos="1276"/>
        </w:tabs>
      </w:pPr>
    </w:p>
    <w:p w:rsidR="007A53AA" w:rsidRDefault="007A53AA" w:rsidP="003A6AA4">
      <w:pPr>
        <w:pStyle w:val="RKnormal"/>
        <w:tabs>
          <w:tab w:val="left" w:pos="1276"/>
        </w:tabs>
      </w:pPr>
      <w:r>
        <w:t xml:space="preserve">Förhandlingarna i gruppen under det danska ordförandeskapet har skett kring olika tematiska block. För sex av dessa hade man i april nått så långt, att de togs upp på allmänna rådet den 26 april. Rådet kunde då enas om den allmänna inriktningen av dessa block, för vidare överläggning med Europaparlamentet. </w:t>
      </w:r>
    </w:p>
    <w:p w:rsidR="007A53AA" w:rsidRDefault="007A53AA" w:rsidP="003A6AA4">
      <w:pPr>
        <w:pStyle w:val="RKnormal"/>
        <w:tabs>
          <w:tab w:val="left" w:pos="1276"/>
        </w:tabs>
      </w:pPr>
    </w:p>
    <w:p w:rsidR="007A53AA" w:rsidRDefault="007A53AA" w:rsidP="003A6AA4">
      <w:pPr>
        <w:pStyle w:val="RKnormal"/>
        <w:tabs>
          <w:tab w:val="left" w:pos="1276"/>
        </w:tabs>
      </w:pPr>
      <w:r>
        <w:t>Förhandlingarna har därefter fortsatt avseende följande block: Tematisk koncentration, Finansiella instrument, Vinstgenererande projekt/Private Public Partnership (PPP) och Resultatramverk. Ordförandeskapets ambition är att till allmänna rådets möte den 26 juni ha nått så långt att en allmän inriktning kan nås även för dessa block.</w:t>
      </w:r>
    </w:p>
    <w:p w:rsidR="007A53AA" w:rsidRDefault="007A53AA" w:rsidP="003A6AA4">
      <w:pPr>
        <w:pStyle w:val="RKnormal"/>
        <w:tabs>
          <w:tab w:val="left" w:pos="1276"/>
        </w:tabs>
      </w:pPr>
    </w:p>
    <w:p w:rsidR="007A53AA" w:rsidRDefault="007A53AA" w:rsidP="003A6AA4">
      <w:pPr>
        <w:pStyle w:val="RKnormal"/>
        <w:tabs>
          <w:tab w:val="clear" w:pos="2835"/>
          <w:tab w:val="left" w:pos="1276"/>
        </w:tabs>
      </w:pPr>
      <w:r>
        <w:t>Regeringen kan i stort godta kompromissförslagen för samtliga fyra förhandlingsblock så som de nu föreligger. Regeringen driver fortsatt nödvändigheten av tematisk koncentration, för att bidra till att nå målen i Europa 2020-strategin.</w:t>
      </w:r>
    </w:p>
    <w:p w:rsidR="007A53AA" w:rsidRPr="00F958EE" w:rsidRDefault="007A53AA" w:rsidP="003A6AA4">
      <w:pPr>
        <w:pStyle w:val="RKnormal"/>
        <w:tabs>
          <w:tab w:val="clear" w:pos="2835"/>
          <w:tab w:val="left" w:pos="1276"/>
        </w:tabs>
        <w:rPr>
          <w:rFonts w:ascii="TradeGothic" w:hAnsi="TradeGothic"/>
          <w:b/>
          <w:sz w:val="22"/>
          <w:szCs w:val="22"/>
        </w:rPr>
      </w:pPr>
    </w:p>
    <w:p w:rsidR="007A53AA" w:rsidRPr="00F958EE" w:rsidRDefault="007A53AA" w:rsidP="002E1B14">
      <w:pPr>
        <w:pStyle w:val="RKnormal"/>
        <w:numPr>
          <w:ilvl w:val="0"/>
          <w:numId w:val="5"/>
        </w:numPr>
        <w:tabs>
          <w:tab w:val="left" w:pos="1134"/>
        </w:tabs>
        <w:spacing w:before="360" w:after="120"/>
        <w:ind w:left="1503" w:hanging="1503"/>
        <w:rPr>
          <w:szCs w:val="24"/>
        </w:rPr>
      </w:pPr>
      <w:r>
        <w:rPr>
          <w:rFonts w:ascii="TradeGothic" w:hAnsi="TradeGothic"/>
          <w:b/>
          <w:sz w:val="22"/>
          <w:szCs w:val="22"/>
        </w:rPr>
        <w:t>Nya fleråriga budgetramen</w:t>
      </w:r>
    </w:p>
    <w:p w:rsidR="007A53AA" w:rsidRDefault="007A53AA" w:rsidP="00F958EE">
      <w:pPr>
        <w:pStyle w:val="RKnormal"/>
        <w:tabs>
          <w:tab w:val="clear" w:pos="2835"/>
          <w:tab w:val="left" w:pos="1276"/>
        </w:tabs>
        <w:ind w:left="567"/>
        <w:rPr>
          <w:szCs w:val="24"/>
        </w:rPr>
      </w:pPr>
      <w:r w:rsidRPr="00F958EE">
        <w:rPr>
          <w:szCs w:val="24"/>
        </w:rPr>
        <w:t>=</w:t>
      </w:r>
      <w:r w:rsidRPr="00F958EE">
        <w:rPr>
          <w:szCs w:val="24"/>
        </w:rPr>
        <w:tab/>
        <w:t>Riktlinjedebatt /vissa frågor</w:t>
      </w:r>
    </w:p>
    <w:p w:rsidR="007A53AA" w:rsidRDefault="007A53AA" w:rsidP="00CB0E95">
      <w:pPr>
        <w:ind w:left="1134"/>
        <w:rPr>
          <w:i/>
        </w:rPr>
      </w:pPr>
    </w:p>
    <w:p w:rsidR="007A53AA" w:rsidRPr="003A6AA4" w:rsidRDefault="007A53AA" w:rsidP="00CB0E95">
      <w:pPr>
        <w:rPr>
          <w:i/>
        </w:rPr>
      </w:pPr>
      <w:r>
        <w:rPr>
          <w:i/>
        </w:rPr>
        <w:t>Diskussionspunkt</w:t>
      </w:r>
    </w:p>
    <w:p w:rsidR="007A53AA" w:rsidRDefault="007A53AA" w:rsidP="00CB0E95">
      <w:pPr>
        <w:ind w:left="1134"/>
      </w:pPr>
    </w:p>
    <w:p w:rsidR="007A53AA" w:rsidRDefault="007A53AA" w:rsidP="00764C14">
      <w:pPr>
        <w:pStyle w:val="RKnormal"/>
        <w:tabs>
          <w:tab w:val="left" w:pos="1276"/>
        </w:tabs>
      </w:pPr>
      <w:r>
        <w:t>Vid mötet i allmänna rådet ska en orienteringsdebatt äga rum avseende EU:s fleråriga budgetram för perioden 2014-2020. Det är andra gången som allmänna rådet behandlar ett utkast till heltäckande förhandlings</w:t>
      </w:r>
      <w:r>
        <w:softHyphen/>
        <w:t xml:space="preserve">box.  Den 29 maj behandlades ett första utkast till fullständig box som täckte samtliga delar i förhandlingen, dvs. alla utgiftsområden, horisontella aspekter på budgetramen och systemet för egna medel, men utan att ange utgiftsnivåer. Förhandlingsboxen var även föremål för diskussion vid informella EU-ministermötet den 11 juni i Horsens i Danmark, med fokus på budgetramens utgiftsstruktur, instrument utanför utgiftstaket samt RAL-problematiken.  </w:t>
      </w:r>
    </w:p>
    <w:p w:rsidR="007A53AA" w:rsidRDefault="007A53AA" w:rsidP="00764C14">
      <w:pPr>
        <w:pStyle w:val="RKnormal"/>
        <w:tabs>
          <w:tab w:val="left" w:pos="1276"/>
        </w:tabs>
      </w:pPr>
    </w:p>
    <w:p w:rsidR="007A53AA" w:rsidRDefault="007A53AA" w:rsidP="00764C14">
      <w:pPr>
        <w:pStyle w:val="RKnormal"/>
        <w:tabs>
          <w:tab w:val="left" w:pos="1276"/>
        </w:tabs>
      </w:pPr>
      <w:r>
        <w:t>Boxen kommer att behandlas vid Europeiska rådets möte i juni. En uppgörelse om budgetramen är att vänta tidigast i höst under det cypriotiska ordförandeskapet.</w:t>
      </w:r>
    </w:p>
    <w:p w:rsidR="007A53AA" w:rsidRDefault="007A53AA" w:rsidP="00764C14">
      <w:pPr>
        <w:pStyle w:val="RKnormal"/>
        <w:tabs>
          <w:tab w:val="left" w:pos="1276"/>
        </w:tabs>
      </w:pPr>
    </w:p>
    <w:p w:rsidR="007A53AA" w:rsidRDefault="007A53AA" w:rsidP="00764C14">
      <w:pPr>
        <w:pStyle w:val="RKnormal"/>
        <w:tabs>
          <w:tab w:val="left" w:pos="1276"/>
        </w:tabs>
      </w:pPr>
      <w:r>
        <w:t>Det danska ordförandeskapet har indikerat att man avser att presentera ett nytt utkast till förhandlingsbox inför allmänna rådet den 26 juni (i dagsläget oklart när) på basis av den diskussion som förts den 29 maj respektive vid informella ministermötet den 11 juni. Ordförandeskapet önskar fokusera diskussionen på huvudfrågorna i det nya utkastet till förhandlingsbox.  Ambitionen är att minska ner antalet öppna optioner för att leda förhandlingen framåt och underlätta möjligheten till en uppgörelse innan årets slut.</w:t>
      </w:r>
    </w:p>
    <w:p w:rsidR="007A53AA" w:rsidRDefault="007A53AA" w:rsidP="00764C14">
      <w:pPr>
        <w:pStyle w:val="RKnormal"/>
        <w:tabs>
          <w:tab w:val="left" w:pos="1276"/>
        </w:tabs>
      </w:pPr>
    </w:p>
    <w:p w:rsidR="007A53AA" w:rsidRDefault="007A53AA" w:rsidP="00764C14">
      <w:pPr>
        <w:pStyle w:val="RKnormal"/>
        <w:tabs>
          <w:tab w:val="left" w:pos="1276"/>
        </w:tabs>
      </w:pPr>
      <w:r>
        <w:t xml:space="preserve">Regeringen bedömning är att ordförandeskapets utkast till förhandlingsboxar har varit balanserade och tämligen väl återspeglat medlemsländernas olika ståndpunkter så här långt. Regeringen stödjer Ordförandeskapets ambition att minska ner antalet öppna optioner men anser samtidigt att det är centralt att den förhandlingsbox som ska ligga till grund för Europeiska rådet i juni ger utrymme för att uppnå centrala svenska målsättningar. Det betyder att boxen måste skapa förutsättningar för ett beslut som innebär en modernisering av utgiftsstrukturen och ett innehåll som såväl tydligt återspeglar behovet av strukturreformer i medlemsländerna, bidrar till förutsättningar för ökad tillväxt i Europa, har ett europeiskt mervärde som genom en begränsad volym bidrar till konsolideringen av de offentliga finanserna. Vidare måste boxen skapa förutsättningar för en stabilisering av den svenska avgiften genom en realt oförändrad utgiftsnivå beaktande den stora volymen åtaganden som ännu inte förfallit till betalning och bibehållet värde på rabatterna. Regeringen vill inom en realt oförändrad utgiftsnivå uppnå omprioriteringar av utgifter till förmån för bl.a. forskning och utveckling, innovationer, gränsöverskridande strategisk infrastruktur, rättsliga och inrikes frågor samt utrikespolitik, medan utgifterna för jordbrukspolitiken och sammanhållningspolitiken bör minska betydligt. </w:t>
      </w:r>
    </w:p>
    <w:p w:rsidR="007A53AA" w:rsidRDefault="007A53AA" w:rsidP="00764C14">
      <w:pPr>
        <w:pStyle w:val="RKnormal"/>
        <w:tabs>
          <w:tab w:val="left" w:pos="1276"/>
        </w:tabs>
      </w:pPr>
    </w:p>
    <w:p w:rsidR="007A53AA" w:rsidRDefault="007A53AA" w:rsidP="00AD7158">
      <w:pPr>
        <w:pStyle w:val="RKnormal"/>
        <w:tabs>
          <w:tab w:val="left" w:pos="1276"/>
        </w:tabs>
        <w:rPr>
          <w:szCs w:val="24"/>
        </w:rPr>
      </w:pPr>
      <w:r>
        <w:t>Utkastet till förhandlingsbox ska också behandla inkomstsidan. Regeringen ser inte någon anledning till att genomföra några grundläggande förändringar i inkomstsystemet, bl.a. mot bakgrund av att kommissionens reformambitioner på utgiftssidan är ytterst begränsade. Regeringen motsätter sig nya egna medel och överföring av kompetens på skatteområdet till EU-nivån. Regeringen motsätter sig också en minskning av värdet på Sveriges rabatter och kommer att verka för att nuvarande - eller motsvarande – rabattarrangemang ska tillämpas för Sverige också under nästa budgetram.</w:t>
      </w:r>
    </w:p>
    <w:p w:rsidR="007A53AA" w:rsidRPr="00F958EE" w:rsidRDefault="007A53AA" w:rsidP="002E1B14">
      <w:pPr>
        <w:pStyle w:val="RKnormal"/>
        <w:numPr>
          <w:ilvl w:val="0"/>
          <w:numId w:val="5"/>
        </w:numPr>
        <w:tabs>
          <w:tab w:val="left" w:pos="1134"/>
        </w:tabs>
        <w:spacing w:before="360" w:after="120"/>
        <w:ind w:left="1503" w:hanging="1503"/>
        <w:rPr>
          <w:szCs w:val="24"/>
        </w:rPr>
      </w:pPr>
      <w:r>
        <w:rPr>
          <w:rFonts w:ascii="TradeGothic" w:hAnsi="TradeGothic"/>
          <w:b/>
          <w:sz w:val="22"/>
          <w:szCs w:val="22"/>
        </w:rPr>
        <w:t>AOB</w:t>
      </w:r>
    </w:p>
    <w:p w:rsidR="007A53AA" w:rsidRPr="00F958EE" w:rsidRDefault="007A53AA" w:rsidP="00F35F5A">
      <w:pPr>
        <w:pStyle w:val="RKnormal"/>
        <w:tabs>
          <w:tab w:val="clear" w:pos="2835"/>
          <w:tab w:val="left" w:pos="1276"/>
        </w:tabs>
        <w:ind w:left="567"/>
        <w:rPr>
          <w:szCs w:val="24"/>
        </w:rPr>
      </w:pPr>
      <w:r w:rsidRPr="00F958EE">
        <w:rPr>
          <w:szCs w:val="24"/>
        </w:rPr>
        <w:t>=</w:t>
      </w:r>
      <w:r w:rsidRPr="00F958EE">
        <w:rPr>
          <w:szCs w:val="24"/>
        </w:rPr>
        <w:tab/>
      </w:r>
      <w:r w:rsidRPr="00F35F5A">
        <w:rPr>
          <w:szCs w:val="24"/>
        </w:rPr>
        <w:t>Information från ordförandeskapet om aktuella lagförslag</w:t>
      </w:r>
    </w:p>
    <w:p w:rsidR="007A53AA" w:rsidRPr="00777488" w:rsidRDefault="007A53AA" w:rsidP="00F35F5A">
      <w:pPr>
        <w:pStyle w:val="RKnormal"/>
      </w:pPr>
    </w:p>
    <w:p w:rsidR="007A53AA" w:rsidRPr="00964D52" w:rsidRDefault="007A53AA" w:rsidP="00F35F5A">
      <w:pPr>
        <w:pStyle w:val="Default"/>
        <w:rPr>
          <w:i/>
          <w:iCs/>
          <w:u w:val="single"/>
        </w:rPr>
      </w:pPr>
      <w:r w:rsidRPr="00964D52">
        <w:rPr>
          <w:i/>
          <w:iCs/>
          <w:u w:val="single"/>
        </w:rPr>
        <w:t>Icke lagstiftande verksamhet</w:t>
      </w:r>
    </w:p>
    <w:p w:rsidR="007A53AA" w:rsidRDefault="007A53AA" w:rsidP="002E1B14">
      <w:pPr>
        <w:pStyle w:val="RKrubrik"/>
        <w:numPr>
          <w:ilvl w:val="0"/>
          <w:numId w:val="5"/>
        </w:numPr>
        <w:ind w:hanging="1500"/>
      </w:pPr>
      <w:r>
        <w:t>Godkännande av A-punktslistan</w:t>
      </w:r>
    </w:p>
    <w:p w:rsidR="007A53AA" w:rsidRDefault="007A53AA" w:rsidP="002E1B14">
      <w:pPr>
        <w:pStyle w:val="RKrubrik"/>
        <w:numPr>
          <w:ilvl w:val="0"/>
          <w:numId w:val="5"/>
        </w:numPr>
        <w:ind w:left="1134" w:hanging="1134"/>
      </w:pPr>
      <w:r w:rsidRPr="00590347">
        <w:t xml:space="preserve">Resolutioner, </w:t>
      </w:r>
      <w:r>
        <w:t>yttranden</w:t>
      </w:r>
      <w:r w:rsidRPr="00590347">
        <w:t xml:space="preserve"> och beslut antagna av Europaparlamentet</w:t>
      </w:r>
      <w:r>
        <w:t xml:space="preserve"> vid sessionerna</w:t>
      </w:r>
    </w:p>
    <w:p w:rsidR="007A53AA" w:rsidRPr="00202489" w:rsidRDefault="007A53AA" w:rsidP="00F02EBB">
      <w:pPr>
        <w:pStyle w:val="Default"/>
        <w:numPr>
          <w:ilvl w:val="0"/>
          <w:numId w:val="11"/>
        </w:numPr>
        <w:rPr>
          <w:rFonts w:ascii="TradeGothic" w:hAnsi="TradeGothic" w:cs="Times New Roman"/>
          <w:b/>
          <w:color w:val="auto"/>
          <w:sz w:val="22"/>
          <w:szCs w:val="20"/>
          <w:lang w:eastAsia="en-US"/>
        </w:rPr>
      </w:pPr>
      <w:r w:rsidRPr="00202489">
        <w:rPr>
          <w:rFonts w:ascii="TradeGothic" w:hAnsi="TradeGothic" w:cs="Times New Roman"/>
          <w:b/>
          <w:color w:val="auto"/>
          <w:sz w:val="22"/>
          <w:szCs w:val="20"/>
          <w:lang w:eastAsia="en-US"/>
        </w:rPr>
        <w:t xml:space="preserve">Strasbourg, </w:t>
      </w:r>
      <w:r>
        <w:rPr>
          <w:rFonts w:ascii="TradeGothic" w:hAnsi="TradeGothic" w:cs="Times New Roman"/>
          <w:b/>
          <w:color w:val="auto"/>
          <w:sz w:val="22"/>
          <w:szCs w:val="20"/>
          <w:lang w:eastAsia="en-US"/>
        </w:rPr>
        <w:t>21</w:t>
      </w:r>
      <w:r w:rsidRPr="00202489">
        <w:rPr>
          <w:rFonts w:ascii="TradeGothic" w:hAnsi="TradeGothic" w:cs="Times New Roman"/>
          <w:b/>
          <w:color w:val="auto"/>
          <w:sz w:val="22"/>
          <w:szCs w:val="20"/>
          <w:lang w:eastAsia="en-US"/>
        </w:rPr>
        <w:t>-</w:t>
      </w:r>
      <w:r>
        <w:rPr>
          <w:rFonts w:ascii="TradeGothic" w:hAnsi="TradeGothic" w:cs="Times New Roman"/>
          <w:b/>
          <w:color w:val="auto"/>
          <w:sz w:val="22"/>
          <w:szCs w:val="20"/>
          <w:lang w:eastAsia="en-US"/>
        </w:rPr>
        <w:t>24</w:t>
      </w:r>
      <w:r w:rsidRPr="00202489">
        <w:rPr>
          <w:rFonts w:ascii="TradeGothic" w:hAnsi="TradeGothic" w:cs="Times New Roman"/>
          <w:b/>
          <w:color w:val="auto"/>
          <w:sz w:val="22"/>
          <w:szCs w:val="20"/>
          <w:lang w:eastAsia="en-US"/>
        </w:rPr>
        <w:t xml:space="preserve"> </w:t>
      </w:r>
      <w:r>
        <w:rPr>
          <w:rFonts w:ascii="TradeGothic" w:hAnsi="TradeGothic" w:cs="Times New Roman"/>
          <w:b/>
          <w:color w:val="auto"/>
          <w:sz w:val="22"/>
          <w:szCs w:val="20"/>
          <w:lang w:eastAsia="en-US"/>
        </w:rPr>
        <w:t>maj</w:t>
      </w:r>
      <w:r w:rsidRPr="00202489">
        <w:rPr>
          <w:rFonts w:ascii="TradeGothic" w:hAnsi="TradeGothic" w:cs="Times New Roman"/>
          <w:b/>
          <w:color w:val="auto"/>
          <w:sz w:val="22"/>
          <w:szCs w:val="20"/>
          <w:lang w:eastAsia="en-US"/>
        </w:rPr>
        <w:t xml:space="preserve"> 2012</w:t>
      </w:r>
    </w:p>
    <w:p w:rsidR="007A53AA" w:rsidRDefault="007A53AA" w:rsidP="003A6AA4">
      <w:pPr>
        <w:pStyle w:val="ListParagraph"/>
        <w:numPr>
          <w:ilvl w:val="0"/>
          <w:numId w:val="11"/>
        </w:numPr>
        <w:spacing w:after="120"/>
        <w:ind w:left="1491" w:hanging="357"/>
        <w:rPr>
          <w:rFonts w:ascii="TradeGothic" w:hAnsi="TradeGothic"/>
          <w:b/>
          <w:sz w:val="22"/>
        </w:rPr>
      </w:pPr>
      <w:r w:rsidRPr="00F02EBB">
        <w:rPr>
          <w:rFonts w:ascii="TradeGothic" w:hAnsi="TradeGothic"/>
          <w:b/>
          <w:sz w:val="22"/>
        </w:rPr>
        <w:t>Strasbourg, 11-14 juni 2012</w:t>
      </w:r>
    </w:p>
    <w:p w:rsidR="007A53AA" w:rsidRDefault="007A53AA" w:rsidP="003A6AA4">
      <w:pPr>
        <w:ind w:left="1134"/>
        <w:rPr>
          <w:i/>
        </w:rPr>
      </w:pPr>
    </w:p>
    <w:p w:rsidR="007A53AA" w:rsidRPr="003A6AA4" w:rsidRDefault="007A53AA" w:rsidP="00CB0E95">
      <w:pPr>
        <w:rPr>
          <w:i/>
        </w:rPr>
      </w:pPr>
      <w:r w:rsidRPr="003A6AA4">
        <w:rPr>
          <w:i/>
        </w:rPr>
        <w:t xml:space="preserve">Informationspunkt </w:t>
      </w:r>
    </w:p>
    <w:p w:rsidR="007A53AA" w:rsidRDefault="007A53AA" w:rsidP="003A6AA4">
      <w:pPr>
        <w:ind w:left="1134"/>
      </w:pPr>
    </w:p>
    <w:p w:rsidR="007A53AA" w:rsidRPr="003A6AA4" w:rsidRDefault="007A53AA" w:rsidP="00CB0E95">
      <w:pPr>
        <w:spacing w:after="120"/>
        <w:rPr>
          <w:rFonts w:ascii="TradeGothic" w:hAnsi="TradeGothic"/>
          <w:b/>
          <w:sz w:val="22"/>
        </w:rPr>
      </w:pPr>
      <w:r>
        <w:t>Allmänna rådet avser att notera resolutioner, yttranden och beslut antagna av Europaparlamentet under sammanträdesperioden den 21-24 maj samt den 11-14 juni i Strasbourg. Detta är en standardpunkt på dagordningen.</w:t>
      </w:r>
    </w:p>
    <w:p w:rsidR="007A53AA" w:rsidRPr="00F35F5A" w:rsidRDefault="007A53AA" w:rsidP="002E1B14">
      <w:pPr>
        <w:pStyle w:val="RKrubrik"/>
        <w:numPr>
          <w:ilvl w:val="0"/>
          <w:numId w:val="5"/>
        </w:numPr>
        <w:ind w:hanging="1500"/>
      </w:pPr>
      <w:r w:rsidRPr="00F35F5A">
        <w:t>Förberedelser av Europeiska rådet den 28-29 juni 2012</w:t>
      </w:r>
    </w:p>
    <w:p w:rsidR="007A53AA" w:rsidRDefault="007A53AA" w:rsidP="00F35F5A">
      <w:pPr>
        <w:pStyle w:val="RKnormal"/>
        <w:tabs>
          <w:tab w:val="clear" w:pos="2835"/>
          <w:tab w:val="left" w:pos="1276"/>
        </w:tabs>
        <w:ind w:left="1276" w:hanging="709"/>
        <w:rPr>
          <w:szCs w:val="24"/>
        </w:rPr>
      </w:pPr>
      <w:r w:rsidRPr="00F958EE">
        <w:rPr>
          <w:szCs w:val="24"/>
        </w:rPr>
        <w:t>=</w:t>
      </w:r>
      <w:r w:rsidRPr="00F958EE">
        <w:rPr>
          <w:szCs w:val="24"/>
        </w:rPr>
        <w:tab/>
      </w:r>
      <w:r w:rsidRPr="00F35F5A">
        <w:rPr>
          <w:szCs w:val="24"/>
        </w:rPr>
        <w:t>Europeiska terminen - Godkännande av integrerade landspecifika rekommendationer och överföring till Europeiska rådet</w:t>
      </w:r>
    </w:p>
    <w:p w:rsidR="007A53AA" w:rsidRDefault="007A53AA" w:rsidP="00F35F5A">
      <w:pPr>
        <w:pStyle w:val="RKnormal"/>
        <w:tabs>
          <w:tab w:val="clear" w:pos="2835"/>
          <w:tab w:val="left" w:pos="1276"/>
        </w:tabs>
        <w:ind w:left="1276" w:hanging="709"/>
        <w:rPr>
          <w:szCs w:val="24"/>
        </w:rPr>
      </w:pPr>
    </w:p>
    <w:p w:rsidR="007A53AA" w:rsidRPr="003A6AA4" w:rsidRDefault="007A53AA" w:rsidP="004D133E">
      <w:pPr>
        <w:rPr>
          <w:i/>
        </w:rPr>
      </w:pPr>
      <w:r>
        <w:rPr>
          <w:i/>
        </w:rPr>
        <w:t>Diskussionspunkt</w:t>
      </w:r>
    </w:p>
    <w:p w:rsidR="007A53AA" w:rsidRDefault="007A53AA" w:rsidP="00E21D4A">
      <w:pPr>
        <w:pStyle w:val="RKnormal"/>
        <w:tabs>
          <w:tab w:val="left" w:pos="1276"/>
        </w:tabs>
        <w:ind w:left="1276" w:hanging="709"/>
        <w:rPr>
          <w:szCs w:val="24"/>
        </w:rPr>
      </w:pPr>
    </w:p>
    <w:p w:rsidR="007A53AA" w:rsidRPr="00E21D4A" w:rsidRDefault="007A53AA" w:rsidP="00E21D4A">
      <w:pPr>
        <w:pStyle w:val="RKnormal"/>
        <w:tabs>
          <w:tab w:val="left" w:pos="0"/>
        </w:tabs>
        <w:rPr>
          <w:szCs w:val="24"/>
        </w:rPr>
      </w:pPr>
      <w:r w:rsidRPr="00E21D4A">
        <w:rPr>
          <w:szCs w:val="24"/>
        </w:rPr>
        <w:t xml:space="preserve">Europeiska rådet ska bekräfta de av rådet antagna landspecifika rekommendationerna och yttrandena till medlemsstaterna samt en rekommendation riktad till euroländerna inom ramen för den europeiska terminen. </w:t>
      </w:r>
    </w:p>
    <w:p w:rsidR="007A53AA" w:rsidRPr="00E21D4A" w:rsidRDefault="007A53AA" w:rsidP="00E21D4A">
      <w:pPr>
        <w:pStyle w:val="RKnormal"/>
        <w:tabs>
          <w:tab w:val="left" w:pos="1276"/>
        </w:tabs>
        <w:rPr>
          <w:szCs w:val="24"/>
        </w:rPr>
      </w:pPr>
    </w:p>
    <w:p w:rsidR="007A53AA" w:rsidRPr="00E21D4A" w:rsidRDefault="007A53AA" w:rsidP="00E21D4A">
      <w:pPr>
        <w:pStyle w:val="RKnormal"/>
        <w:tabs>
          <w:tab w:val="left" w:pos="1276"/>
        </w:tabs>
        <w:rPr>
          <w:szCs w:val="24"/>
        </w:rPr>
      </w:pPr>
      <w:r w:rsidRPr="00E21D4A">
        <w:rPr>
          <w:szCs w:val="24"/>
        </w:rPr>
        <w:t xml:space="preserve">Rekommendationerna och yttrandena baseras på de allmänna riktlinjerna för den ekonomiska politiken och sysselsättningsriktlinjerna samt ländernas nationella reformprogram och stabilitets- eller konvergensprogram. Rådet antar även en rekommendation som riktar sig till de medlemsstater som har euron som valuta. Endast euroländer har rösträtt avseende denna rekommendation. </w:t>
      </w:r>
    </w:p>
    <w:p w:rsidR="007A53AA" w:rsidRPr="00E21D4A" w:rsidRDefault="007A53AA" w:rsidP="00E21D4A">
      <w:pPr>
        <w:pStyle w:val="RKnormal"/>
        <w:tabs>
          <w:tab w:val="left" w:pos="1276"/>
        </w:tabs>
        <w:rPr>
          <w:szCs w:val="24"/>
        </w:rPr>
      </w:pPr>
    </w:p>
    <w:p w:rsidR="007A53AA" w:rsidRPr="00E21D4A" w:rsidRDefault="007A53AA" w:rsidP="00E21D4A">
      <w:pPr>
        <w:pStyle w:val="RKnormal"/>
        <w:tabs>
          <w:tab w:val="left" w:pos="1276"/>
        </w:tabs>
        <w:rPr>
          <w:szCs w:val="24"/>
        </w:rPr>
      </w:pPr>
      <w:r w:rsidRPr="00E21D4A">
        <w:rPr>
          <w:szCs w:val="24"/>
        </w:rPr>
        <w:t xml:space="preserve">Rekommendationerna behandlas av EPSCO-rådet (de delar som rör sysselsättningsriktlinjerna) och Ekofinrådet (de delar som rör de allmänna riktlinjerna för den ekonomiska politiken). Allmänna rådet kommer att godkänna en konsoliderad version av alla landspecifika rekommendationer, inklusive en rekommendation riktad till euroländerna, som sedan ska godkännas vid Europeiska rådet den 28-29 juni innan de slutligen antas av rådet i juli. </w:t>
      </w:r>
    </w:p>
    <w:p w:rsidR="007A53AA" w:rsidRPr="00E21D4A" w:rsidRDefault="007A53AA" w:rsidP="00E21D4A">
      <w:pPr>
        <w:pStyle w:val="RKnormal"/>
        <w:tabs>
          <w:tab w:val="left" w:pos="1276"/>
        </w:tabs>
        <w:rPr>
          <w:szCs w:val="24"/>
        </w:rPr>
      </w:pPr>
    </w:p>
    <w:p w:rsidR="007A53AA" w:rsidRDefault="007A53AA" w:rsidP="00E21D4A">
      <w:pPr>
        <w:pStyle w:val="RKnormal"/>
        <w:tabs>
          <w:tab w:val="left" w:pos="1276"/>
        </w:tabs>
        <w:rPr>
          <w:szCs w:val="24"/>
        </w:rPr>
      </w:pPr>
      <w:r w:rsidRPr="00E21D4A">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7A53AA" w:rsidRDefault="007A53AA" w:rsidP="00E21D4A">
      <w:pPr>
        <w:pStyle w:val="RKnormal"/>
        <w:tabs>
          <w:tab w:val="left" w:pos="1276"/>
        </w:tabs>
        <w:rPr>
          <w:szCs w:val="24"/>
        </w:rPr>
      </w:pPr>
    </w:p>
    <w:p w:rsidR="007A53AA" w:rsidRDefault="007A53AA" w:rsidP="00902D28">
      <w:pPr>
        <w:pStyle w:val="RKnormal"/>
      </w:pPr>
      <w:r>
        <w:t>Inom ramen för den ekonomisk-politiska samordningen riktas rekommendationer till medlemsstaterna. Regeringen ser rekommendationerna som ett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7A53AA" w:rsidRDefault="007A53AA" w:rsidP="00902D28">
      <w:pPr>
        <w:pStyle w:val="RKnormal"/>
      </w:pPr>
    </w:p>
    <w:p w:rsidR="007A53AA" w:rsidRDefault="007A53AA" w:rsidP="00902D28">
      <w:pPr>
        <w:pStyle w:val="RKnormal"/>
      </w:pPr>
      <w: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7A53AA" w:rsidRDefault="007A53AA" w:rsidP="00902D28">
      <w:pPr>
        <w:pStyle w:val="RKnormal"/>
      </w:pPr>
    </w:p>
    <w:p w:rsidR="007A53AA" w:rsidRDefault="007A53AA" w:rsidP="00902D28">
      <w:pPr>
        <w:pStyle w:val="RKnormal"/>
      </w:pPr>
      <w:r>
        <w:t>Regeringen</w:t>
      </w:r>
      <w:bookmarkStart w:id="1" w:name="_GoBack"/>
      <w:bookmarkEnd w:id="1"/>
      <w:r w:rsidRPr="00902D28">
        <w:t xml:space="preserve"> ställer sig bakom</w:t>
      </w:r>
      <w:r>
        <w:t xml:space="preserve"> att rekommendationer </w:t>
      </w:r>
      <w:r w:rsidRPr="00902D28">
        <w:t>ges till medlems</w:t>
      </w:r>
      <w:r>
        <w:softHyphen/>
      </w:r>
      <w:r w:rsidRPr="00902D28">
        <w:t xml:space="preserve">länderna. Det är sedan upp till varje medlemsland att välja hur man förhåller sig till rekommendationerna.  </w:t>
      </w:r>
    </w:p>
    <w:p w:rsidR="007A53AA" w:rsidRDefault="007A53AA" w:rsidP="00902D28">
      <w:pPr>
        <w:pStyle w:val="RKnormal"/>
      </w:pPr>
    </w:p>
    <w:p w:rsidR="007A53AA" w:rsidRDefault="007A53AA" w:rsidP="00902D28">
      <w:pPr>
        <w:pStyle w:val="RKnormal"/>
      </w:pPr>
      <w:r>
        <w:t>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w:t>
      </w:r>
    </w:p>
    <w:p w:rsidR="007A53AA" w:rsidRDefault="007A53AA" w:rsidP="00902D28">
      <w:pPr>
        <w:pStyle w:val="RKnormal"/>
      </w:pPr>
    </w:p>
    <w:p w:rsidR="007A53AA" w:rsidRDefault="007A53AA" w:rsidP="00F35F5A">
      <w:pPr>
        <w:pStyle w:val="RKnormal"/>
        <w:tabs>
          <w:tab w:val="clear" w:pos="2835"/>
          <w:tab w:val="left" w:pos="1276"/>
        </w:tabs>
        <w:ind w:left="1276" w:hanging="709"/>
        <w:rPr>
          <w:szCs w:val="24"/>
        </w:rPr>
      </w:pPr>
    </w:p>
    <w:p w:rsidR="007A53AA" w:rsidRDefault="007A53AA" w:rsidP="00F35F5A">
      <w:pPr>
        <w:pStyle w:val="RKnormal"/>
        <w:tabs>
          <w:tab w:val="clear" w:pos="2835"/>
          <w:tab w:val="left" w:pos="1276"/>
        </w:tabs>
        <w:ind w:left="1276" w:hanging="709"/>
        <w:rPr>
          <w:szCs w:val="24"/>
        </w:rPr>
      </w:pPr>
      <w:r w:rsidRPr="00F958EE">
        <w:rPr>
          <w:szCs w:val="24"/>
        </w:rPr>
        <w:t>=</w:t>
      </w:r>
      <w:r w:rsidRPr="00F958EE">
        <w:rPr>
          <w:szCs w:val="24"/>
        </w:rPr>
        <w:tab/>
      </w:r>
      <w:r w:rsidRPr="00F35F5A">
        <w:rPr>
          <w:szCs w:val="24"/>
        </w:rPr>
        <w:t>Utkast till Europeiska rådets slutsatser</w:t>
      </w:r>
    </w:p>
    <w:p w:rsidR="007A53AA" w:rsidRDefault="007A53AA" w:rsidP="004D133E">
      <w:pPr>
        <w:rPr>
          <w:i/>
        </w:rPr>
      </w:pPr>
    </w:p>
    <w:p w:rsidR="007A53AA" w:rsidRPr="003A6AA4" w:rsidRDefault="007A53AA" w:rsidP="004D133E">
      <w:pPr>
        <w:rPr>
          <w:i/>
        </w:rPr>
      </w:pPr>
      <w:r>
        <w:rPr>
          <w:i/>
        </w:rPr>
        <w:t>Diskussionspunkt</w:t>
      </w:r>
    </w:p>
    <w:p w:rsidR="007A53AA" w:rsidRDefault="007A53AA" w:rsidP="00946C5D">
      <w:pPr>
        <w:spacing w:after="120"/>
        <w:rPr>
          <w:szCs w:val="24"/>
        </w:rPr>
      </w:pPr>
    </w:p>
    <w:p w:rsidR="007A53AA" w:rsidRDefault="007A53AA" w:rsidP="00E21D4A">
      <w:pPr>
        <w:spacing w:after="120"/>
      </w:pPr>
      <w:r>
        <w:t xml:space="preserve">Rådssekretariatets utkast till annoterad dagordning till Europeiska rådets möte har delgivits EU-nämnden. I skrivande stund föreligger inget utkast till slutsatser. </w:t>
      </w:r>
    </w:p>
    <w:p w:rsidR="007A53AA" w:rsidRDefault="007A53AA" w:rsidP="00E21D4A">
      <w:pPr>
        <w:spacing w:after="120"/>
      </w:pPr>
      <w:r>
        <w:t xml:space="preserve">Europeiska rådet förväntas i första hand diskutera de ekonomiska frågorna, med fokus på tillväxt och jobbskapande, och med utgångspunkt i de landspecifika rekommendationerna inom den europeiska terminen. Europeiska rådet väntas nå en överenskommelse om en tillväxtagenda för Europa med åtgärder på både nationell nivå och gemenskapsnivå. </w:t>
      </w:r>
    </w:p>
    <w:p w:rsidR="007A53AA" w:rsidRDefault="007A53AA" w:rsidP="00E21D4A">
      <w:pPr>
        <w:spacing w:after="120"/>
      </w:pPr>
      <w:r>
        <w:t xml:space="preserve">Europeiska rådets ordförande väntas vidare i en rapport lämna förslag på vilka åtgärder som kan övervägas i framtiden om hur samarbetet i första hand inom euroområdet kan fördjupas. </w:t>
      </w:r>
    </w:p>
    <w:p w:rsidR="007A53AA" w:rsidRDefault="007A53AA" w:rsidP="00E21D4A">
      <w:pPr>
        <w:spacing w:after="120"/>
      </w:pPr>
      <w:r>
        <w:t xml:space="preserve">EU:s nästa fleråriga budgetram kommer att behandlas vid mötet, för att ge vägledning i den efterföljande förhandlingsprocessen och för att understryka hur budgetramen kan bidra till tillväxt. </w:t>
      </w:r>
    </w:p>
    <w:p w:rsidR="007A53AA" w:rsidRDefault="007A53AA" w:rsidP="00E21D4A">
      <w:pPr>
        <w:spacing w:after="120"/>
      </w:pPr>
      <w:r>
        <w:t>Dessutom väntas slutsatser om asyl och migration, Schengen-samarbetet och kärnsäkerhet.</w:t>
      </w:r>
    </w:p>
    <w:p w:rsidR="007A53AA" w:rsidRPr="00946C5D" w:rsidRDefault="007A53AA" w:rsidP="00E21D4A">
      <w:pPr>
        <w:spacing w:after="120"/>
      </w:pPr>
      <w:r>
        <w:t>Även aktuella utrikespolitiska frågor kan komma att beröras.</w:t>
      </w:r>
    </w:p>
    <w:p w:rsidR="007A53AA" w:rsidRDefault="007A53AA" w:rsidP="002E1B14">
      <w:pPr>
        <w:pStyle w:val="RKrubrik"/>
        <w:numPr>
          <w:ilvl w:val="0"/>
          <w:numId w:val="5"/>
        </w:numPr>
        <w:ind w:hanging="1500"/>
      </w:pPr>
      <w:r>
        <w:t>Godkännande av A-punktslistan</w:t>
      </w:r>
    </w:p>
    <w:p w:rsidR="007A53AA" w:rsidRDefault="007A53AA" w:rsidP="00F35F5A">
      <w:pPr>
        <w:pStyle w:val="RKnormal"/>
        <w:tabs>
          <w:tab w:val="clear" w:pos="2835"/>
          <w:tab w:val="left" w:pos="1276"/>
        </w:tabs>
        <w:ind w:left="1276" w:hanging="709"/>
        <w:rPr>
          <w:szCs w:val="24"/>
        </w:rPr>
      </w:pPr>
    </w:p>
    <w:p w:rsidR="007A53AA" w:rsidRPr="00F958EE" w:rsidRDefault="007A53AA" w:rsidP="00F35F5A">
      <w:pPr>
        <w:pStyle w:val="RKnormal"/>
        <w:tabs>
          <w:tab w:val="clear" w:pos="2835"/>
          <w:tab w:val="left" w:pos="1276"/>
        </w:tabs>
        <w:ind w:left="1276" w:hanging="709"/>
        <w:rPr>
          <w:szCs w:val="24"/>
        </w:rPr>
      </w:pPr>
    </w:p>
    <w:p w:rsidR="007A53AA" w:rsidRPr="00F35F5A" w:rsidRDefault="007A53AA" w:rsidP="00F35F5A">
      <w:pPr>
        <w:pStyle w:val="RKnormal"/>
      </w:pPr>
    </w:p>
    <w:p w:rsidR="007A53AA" w:rsidRPr="00F958EE" w:rsidRDefault="007A53AA" w:rsidP="00F958EE">
      <w:pPr>
        <w:pStyle w:val="RKnormal"/>
      </w:pPr>
    </w:p>
    <w:p w:rsidR="007A53AA" w:rsidRPr="00F958EE" w:rsidRDefault="007A53AA" w:rsidP="00F958EE">
      <w:pPr>
        <w:pStyle w:val="RKnormal"/>
      </w:pPr>
    </w:p>
    <w:p w:rsidR="007A53AA" w:rsidRDefault="007A53AA"/>
    <w:sectPr w:rsidR="007A53AA" w:rsidSect="00652326">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3AA" w:rsidRDefault="007A53AA">
      <w:pPr>
        <w:spacing w:line="240" w:lineRule="auto"/>
      </w:pPr>
      <w:r>
        <w:separator/>
      </w:r>
    </w:p>
  </w:endnote>
  <w:endnote w:type="continuationSeparator" w:id="0">
    <w:p w:rsidR="007A53AA" w:rsidRDefault="007A53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3AA" w:rsidRDefault="007A53AA">
      <w:pPr>
        <w:spacing w:line="240" w:lineRule="auto"/>
      </w:pPr>
      <w:r>
        <w:separator/>
      </w:r>
    </w:p>
  </w:footnote>
  <w:footnote w:type="continuationSeparator" w:id="0">
    <w:p w:rsidR="007A53AA" w:rsidRDefault="007A53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A" w:rsidRDefault="007A5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A53AA">
      <w:trPr>
        <w:cantSplit/>
      </w:trPr>
      <w:tc>
        <w:tcPr>
          <w:tcW w:w="3119" w:type="dxa"/>
        </w:tcPr>
        <w:p w:rsidR="007A53AA" w:rsidRDefault="007A53AA">
          <w:pPr>
            <w:pStyle w:val="Header"/>
            <w:spacing w:line="200" w:lineRule="atLeast"/>
            <w:ind w:right="357"/>
            <w:rPr>
              <w:rFonts w:ascii="TradeGothic" w:hAnsi="TradeGothic"/>
              <w:b/>
              <w:bCs/>
              <w:sz w:val="16"/>
            </w:rPr>
          </w:pPr>
        </w:p>
      </w:tc>
      <w:tc>
        <w:tcPr>
          <w:tcW w:w="4111" w:type="dxa"/>
          <w:tcMar>
            <w:left w:w="567" w:type="dxa"/>
          </w:tcMar>
        </w:tcPr>
        <w:p w:rsidR="007A53AA" w:rsidRDefault="007A53AA">
          <w:pPr>
            <w:pStyle w:val="Header"/>
            <w:ind w:right="360"/>
          </w:pPr>
        </w:p>
      </w:tc>
      <w:tc>
        <w:tcPr>
          <w:tcW w:w="1525" w:type="dxa"/>
        </w:tcPr>
        <w:p w:rsidR="007A53AA" w:rsidRDefault="007A53AA">
          <w:pPr>
            <w:pStyle w:val="Header"/>
            <w:ind w:right="360"/>
          </w:pPr>
        </w:p>
      </w:tc>
    </w:tr>
  </w:tbl>
  <w:p w:rsidR="007A53AA" w:rsidRDefault="007A53A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A" w:rsidRDefault="007A5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7A53AA">
      <w:trPr>
        <w:cantSplit/>
      </w:trPr>
      <w:tc>
        <w:tcPr>
          <w:tcW w:w="3119" w:type="dxa"/>
        </w:tcPr>
        <w:p w:rsidR="007A53AA" w:rsidRDefault="007A53AA">
          <w:pPr>
            <w:pStyle w:val="Header"/>
            <w:spacing w:line="200" w:lineRule="atLeast"/>
            <w:ind w:right="357"/>
            <w:rPr>
              <w:rFonts w:ascii="TradeGothic" w:hAnsi="TradeGothic"/>
              <w:b/>
              <w:bCs/>
              <w:sz w:val="16"/>
            </w:rPr>
          </w:pPr>
        </w:p>
      </w:tc>
      <w:tc>
        <w:tcPr>
          <w:tcW w:w="4111" w:type="dxa"/>
          <w:tcMar>
            <w:left w:w="567" w:type="dxa"/>
          </w:tcMar>
        </w:tcPr>
        <w:p w:rsidR="007A53AA" w:rsidRDefault="007A53AA">
          <w:pPr>
            <w:pStyle w:val="Header"/>
            <w:ind w:right="360"/>
          </w:pPr>
        </w:p>
      </w:tc>
      <w:tc>
        <w:tcPr>
          <w:tcW w:w="1525" w:type="dxa"/>
        </w:tcPr>
        <w:p w:rsidR="007A53AA" w:rsidRDefault="007A53AA">
          <w:pPr>
            <w:pStyle w:val="Header"/>
            <w:ind w:right="360"/>
          </w:pPr>
        </w:p>
      </w:tc>
    </w:tr>
  </w:tbl>
  <w:p w:rsidR="007A53AA" w:rsidRDefault="007A53A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A" w:rsidRDefault="007A53AA">
    <w:pPr>
      <w:framePr w:w="2948" w:h="1321" w:hRule="exact" w:wrap="notBeside" w:vAnchor="page" w:hAnchor="page" w:x="1362" w:y="653"/>
    </w:pPr>
    <w:r w:rsidRPr="00966F9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A53AA" w:rsidRDefault="007A53AA">
    <w:pPr>
      <w:pStyle w:val="RKrubrik"/>
      <w:keepNext w:val="0"/>
      <w:tabs>
        <w:tab w:val="clear" w:pos="1134"/>
        <w:tab w:val="clear" w:pos="2835"/>
      </w:tabs>
      <w:spacing w:before="0" w:after="0" w:line="320" w:lineRule="atLeast"/>
      <w:rPr>
        <w:bCs/>
      </w:rPr>
    </w:pPr>
  </w:p>
  <w:p w:rsidR="007A53AA" w:rsidRDefault="007A53AA">
    <w:pPr>
      <w:rPr>
        <w:rFonts w:ascii="TradeGothic" w:hAnsi="TradeGothic"/>
        <w:b/>
        <w:bCs/>
        <w:spacing w:val="12"/>
        <w:sz w:val="22"/>
      </w:rPr>
    </w:pPr>
  </w:p>
  <w:p w:rsidR="007A53AA" w:rsidRDefault="007A53AA">
    <w:pPr>
      <w:pStyle w:val="RKrubrik"/>
      <w:keepNext w:val="0"/>
      <w:tabs>
        <w:tab w:val="clear" w:pos="1134"/>
        <w:tab w:val="clear" w:pos="2835"/>
      </w:tabs>
      <w:spacing w:before="0" w:after="0" w:line="320" w:lineRule="atLeast"/>
      <w:rPr>
        <w:bCs/>
      </w:rPr>
    </w:pPr>
  </w:p>
  <w:p w:rsidR="007A53AA" w:rsidRDefault="007A53A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DC0"/>
    <w:multiLevelType w:val="hybridMultilevel"/>
    <w:tmpl w:val="EA346A4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1">
    <w:nsid w:val="0CC174AA"/>
    <w:multiLevelType w:val="hybridMultilevel"/>
    <w:tmpl w:val="F0F0DCFC"/>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E4229AD"/>
    <w:multiLevelType w:val="hybridMultilevel"/>
    <w:tmpl w:val="E64C815C"/>
    <w:lvl w:ilvl="0" w:tplc="46F47FF8">
      <w:start w:val="1"/>
      <w:numFmt w:val="decimal"/>
      <w:lvlText w:val="%1."/>
      <w:lvlJc w:val="left"/>
      <w:pPr>
        <w:ind w:left="1500" w:hanging="1140"/>
      </w:pPr>
      <w:rPr>
        <w:rFonts w:cs="Times New Roman" w:hint="default"/>
        <w:b/>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7845A11"/>
    <w:multiLevelType w:val="hybridMultilevel"/>
    <w:tmpl w:val="1C2E9650"/>
    <w:lvl w:ilvl="0" w:tplc="041D0017">
      <w:start w:val="1"/>
      <w:numFmt w:val="lowerLetter"/>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4">
    <w:nsid w:val="29F13E9C"/>
    <w:multiLevelType w:val="hybridMultilevel"/>
    <w:tmpl w:val="70F4CC32"/>
    <w:lvl w:ilvl="0" w:tplc="46F47FF8">
      <w:start w:val="1"/>
      <w:numFmt w:val="decimal"/>
      <w:lvlText w:val="%1."/>
      <w:lvlJc w:val="left"/>
      <w:pPr>
        <w:ind w:left="1140" w:hanging="114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nsid w:val="2D485321"/>
    <w:multiLevelType w:val="hybridMultilevel"/>
    <w:tmpl w:val="D04443E2"/>
    <w:lvl w:ilvl="0" w:tplc="22F2FA6E">
      <w:start w:val="1"/>
      <w:numFmt w:val="lowerLetter"/>
      <w:lvlText w:val="%1)"/>
      <w:lvlJc w:val="left"/>
      <w:pPr>
        <w:ind w:left="1494" w:hanging="360"/>
      </w:pPr>
      <w:rPr>
        <w:rFonts w:cs="Times New Roman" w:hint="default"/>
      </w:rPr>
    </w:lvl>
    <w:lvl w:ilvl="1" w:tplc="041D0019" w:tentative="1">
      <w:start w:val="1"/>
      <w:numFmt w:val="lowerLetter"/>
      <w:lvlText w:val="%2."/>
      <w:lvlJc w:val="left"/>
      <w:pPr>
        <w:ind w:left="2214" w:hanging="360"/>
      </w:pPr>
      <w:rPr>
        <w:rFonts w:cs="Times New Roman"/>
      </w:rPr>
    </w:lvl>
    <w:lvl w:ilvl="2" w:tplc="041D001B" w:tentative="1">
      <w:start w:val="1"/>
      <w:numFmt w:val="lowerRoman"/>
      <w:lvlText w:val="%3."/>
      <w:lvlJc w:val="right"/>
      <w:pPr>
        <w:ind w:left="2934" w:hanging="180"/>
      </w:pPr>
      <w:rPr>
        <w:rFonts w:cs="Times New Roman"/>
      </w:rPr>
    </w:lvl>
    <w:lvl w:ilvl="3" w:tplc="041D000F" w:tentative="1">
      <w:start w:val="1"/>
      <w:numFmt w:val="decimal"/>
      <w:lvlText w:val="%4."/>
      <w:lvlJc w:val="left"/>
      <w:pPr>
        <w:ind w:left="3654" w:hanging="360"/>
      </w:pPr>
      <w:rPr>
        <w:rFonts w:cs="Times New Roman"/>
      </w:rPr>
    </w:lvl>
    <w:lvl w:ilvl="4" w:tplc="041D0019" w:tentative="1">
      <w:start w:val="1"/>
      <w:numFmt w:val="lowerLetter"/>
      <w:lvlText w:val="%5."/>
      <w:lvlJc w:val="left"/>
      <w:pPr>
        <w:ind w:left="4374" w:hanging="360"/>
      </w:pPr>
      <w:rPr>
        <w:rFonts w:cs="Times New Roman"/>
      </w:rPr>
    </w:lvl>
    <w:lvl w:ilvl="5" w:tplc="041D001B" w:tentative="1">
      <w:start w:val="1"/>
      <w:numFmt w:val="lowerRoman"/>
      <w:lvlText w:val="%6."/>
      <w:lvlJc w:val="right"/>
      <w:pPr>
        <w:ind w:left="5094" w:hanging="180"/>
      </w:pPr>
      <w:rPr>
        <w:rFonts w:cs="Times New Roman"/>
      </w:rPr>
    </w:lvl>
    <w:lvl w:ilvl="6" w:tplc="041D000F" w:tentative="1">
      <w:start w:val="1"/>
      <w:numFmt w:val="decimal"/>
      <w:lvlText w:val="%7."/>
      <w:lvlJc w:val="left"/>
      <w:pPr>
        <w:ind w:left="5814" w:hanging="360"/>
      </w:pPr>
      <w:rPr>
        <w:rFonts w:cs="Times New Roman"/>
      </w:rPr>
    </w:lvl>
    <w:lvl w:ilvl="7" w:tplc="041D0019" w:tentative="1">
      <w:start w:val="1"/>
      <w:numFmt w:val="lowerLetter"/>
      <w:lvlText w:val="%8."/>
      <w:lvlJc w:val="left"/>
      <w:pPr>
        <w:ind w:left="6534" w:hanging="360"/>
      </w:pPr>
      <w:rPr>
        <w:rFonts w:cs="Times New Roman"/>
      </w:rPr>
    </w:lvl>
    <w:lvl w:ilvl="8" w:tplc="041D001B" w:tentative="1">
      <w:start w:val="1"/>
      <w:numFmt w:val="lowerRoman"/>
      <w:lvlText w:val="%9."/>
      <w:lvlJc w:val="right"/>
      <w:pPr>
        <w:ind w:left="7254" w:hanging="180"/>
      </w:pPr>
      <w:rPr>
        <w:rFonts w:cs="Times New Roman"/>
      </w:rPr>
    </w:lvl>
  </w:abstractNum>
  <w:abstractNum w:abstractNumId="6">
    <w:nsid w:val="34822165"/>
    <w:multiLevelType w:val="hybridMultilevel"/>
    <w:tmpl w:val="C748A3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nsid w:val="589050C6"/>
    <w:multiLevelType w:val="hybridMultilevel"/>
    <w:tmpl w:val="EAB4ABD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5A692EE8"/>
    <w:multiLevelType w:val="hybridMultilevel"/>
    <w:tmpl w:val="8F38C472"/>
    <w:lvl w:ilvl="0" w:tplc="46F47FF8">
      <w:start w:val="1"/>
      <w:numFmt w:val="decimal"/>
      <w:lvlText w:val="%1."/>
      <w:lvlJc w:val="left"/>
      <w:pPr>
        <w:ind w:left="360" w:hanging="360"/>
      </w:pPr>
      <w:rPr>
        <w:rFonts w:cs="Times New Roman" w:hint="default"/>
        <w:b/>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9">
    <w:nsid w:val="676E41E6"/>
    <w:multiLevelType w:val="hybridMultilevel"/>
    <w:tmpl w:val="EDFED47A"/>
    <w:lvl w:ilvl="0" w:tplc="DA9411E6">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74790E30"/>
    <w:multiLevelType w:val="hybridMultilevel"/>
    <w:tmpl w:val="EC449546"/>
    <w:lvl w:ilvl="0" w:tplc="22F2FA6E">
      <w:start w:val="1"/>
      <w:numFmt w:val="lowerLetter"/>
      <w:lvlText w:val="%1)"/>
      <w:lvlJc w:val="left"/>
      <w:pPr>
        <w:ind w:left="2574" w:hanging="360"/>
      </w:pPr>
      <w:rPr>
        <w:rFonts w:cs="Times New Roman" w:hint="default"/>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num w:numId="1">
    <w:abstractNumId w:val="1"/>
  </w:num>
  <w:num w:numId="2">
    <w:abstractNumId w:val="3"/>
  </w:num>
  <w:num w:numId="3">
    <w:abstractNumId w:val="6"/>
  </w:num>
  <w:num w:numId="4">
    <w:abstractNumId w:val="7"/>
  </w:num>
  <w:num w:numId="5">
    <w:abstractNumId w:val="2"/>
  </w:num>
  <w:num w:numId="6">
    <w:abstractNumId w:val="4"/>
  </w:num>
  <w:num w:numId="7">
    <w:abstractNumId w:val="9"/>
  </w:num>
  <w:num w:numId="8">
    <w:abstractNumId w:val="0"/>
  </w:num>
  <w:num w:numId="9">
    <w:abstractNumId w:val="1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26"/>
    <w:rsid w:val="000557D9"/>
    <w:rsid w:val="00062B8A"/>
    <w:rsid w:val="00084AFC"/>
    <w:rsid w:val="00091E8B"/>
    <w:rsid w:val="00092FAF"/>
    <w:rsid w:val="000C6244"/>
    <w:rsid w:val="0013451D"/>
    <w:rsid w:val="00170BBA"/>
    <w:rsid w:val="001B0F63"/>
    <w:rsid w:val="001C2AF8"/>
    <w:rsid w:val="001C72F0"/>
    <w:rsid w:val="00202489"/>
    <w:rsid w:val="00224788"/>
    <w:rsid w:val="00292ED8"/>
    <w:rsid w:val="002E1B14"/>
    <w:rsid w:val="002F4832"/>
    <w:rsid w:val="00344B91"/>
    <w:rsid w:val="003A6AA4"/>
    <w:rsid w:val="003E6780"/>
    <w:rsid w:val="0046677B"/>
    <w:rsid w:val="004731F9"/>
    <w:rsid w:val="004C33D9"/>
    <w:rsid w:val="004D133E"/>
    <w:rsid w:val="005671C0"/>
    <w:rsid w:val="00587584"/>
    <w:rsid w:val="00590347"/>
    <w:rsid w:val="005B65E0"/>
    <w:rsid w:val="00652326"/>
    <w:rsid w:val="006C7A28"/>
    <w:rsid w:val="006F1C3E"/>
    <w:rsid w:val="00735788"/>
    <w:rsid w:val="00754E06"/>
    <w:rsid w:val="00764C14"/>
    <w:rsid w:val="00777488"/>
    <w:rsid w:val="00781EC1"/>
    <w:rsid w:val="00793EF3"/>
    <w:rsid w:val="007A53AA"/>
    <w:rsid w:val="00814898"/>
    <w:rsid w:val="00902D28"/>
    <w:rsid w:val="00946C5D"/>
    <w:rsid w:val="00964D52"/>
    <w:rsid w:val="00966F9C"/>
    <w:rsid w:val="00971EF6"/>
    <w:rsid w:val="00984372"/>
    <w:rsid w:val="009A2E3D"/>
    <w:rsid w:val="009F0848"/>
    <w:rsid w:val="00A63F47"/>
    <w:rsid w:val="00AC4D90"/>
    <w:rsid w:val="00AC4FFB"/>
    <w:rsid w:val="00AD3002"/>
    <w:rsid w:val="00AD7158"/>
    <w:rsid w:val="00B261F3"/>
    <w:rsid w:val="00BD6B5A"/>
    <w:rsid w:val="00C108BF"/>
    <w:rsid w:val="00C7590C"/>
    <w:rsid w:val="00CB0E95"/>
    <w:rsid w:val="00CC7583"/>
    <w:rsid w:val="00CF3B85"/>
    <w:rsid w:val="00D06609"/>
    <w:rsid w:val="00E01F33"/>
    <w:rsid w:val="00E06EB6"/>
    <w:rsid w:val="00E21D4A"/>
    <w:rsid w:val="00E836DD"/>
    <w:rsid w:val="00E839D4"/>
    <w:rsid w:val="00EA5280"/>
    <w:rsid w:val="00EC07D5"/>
    <w:rsid w:val="00ED10A8"/>
    <w:rsid w:val="00ED583F"/>
    <w:rsid w:val="00EF10A2"/>
    <w:rsid w:val="00EF69B2"/>
    <w:rsid w:val="00F02EBB"/>
    <w:rsid w:val="00F1679B"/>
    <w:rsid w:val="00F35F5A"/>
    <w:rsid w:val="00F958E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26"/>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5232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652326"/>
    <w:pPr>
      <w:tabs>
        <w:tab w:val="center" w:pos="4153"/>
        <w:tab w:val="right" w:pos="8306"/>
      </w:tabs>
    </w:pPr>
  </w:style>
  <w:style w:type="character" w:customStyle="1" w:styleId="HeaderChar">
    <w:name w:val="Header Char"/>
    <w:basedOn w:val="DefaultParagraphFont"/>
    <w:link w:val="Header"/>
    <w:uiPriority w:val="99"/>
    <w:locked/>
    <w:rsid w:val="00652326"/>
    <w:rPr>
      <w:rFonts w:ascii="OrigGarmnd BT" w:hAnsi="OrigGarmnd BT" w:cs="Times New Roman"/>
      <w:sz w:val="20"/>
      <w:szCs w:val="20"/>
    </w:rPr>
  </w:style>
  <w:style w:type="paragraph" w:customStyle="1" w:styleId="RKnormal">
    <w:name w:val="RKnormal"/>
    <w:basedOn w:val="Normal"/>
    <w:link w:val="RKnormalChar"/>
    <w:uiPriority w:val="99"/>
    <w:rsid w:val="00652326"/>
    <w:pPr>
      <w:tabs>
        <w:tab w:val="left" w:pos="2835"/>
      </w:tabs>
      <w:spacing w:line="240" w:lineRule="atLeast"/>
    </w:pPr>
    <w:rPr>
      <w:lang w:eastAsia="sv-SE"/>
    </w:rPr>
  </w:style>
  <w:style w:type="paragraph" w:customStyle="1" w:styleId="RKrubrik">
    <w:name w:val="RKrubrik"/>
    <w:basedOn w:val="RKnormal"/>
    <w:next w:val="RKnormal"/>
    <w:uiPriority w:val="99"/>
    <w:rsid w:val="0065232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52326"/>
    <w:rPr>
      <w:rFonts w:cs="Times New Roman"/>
    </w:rPr>
  </w:style>
  <w:style w:type="character" w:customStyle="1" w:styleId="RKnormalChar">
    <w:name w:val="RKnormal Char"/>
    <w:link w:val="RKnormal"/>
    <w:uiPriority w:val="99"/>
    <w:locked/>
    <w:rsid w:val="00652326"/>
    <w:rPr>
      <w:rFonts w:ascii="OrigGarmnd BT" w:hAnsi="OrigGarmnd BT"/>
      <w:sz w:val="20"/>
    </w:rPr>
  </w:style>
  <w:style w:type="paragraph" w:customStyle="1" w:styleId="Default">
    <w:name w:val="Default"/>
    <w:uiPriority w:val="99"/>
    <w:rsid w:val="00652326"/>
    <w:pPr>
      <w:autoSpaceDE w:val="0"/>
      <w:autoSpaceDN w:val="0"/>
      <w:adjustRightInd w:val="0"/>
    </w:pPr>
    <w:rPr>
      <w:rFonts w:ascii="OrigGarmnd BT" w:eastAsia="Times New Roman" w:hAnsi="OrigGarmnd BT" w:cs="OrigGarmnd BT"/>
      <w:color w:val="000000"/>
      <w:sz w:val="24"/>
      <w:szCs w:val="24"/>
    </w:rPr>
  </w:style>
  <w:style w:type="paragraph" w:styleId="BalloonText">
    <w:name w:val="Balloon Text"/>
    <w:basedOn w:val="Normal"/>
    <w:link w:val="BalloonTextChar"/>
    <w:uiPriority w:val="99"/>
    <w:semiHidden/>
    <w:rsid w:val="00652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326"/>
    <w:rPr>
      <w:rFonts w:ascii="Tahoma" w:hAnsi="Tahoma" w:cs="Tahoma"/>
      <w:sz w:val="16"/>
      <w:szCs w:val="16"/>
    </w:rPr>
  </w:style>
  <w:style w:type="paragraph" w:styleId="ListParagraph">
    <w:name w:val="List Paragraph"/>
    <w:basedOn w:val="Normal"/>
    <w:uiPriority w:val="99"/>
    <w:qFormat/>
    <w:rsid w:val="00E839D4"/>
    <w:pPr>
      <w:ind w:left="720"/>
      <w:contextualSpacing/>
    </w:pPr>
  </w:style>
  <w:style w:type="character" w:styleId="CommentReference">
    <w:name w:val="annotation reference"/>
    <w:basedOn w:val="DefaultParagraphFont"/>
    <w:uiPriority w:val="99"/>
    <w:semiHidden/>
    <w:rsid w:val="00BD6B5A"/>
    <w:rPr>
      <w:rFonts w:cs="Times New Roman"/>
      <w:sz w:val="16"/>
      <w:szCs w:val="16"/>
    </w:rPr>
  </w:style>
  <w:style w:type="paragraph" w:styleId="CommentText">
    <w:name w:val="annotation text"/>
    <w:basedOn w:val="Normal"/>
    <w:link w:val="CommentTextChar"/>
    <w:uiPriority w:val="99"/>
    <w:semiHidden/>
    <w:rsid w:val="00BD6B5A"/>
    <w:pPr>
      <w:spacing w:line="240" w:lineRule="auto"/>
    </w:pPr>
    <w:rPr>
      <w:sz w:val="20"/>
    </w:rPr>
  </w:style>
  <w:style w:type="character" w:customStyle="1" w:styleId="CommentTextChar">
    <w:name w:val="Comment Text Char"/>
    <w:basedOn w:val="DefaultParagraphFont"/>
    <w:link w:val="CommentText"/>
    <w:uiPriority w:val="99"/>
    <w:semiHidden/>
    <w:locked/>
    <w:rsid w:val="00BD6B5A"/>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BD6B5A"/>
    <w:rPr>
      <w:b/>
      <w:bCs/>
    </w:rPr>
  </w:style>
  <w:style w:type="character" w:customStyle="1" w:styleId="CommentSubjectChar">
    <w:name w:val="Comment Subject Char"/>
    <w:basedOn w:val="CommentTextChar"/>
    <w:link w:val="CommentSubject"/>
    <w:uiPriority w:val="99"/>
    <w:semiHidden/>
    <w:locked/>
    <w:rsid w:val="00BD6B5A"/>
    <w:rPr>
      <w:b/>
      <w:bCs/>
    </w:rPr>
  </w:style>
</w:styles>
</file>

<file path=word/webSettings.xml><?xml version="1.0" encoding="utf-8"?>
<w:webSettings xmlns:r="http://schemas.openxmlformats.org/officeDocument/2006/relationships" xmlns:w="http://schemas.openxmlformats.org/wordprocessingml/2006/main">
  <w:divs>
    <w:div w:id="1008941873">
      <w:marLeft w:val="0"/>
      <w:marRight w:val="0"/>
      <w:marTop w:val="0"/>
      <w:marBottom w:val="0"/>
      <w:divBdr>
        <w:top w:val="none" w:sz="0" w:space="0" w:color="auto"/>
        <w:left w:val="none" w:sz="0" w:space="0" w:color="auto"/>
        <w:bottom w:val="none" w:sz="0" w:space="0" w:color="auto"/>
        <w:right w:val="none" w:sz="0" w:space="0" w:color="auto"/>
      </w:divBdr>
    </w:div>
    <w:div w:id="1008941874">
      <w:marLeft w:val="0"/>
      <w:marRight w:val="0"/>
      <w:marTop w:val="0"/>
      <w:marBottom w:val="0"/>
      <w:divBdr>
        <w:top w:val="none" w:sz="0" w:space="0" w:color="auto"/>
        <w:left w:val="none" w:sz="0" w:space="0" w:color="auto"/>
        <w:bottom w:val="none" w:sz="0" w:space="0" w:color="auto"/>
        <w:right w:val="none" w:sz="0" w:space="0" w:color="auto"/>
      </w:divBdr>
    </w:div>
    <w:div w:id="1008941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1406</Words>
  <Characters>9114</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Kristofer Duarte</dc:creator>
  <cp:keywords/>
  <dc:description/>
  <cp:lastModifiedBy>ha0808ab</cp:lastModifiedBy>
  <cp:revision>2</cp:revision>
  <cp:lastPrinted>2012-06-14T12:36:00Z</cp:lastPrinted>
  <dcterms:created xsi:type="dcterms:W3CDTF">2012-06-14T13:13:00Z</dcterms:created>
  <dcterms:modified xsi:type="dcterms:W3CDTF">2012-06-14T13:13:00Z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Order">
    <vt:r8>4.14078680999917E-302</vt:r8>
  </property>
  <property fmtid="{D5CDD505-2E9C-101B-9397-08002B2CF9AE}" pid="4" name="_dlc_DocIdItemGuid">
    <vt:lpwstr>9f3e6a5a-5a4b-4b30-803c-f1c7421a5515</vt:lpwstr>
  </property>
  <property fmtid="{D5CDD505-2E9C-101B-9397-08002B2CF9AE}" pid="5" name="Sekretess">
    <vt:lpwstr>0</vt:lpwstr>
  </property>
  <property fmtid="{D5CDD505-2E9C-101B-9397-08002B2CF9AE}" pid="6" name="c9cd366cc722410295b9eacffbd73909">
    <vt:lpwstr/>
  </property>
  <property fmtid="{D5CDD505-2E9C-101B-9397-08002B2CF9AE}" pid="7" name="k46d94c0acf84ab9a79866a9d8b1905f">
    <vt:lpwstr/>
  </property>
  <property fmtid="{D5CDD505-2E9C-101B-9397-08002B2CF9AE}" pid="8" name="_dlc_DocId">
    <vt:lpwstr>JE6N4JFJXNNF-9-47857</vt:lpwstr>
  </property>
  <property fmtid="{D5CDD505-2E9C-101B-9397-08002B2CF9AE}" pid="9" name="TaxCatchAll">
    <vt:lpwstr/>
  </property>
  <property fmtid="{D5CDD505-2E9C-101B-9397-08002B2CF9AE}" pid="10" name="_dlc_DocIdUrl">
    <vt:lpwstr>http://rkdhs-sb/enhet/EUKansli/_layouts/DocIdRedir.aspx?ID=JE6N4JFJXNNF-9-47857, JE6N4JFJXNNF-9-47857</vt:lpwstr>
  </property>
  <property fmtid="{D5CDD505-2E9C-101B-9397-08002B2CF9AE}" pid="11" name="Diarienummer">
    <vt:lpwstr/>
  </property>
  <property fmtid="{D5CDD505-2E9C-101B-9397-08002B2CF9AE}" pid="12" name="RKOrdnaCheckInComment">
    <vt:lpwstr/>
  </property>
  <property fmtid="{D5CDD505-2E9C-101B-9397-08002B2CF9AE}" pid="13" name="RKOrdnaClass">
    <vt:lpwstr/>
  </property>
</Properties>
</file>