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341D3">
        <w:tblPrEx>
          <w:tblCellMar>
            <w:top w:w="0" w:type="dxa"/>
            <w:left w:w="0" w:type="dxa"/>
            <w:bottom w:w="0" w:type="dxa"/>
            <w:right w:w="0" w:type="dxa"/>
          </w:tblCellMar>
        </w:tblPrEx>
        <w:trPr>
          <w:gridAfter w:val="2"/>
          <w:wAfter w:w="1758" w:type="dxa"/>
          <w:cantSplit/>
          <w:trHeight w:val="1320"/>
        </w:trPr>
        <w:tc>
          <w:tcPr>
            <w:tcW w:w="5897" w:type="dxa"/>
          </w:tcPr>
          <w:p w:rsidR="00143660" w:rsidRPr="007341D3" w:rsidRDefault="00143660">
            <w:pPr>
              <w:pStyle w:val="HuvudRubrik"/>
            </w:pPr>
            <w:r w:rsidRPr="007341D3">
              <w:t>Regeringskansliet</w:t>
            </w:r>
          </w:p>
          <w:p w:rsidR="00143660" w:rsidRPr="007341D3" w:rsidRDefault="00143660">
            <w:pPr>
              <w:pStyle w:val="HuvudRubrik"/>
            </w:pPr>
            <w:r w:rsidRPr="007341D3">
              <w:t>Faktapromemoria  2011/12:FPM63</w:t>
            </w:r>
          </w:p>
        </w:tc>
      </w:tr>
      <w:tr w:rsidR="00000000" w:rsidRPr="007341D3">
        <w:tblPrEx>
          <w:tblCellMar>
            <w:top w:w="0" w:type="dxa"/>
            <w:left w:w="0" w:type="dxa"/>
            <w:bottom w:w="0" w:type="dxa"/>
            <w:right w:w="0" w:type="dxa"/>
          </w:tblCellMar>
        </w:tblPrEx>
        <w:trPr>
          <w:gridAfter w:val="2"/>
          <w:wAfter w:w="1758" w:type="dxa"/>
          <w:cantSplit/>
          <w:trHeight w:val="240"/>
        </w:trPr>
        <w:tc>
          <w:tcPr>
            <w:tcW w:w="5897" w:type="dxa"/>
          </w:tcPr>
          <w:p w:rsidR="00143660" w:rsidRPr="007341D3" w:rsidRDefault="00143660">
            <w:pPr>
              <w:pStyle w:val="HuvudRubrik"/>
              <w:rPr>
                <w:sz w:val="28"/>
              </w:rPr>
            </w:pPr>
            <w:r w:rsidRPr="007341D3">
              <w:t>Kommissionens arbetsprogram 2012</w:t>
            </w:r>
          </w:p>
        </w:tc>
      </w:tr>
      <w:tr w:rsidR="00000000" w:rsidRPr="007341D3">
        <w:tblPrEx>
          <w:tblCellMar>
            <w:top w:w="0" w:type="dxa"/>
            <w:left w:w="0" w:type="dxa"/>
            <w:bottom w:w="0" w:type="dxa"/>
            <w:right w:w="0" w:type="dxa"/>
          </w:tblCellMar>
        </w:tblPrEx>
        <w:trPr>
          <w:cantSplit/>
          <w:trHeight w:val="285"/>
        </w:trPr>
        <w:tc>
          <w:tcPr>
            <w:tcW w:w="7655" w:type="dxa"/>
            <w:gridSpan w:val="3"/>
          </w:tcPr>
          <w:p w:rsidR="00143660" w:rsidRPr="007341D3" w:rsidRDefault="00143660">
            <w:pPr>
              <w:pStyle w:val="Departement"/>
              <w:rPr>
                <w:sz w:val="28"/>
              </w:rPr>
            </w:pPr>
            <w:r w:rsidRPr="007341D3">
              <w:t>Statsrådsberedningen</w:t>
            </w:r>
          </w:p>
        </w:tc>
      </w:tr>
      <w:tr w:rsidR="00000000" w:rsidRPr="007341D3">
        <w:tblPrEx>
          <w:tblCellMar>
            <w:top w:w="0" w:type="dxa"/>
            <w:left w:w="0" w:type="dxa"/>
            <w:bottom w:w="0" w:type="dxa"/>
            <w:right w:w="0" w:type="dxa"/>
          </w:tblCellMar>
        </w:tblPrEx>
        <w:trPr>
          <w:cantSplit/>
          <w:trHeight w:val="240"/>
        </w:trPr>
        <w:tc>
          <w:tcPr>
            <w:tcW w:w="7655" w:type="dxa"/>
            <w:gridSpan w:val="3"/>
          </w:tcPr>
          <w:p w:rsidR="00143660" w:rsidRPr="007341D3" w:rsidRDefault="00143660">
            <w:pPr>
              <w:pStyle w:val="Dokumentdatum"/>
            </w:pPr>
            <w:r w:rsidRPr="007341D3">
              <w:t>2011-12-20</w:t>
            </w:r>
          </w:p>
        </w:tc>
      </w:tr>
      <w:tr w:rsidR="00000000" w:rsidRPr="007341D3">
        <w:tblPrEx>
          <w:tblCellMar>
            <w:top w:w="0" w:type="dxa"/>
            <w:left w:w="0" w:type="dxa"/>
            <w:bottom w:w="0" w:type="dxa"/>
            <w:right w:w="0" w:type="dxa"/>
          </w:tblCellMar>
        </w:tblPrEx>
        <w:trPr>
          <w:cantSplit/>
          <w:trHeight w:val="726"/>
        </w:trPr>
        <w:tc>
          <w:tcPr>
            <w:tcW w:w="7655" w:type="dxa"/>
            <w:gridSpan w:val="3"/>
            <w:vAlign w:val="bottom"/>
          </w:tcPr>
          <w:p w:rsidR="00143660" w:rsidRPr="007341D3" w:rsidRDefault="00143660">
            <w:pPr>
              <w:pStyle w:val="Dokumentbeteckning"/>
            </w:pPr>
            <w:r w:rsidRPr="007341D3">
              <w:t>Dokumentbeteckning</w:t>
            </w:r>
          </w:p>
        </w:tc>
      </w:tr>
      <w:tr w:rsidR="00000000" w:rsidRPr="007341D3">
        <w:tblPrEx>
          <w:tblCellMar>
            <w:top w:w="0" w:type="dxa"/>
            <w:left w:w="0" w:type="dxa"/>
            <w:bottom w:w="0" w:type="dxa"/>
            <w:right w:w="0" w:type="dxa"/>
          </w:tblCellMar>
        </w:tblPrEx>
        <w:trPr>
          <w:gridAfter w:val="1"/>
          <w:wAfter w:w="1560" w:type="dxa"/>
          <w:trHeight w:val="120"/>
        </w:trPr>
        <w:tc>
          <w:tcPr>
            <w:tcW w:w="6095" w:type="dxa"/>
            <w:gridSpan w:val="2"/>
          </w:tcPr>
          <w:p w:rsidR="00143660" w:rsidRPr="007341D3" w:rsidRDefault="00143660">
            <w:bookmarkStart w:id="0" w:name="KomNr"/>
            <w:bookmarkEnd w:id="0"/>
            <w:r w:rsidRPr="007341D3">
              <w:t>KOM (2011) 777</w:t>
            </w:r>
          </w:p>
        </w:tc>
      </w:tr>
      <w:tr w:rsidR="00000000" w:rsidRPr="007341D3">
        <w:tblPrEx>
          <w:tblCellMar>
            <w:top w:w="0" w:type="dxa"/>
            <w:left w:w="0" w:type="dxa"/>
            <w:bottom w:w="0" w:type="dxa"/>
            <w:right w:w="0" w:type="dxa"/>
          </w:tblCellMar>
        </w:tblPrEx>
        <w:trPr>
          <w:gridAfter w:val="1"/>
          <w:wAfter w:w="1560" w:type="dxa"/>
          <w:trHeight w:val="120"/>
        </w:trPr>
        <w:tc>
          <w:tcPr>
            <w:tcW w:w="6095" w:type="dxa"/>
            <w:gridSpan w:val="2"/>
          </w:tcPr>
          <w:p w:rsidR="00143660" w:rsidRPr="007341D3" w:rsidRDefault="00143660">
            <w:pPr>
              <w:pStyle w:val="Dokumentbeteckning-titel"/>
            </w:pPr>
            <w:r w:rsidRPr="007341D3">
              <w:t>Meddelande från kommissionen till Europaparlamentet, rådet, Europeiska ekonomiska och sociala kommittén och Regionkommittén: Kommissionens arbetsprogram 2012 - att skapa europeisk förnyelse</w:t>
            </w:r>
          </w:p>
        </w:tc>
      </w:tr>
    </w:tbl>
    <w:p w:rsidR="00143660" w:rsidRPr="007341D3" w:rsidRDefault="00143660"/>
    <w:p w:rsidR="00143660" w:rsidRPr="007341D3" w:rsidRDefault="00143660">
      <w:pPr>
        <w:pStyle w:val="Rubrik1"/>
        <w:numPr>
          <w:ilvl w:val="0"/>
          <w:numId w:val="0"/>
        </w:numPr>
      </w:pPr>
      <w:r w:rsidRPr="007341D3">
        <w:t>Sammanfattning</w:t>
      </w:r>
    </w:p>
    <w:p w:rsidR="00143660" w:rsidRPr="007341D3" w:rsidRDefault="00143660">
      <w:r w:rsidRPr="007341D3">
        <w:t>Kommissionen anger i sitt årliga arbetsprogram sina politiska prioriteringar för år 2012. Prioriteringarna handlar om att bygga en stabil och ansvarstagande Europeisk Union; att bygga en Europeisk Union med hållbar tillväxt och solidaritet; att ge EU en stark stämma i internationella sammanhang; samt att förbättra lagstiftningen och dess tillämpning.</w:t>
      </w:r>
    </w:p>
    <w:p w:rsidR="00143660" w:rsidRPr="007341D3" w:rsidRDefault="00143660">
      <w:r w:rsidRPr="007341D3">
        <w:t xml:space="preserve">I arbetsprogrammet beskrivs också kortfattat varje enskilt initiativ som planeras att presenteras under 2012, 2013 och 2014. Arbetsprogrammet innehåller även förslag som syftar till regelförenkling och minskade administrativa bördor. Dessutom informerar kommissionen vilka lagförslag som kommissionen avser att dra tillbaka. </w:t>
      </w:r>
    </w:p>
    <w:p w:rsidR="00143660" w:rsidRPr="007341D3" w:rsidRDefault="00143660">
      <w:r w:rsidRPr="007341D3">
        <w:t>De aviserade initiativen är till stor del inriktade på hantering av den ekonomiska krisen och ekonomisk återhämtning genom Europa 2020-strategin och den inre marknaden men innehåller också åtgärder för att hantera andra utmaningar som klimat, miljö, asyl och migration m.m.</w:t>
      </w:r>
    </w:p>
    <w:p w:rsidR="00143660" w:rsidRPr="007341D3" w:rsidRDefault="00143660">
      <w:r w:rsidRPr="007341D3">
        <w:t>Regeringen är positiv till att kommissionen presenterar ett arbetsprogram med specifika initiativ. Det underlättar medlemsstaternas möjlighet att planera EU-arbetet och bidrar till öppenhet kring EU:s lagstiftningsprocess. Beträffande de prioriterade områdena ligger de i huvudsak i linje med regeringens EU-politik. Varje enskilt initiativ som presenteras måste dock bedömas och beredas på sina egna meriter. Regeringen kommer att få anledning att återkomma till riksdagen allt eftersom de enskilda lagstiftnin</w:t>
      </w:r>
      <w:r w:rsidRPr="007341D3">
        <w:t>gsinitiativen presenteras.</w:t>
      </w:r>
    </w:p>
    <w:p w:rsidR="00143660" w:rsidRPr="007341D3" w:rsidRDefault="00143660">
      <w:pPr>
        <w:pStyle w:val="Rubrik1"/>
      </w:pPr>
      <w:r w:rsidRPr="007341D3">
        <w:lastRenderedPageBreak/>
        <w:t>Förslaget</w:t>
      </w:r>
    </w:p>
    <w:p w:rsidR="00143660" w:rsidRPr="007341D3" w:rsidRDefault="00143660">
      <w:pPr>
        <w:pStyle w:val="Rubrik2"/>
      </w:pPr>
      <w:r w:rsidRPr="007341D3">
        <w:t>Ärendets bakgrund</w:t>
      </w:r>
    </w:p>
    <w:p w:rsidR="00143660" w:rsidRPr="007341D3" w:rsidRDefault="00143660">
      <w:r w:rsidRPr="007341D3">
        <w:t>Kommissionens årliga arbetsprogram anger politiska prioriteringar och anger vilka initiativ som kommissionen avser att presentera under 2012. För att öka framförhållningen aviserar kommissionen vidare planerade initiativ för åren 2013 och 2014. I egenskap av förslagsställare har kommissionens stort inflytande på EU:s dagordning. Det innebär att arbetsprogrammet påverkar vilka EU-frågor regeringen kommer ägna sig åt under kommande år.</w:t>
      </w:r>
    </w:p>
    <w:p w:rsidR="00143660" w:rsidRPr="007341D3" w:rsidRDefault="00143660">
      <w:pPr>
        <w:pStyle w:val="Rubrik2"/>
      </w:pPr>
      <w:r w:rsidRPr="007341D3">
        <w:t>Förslagets innehåll</w:t>
      </w:r>
    </w:p>
    <w:p w:rsidR="00143660" w:rsidRPr="007341D3" w:rsidRDefault="00143660">
      <w:r w:rsidRPr="007341D3">
        <w:t xml:space="preserve">Arbetsprogrammet innehåller kommissionens prioriteringar för år 2012 och är indelat i fyra avsnitt: </w:t>
      </w:r>
      <w:r w:rsidRPr="007341D3">
        <w:rPr>
          <w:i/>
        </w:rPr>
        <w:t>Att bygga en stabil och ansvarstagande Europeisk Union; Att bygga en Europeisk Union med hållbar tillväxt och solidaritet; Att ge EU en stark stämma i internationella sammanhang; och Bättre lagstiftning och effektiv tillämpning</w:t>
      </w:r>
      <w:r w:rsidRPr="007341D3">
        <w:t>.</w:t>
      </w:r>
    </w:p>
    <w:p w:rsidR="00143660" w:rsidRPr="007341D3" w:rsidRDefault="00143660">
      <w:r w:rsidRPr="007341D3">
        <w:t xml:space="preserve">Till arbetsprogrammet hör en bilaga där 129 specifika initiativ beskrivs kortfattat. De aviserade initiativen är till stor del inriktade på hantering av den ekonomiska krisen och ekonomisk återhämtning genom Europa 2020-strategin och den inre marknaden men innehåller också åtgärder </w:t>
      </w:r>
      <w:r w:rsidRPr="007341D3">
        <w:t>för att hantera andra utmaningar som klimat, miljö, asyl och migration m.m.</w:t>
      </w:r>
    </w:p>
    <w:p w:rsidR="00143660" w:rsidRPr="007341D3" w:rsidRDefault="00143660">
      <w:r w:rsidRPr="007341D3">
        <w:t>Kommissionens skriver att arbetsprogrammet för 2012 har upprättats för att balansera behovet av att agera på kort sikt till följd av krisen och att bidra till att utforma en välmående och hållbar Europeisk union i framtiden. Kommissionen menar därför att de flesta av de nya förslagen i bilagan till arbetsprogrammet inriktas på det långsiktiga perspektivet. Förslagen inrättar eller kompletterar den rättsliga ram som krävs för att kun</w:t>
      </w:r>
      <w:r w:rsidRPr="007341D3">
        <w:t>na dra full nytta av EU:s insatser och för att bidra till en hållbar tillväxt, god sysselsättning och ett rättvist samhälle inom hela den Europeiska unionen.</w:t>
      </w:r>
    </w:p>
    <w:p w:rsidR="00143660" w:rsidRPr="007341D3" w:rsidRDefault="00143660">
      <w:pPr>
        <w:pStyle w:val="Rubrik5"/>
        <w:rPr>
          <w:i/>
        </w:rPr>
      </w:pPr>
      <w:r w:rsidRPr="007341D3">
        <w:rPr>
          <w:i/>
        </w:rPr>
        <w:t xml:space="preserve">Att bygga en stabil och ansvarstagande Europeisk Union. </w:t>
      </w:r>
    </w:p>
    <w:p w:rsidR="00143660" w:rsidRPr="007341D3" w:rsidRDefault="00143660">
      <w:r w:rsidRPr="007341D3">
        <w:t>Kommissionen lägger stor vikt vid åtgärder för att hantera skuldkrisen och för att vända ekonomin mot tillväxt och sysselsättning. Genomförandet av Europa 2020-strategin och paketet för ekonomisk styrning (s.k. 6-packet) är viktiga element i detta arbete. Det finns enligt kommissionen behov av att agera snabbt och bestämt för att genomföra och tidigarelägga reformer.</w:t>
      </w:r>
    </w:p>
    <w:p w:rsidR="00143660" w:rsidRPr="007341D3" w:rsidRDefault="00143660">
      <w:r w:rsidRPr="007341D3">
        <w:t xml:space="preserve">En viktig del i detta arbete är reformeringen av finanssektorn. Kommissionen anger att flera initiativ redan ha antagits eller lagts, t.ex. </w:t>
      </w:r>
      <w:r w:rsidRPr="007341D3">
        <w:rPr>
          <w:i/>
        </w:rPr>
        <w:t>derivat</w:t>
      </w:r>
      <w:r w:rsidRPr="007341D3">
        <w:t xml:space="preserve">, </w:t>
      </w:r>
      <w:r w:rsidRPr="007341D3">
        <w:rPr>
          <w:i/>
        </w:rPr>
        <w:t>kreditvärderingsinstitut</w:t>
      </w:r>
      <w:r w:rsidRPr="007341D3">
        <w:t xml:space="preserve">, </w:t>
      </w:r>
      <w:r w:rsidRPr="007341D3">
        <w:rPr>
          <w:i/>
        </w:rPr>
        <w:t>kapitaltäckningskrav</w:t>
      </w:r>
      <w:r w:rsidRPr="007341D3">
        <w:t xml:space="preserve">, </w:t>
      </w:r>
      <w:r w:rsidRPr="007341D3">
        <w:rPr>
          <w:i/>
        </w:rPr>
        <w:t>sundare och mer insynsvänliga värdepappersmarknader</w:t>
      </w:r>
      <w:r w:rsidRPr="007341D3">
        <w:t xml:space="preserve"> samt </w:t>
      </w:r>
      <w:r w:rsidRPr="007341D3">
        <w:rPr>
          <w:i/>
        </w:rPr>
        <w:t>åtgärder mot marknadsmissbruk</w:t>
      </w:r>
      <w:r w:rsidRPr="007341D3">
        <w:t xml:space="preserve">. Kommissionen anser att EU bör ha som målsättning att slutföra reformerna under 2012. Ytterligare förslag kommer att presenteras under 2012, bl.a. lagstiftning om </w:t>
      </w:r>
      <w:r w:rsidRPr="007341D3">
        <w:rPr>
          <w:i/>
        </w:rPr>
        <w:t>skydd av investerare</w:t>
      </w:r>
      <w:r w:rsidRPr="007341D3">
        <w:t xml:space="preserve"> och en översyn av bestämmelserna om </w:t>
      </w:r>
      <w:r w:rsidRPr="007341D3">
        <w:rPr>
          <w:i/>
        </w:rPr>
        <w:t>kollektiva investeringar i överlåtbara värdepapper</w:t>
      </w:r>
      <w:r w:rsidRPr="007341D3">
        <w:t>.</w:t>
      </w:r>
    </w:p>
    <w:p w:rsidR="00143660" w:rsidRPr="007341D3" w:rsidRDefault="00143660">
      <w:r w:rsidRPr="007341D3">
        <w:t>Kommissionen påtalar vidare att EU:s tillväxtagenda utgör ett viktigt bidrag till arbetet med at</w:t>
      </w:r>
      <w:r w:rsidRPr="007341D3">
        <w:t xml:space="preserve">t återställa statsfinanserna. Kommissionen understryker att det är medlemsstaterna som beslutar om beskattning, men att EU-åtgärder, t.ex. de redan presenterade förslagen om </w:t>
      </w:r>
      <w:r w:rsidRPr="007341D3">
        <w:rPr>
          <w:i/>
        </w:rPr>
        <w:t>energibeskattning</w:t>
      </w:r>
      <w:r w:rsidRPr="007341D3">
        <w:t xml:space="preserve">, </w:t>
      </w:r>
      <w:r w:rsidRPr="007341D3">
        <w:rPr>
          <w:i/>
        </w:rPr>
        <w:t>finansiell transaktionsskatt</w:t>
      </w:r>
      <w:r w:rsidRPr="007341D3">
        <w:t xml:space="preserve"> och en </w:t>
      </w:r>
      <w:r w:rsidRPr="007341D3">
        <w:rPr>
          <w:i/>
        </w:rPr>
        <w:t>gemensam konsoliderad bolagsskattebas</w:t>
      </w:r>
      <w:r w:rsidRPr="007341D3">
        <w:t xml:space="preserve">, kan hjälpa medlemsstaterna att se till att välfärden kan fortsätta finansieras även i framtiden. Under 2012 kommer kommissionen att lägga grunden för ett </w:t>
      </w:r>
      <w:r w:rsidRPr="007341D3">
        <w:rPr>
          <w:i/>
        </w:rPr>
        <w:t>modernt momssystem</w:t>
      </w:r>
      <w:r w:rsidRPr="007341D3">
        <w:t xml:space="preserve"> för att göra det möjligt att förenkla för små- och medelstora företag s</w:t>
      </w:r>
      <w:r w:rsidRPr="007341D3">
        <w:t xml:space="preserve">om verkar i flera länder. En strategi för hur medlemsstaterna kan hantera s.k. </w:t>
      </w:r>
      <w:r w:rsidRPr="007341D3">
        <w:rPr>
          <w:i/>
        </w:rPr>
        <w:t>skatteparadis</w:t>
      </w:r>
      <w:r w:rsidRPr="007341D3">
        <w:t xml:space="preserve"> kommer också att föreslås. Vidare kommer kommissionen att lägga förslag om </w:t>
      </w:r>
      <w:r w:rsidRPr="007341D3">
        <w:rPr>
          <w:i/>
        </w:rPr>
        <w:t>straffrättsligt skydd av EU:s ekonomiska intressen</w:t>
      </w:r>
      <w:r w:rsidRPr="007341D3">
        <w:t xml:space="preserve">.  </w:t>
      </w:r>
    </w:p>
    <w:p w:rsidR="00143660" w:rsidRPr="007341D3" w:rsidRDefault="00143660">
      <w:pPr>
        <w:pStyle w:val="Rubrik5"/>
        <w:rPr>
          <w:i/>
          <w:iCs/>
        </w:rPr>
      </w:pPr>
      <w:r w:rsidRPr="007341D3">
        <w:rPr>
          <w:i/>
          <w:iCs/>
        </w:rPr>
        <w:t>Att bygga en Europeisk Union med hållbar tillväxt och solidaritet.</w:t>
      </w:r>
    </w:p>
    <w:p w:rsidR="00143660" w:rsidRPr="007341D3" w:rsidRDefault="00143660">
      <w:pPr>
        <w:pStyle w:val="Rubrik5"/>
        <w:numPr>
          <w:ilvl w:val="0"/>
          <w:numId w:val="0"/>
        </w:numPr>
        <w:jc w:val="both"/>
        <w:rPr>
          <w:rStyle w:val="CharChar"/>
          <w:iCs/>
        </w:rPr>
      </w:pPr>
      <w:r w:rsidRPr="007341D3">
        <w:rPr>
          <w:rStyle w:val="CharChar"/>
          <w:iCs/>
        </w:rPr>
        <w:t xml:space="preserve">Kommissionen påtalar att för att återställa hållbar tillväxt och skapa sysselsättning krävs det positiva åtgärder från EU:s och medlemsstaternas sida som ökar konkurrenskraften och främjar social delaktighet. Kommissionen menar vidare att den inre marknaden är EU:s viktigaste verktyg för tillväxt och sysselsättning. Av detta skäl understryks vikten av skyndsam behandling av de 12 huvudförslagen i </w:t>
      </w:r>
      <w:r w:rsidRPr="007341D3">
        <w:rPr>
          <w:rStyle w:val="CharChar"/>
          <w:i/>
          <w:iCs/>
        </w:rPr>
        <w:t>inremarknadsakten</w:t>
      </w:r>
      <w:r w:rsidRPr="007341D3">
        <w:rPr>
          <w:rStyle w:val="CharChar"/>
          <w:iCs/>
        </w:rPr>
        <w:t xml:space="preserve">. Arbetet med att fördjupa tillämpningen och genomförandet på den inre markanden kommer att fortsätta under 2012. Områden som kommer att vara i fokus är </w:t>
      </w:r>
      <w:r w:rsidRPr="007341D3">
        <w:rPr>
          <w:rStyle w:val="CharChar"/>
          <w:i/>
          <w:iCs/>
        </w:rPr>
        <w:t>sammankopplingen av nationella forskningssystem</w:t>
      </w:r>
      <w:r w:rsidRPr="007341D3">
        <w:rPr>
          <w:rStyle w:val="CharChar"/>
          <w:iCs/>
        </w:rPr>
        <w:t xml:space="preserve"> och inrättandet av ett strukturerat, rörligt och effektivt </w:t>
      </w:r>
      <w:r w:rsidRPr="007341D3">
        <w:rPr>
          <w:rStyle w:val="CharChar"/>
          <w:i/>
          <w:iCs/>
        </w:rPr>
        <w:t>europeiskt forskningsområde</w:t>
      </w:r>
      <w:r w:rsidRPr="007341D3">
        <w:rPr>
          <w:rStyle w:val="CharChar"/>
          <w:iCs/>
        </w:rPr>
        <w:t xml:space="preserve">, fullständig tillämpning av det </w:t>
      </w:r>
      <w:r w:rsidRPr="007341D3">
        <w:rPr>
          <w:rStyle w:val="CharChar"/>
          <w:i/>
          <w:iCs/>
        </w:rPr>
        <w:t>gemensamma europeiska luftrummet</w:t>
      </w:r>
      <w:r w:rsidRPr="007341D3">
        <w:rPr>
          <w:rStyle w:val="CharChar"/>
          <w:iCs/>
        </w:rPr>
        <w:t xml:space="preserve"> och fullt genomförande av </w:t>
      </w:r>
      <w:r w:rsidRPr="007341D3">
        <w:rPr>
          <w:rStyle w:val="CharChar"/>
          <w:i/>
          <w:iCs/>
        </w:rPr>
        <w:t>tjänstedirektivet</w:t>
      </w:r>
      <w:r w:rsidRPr="007341D3">
        <w:rPr>
          <w:rStyle w:val="CharChar"/>
          <w:iCs/>
        </w:rPr>
        <w:t>.</w:t>
      </w:r>
    </w:p>
    <w:p w:rsidR="00143660" w:rsidRPr="007341D3" w:rsidRDefault="00143660">
      <w:pPr>
        <w:rPr>
          <w:rStyle w:val="CharChar"/>
        </w:rPr>
      </w:pPr>
      <w:r w:rsidRPr="007341D3">
        <w:rPr>
          <w:rStyle w:val="CharChar"/>
        </w:rPr>
        <w:t xml:space="preserve">En annan hävstång för ekonomisk tillväxt som kommissionen nämner är genomförandet av </w:t>
      </w:r>
      <w:r w:rsidRPr="007341D3">
        <w:rPr>
          <w:rStyle w:val="CharChar"/>
          <w:i/>
        </w:rPr>
        <w:t>den inre energimarknaden</w:t>
      </w:r>
      <w:r w:rsidRPr="007341D3">
        <w:rPr>
          <w:rStyle w:val="CharChar"/>
        </w:rPr>
        <w:t xml:space="preserve"> till 2014. Nya förslag om </w:t>
      </w:r>
      <w:r w:rsidRPr="007341D3">
        <w:rPr>
          <w:rStyle w:val="CharChar"/>
          <w:i/>
        </w:rPr>
        <w:t>avreglering av järnvägstrafiken</w:t>
      </w:r>
      <w:r w:rsidRPr="007341D3">
        <w:rPr>
          <w:rStyle w:val="CharChar"/>
        </w:rPr>
        <w:t xml:space="preserve"> är också att vänta och kommer enligt kommissionen att bidra till minskade koldioxidutsläpp, ökad konkurrenskraft och nya innovativa och kundinriktade lösningar. </w:t>
      </w:r>
      <w:r w:rsidRPr="007341D3">
        <w:rPr>
          <w:rStyle w:val="CharChar"/>
          <w:i/>
        </w:rPr>
        <w:t>Den digitala inre marknaden</w:t>
      </w:r>
      <w:r w:rsidRPr="007341D3">
        <w:rPr>
          <w:rStyle w:val="CharChar"/>
        </w:rPr>
        <w:t xml:space="preserve"> kommer att utvecklas och kommissionen avser att lägga förslag i syfte att främja den gränsöverskridande elektroniska handeln vad gäller exempelvis tjänster och onlinehandel, bl.a. genom </w:t>
      </w:r>
      <w:r w:rsidRPr="007341D3">
        <w:rPr>
          <w:rStyle w:val="CharChar"/>
          <w:i/>
        </w:rPr>
        <w:t>förvaltning av intellektuell äganderätt</w:t>
      </w:r>
      <w:r w:rsidRPr="007341D3">
        <w:rPr>
          <w:rStyle w:val="CharChar"/>
        </w:rPr>
        <w:t xml:space="preserve"> och bestämmels</w:t>
      </w:r>
      <w:r w:rsidRPr="007341D3">
        <w:rPr>
          <w:rStyle w:val="CharChar"/>
        </w:rPr>
        <w:t xml:space="preserve">er om </w:t>
      </w:r>
      <w:r w:rsidRPr="007341D3">
        <w:rPr>
          <w:rStyle w:val="CharChar"/>
          <w:i/>
        </w:rPr>
        <w:t>gränsöverskridande licensiering av musik on-line</w:t>
      </w:r>
      <w:r w:rsidRPr="007341D3">
        <w:rPr>
          <w:rStyle w:val="CharChar"/>
        </w:rPr>
        <w:t xml:space="preserve"> och </w:t>
      </w:r>
      <w:r w:rsidRPr="007341D3">
        <w:rPr>
          <w:rStyle w:val="CharChar"/>
          <w:i/>
        </w:rPr>
        <w:t>ömsesidigt erkännande av elektronisk identifiering och elektroniska underskrifter</w:t>
      </w:r>
      <w:r w:rsidRPr="007341D3">
        <w:rPr>
          <w:rStyle w:val="CharChar"/>
        </w:rPr>
        <w:t xml:space="preserve">. På konsumentområdet väntas förslag om nya </w:t>
      </w:r>
      <w:r w:rsidRPr="007341D3">
        <w:rPr>
          <w:rStyle w:val="CharChar"/>
          <w:i/>
        </w:rPr>
        <w:t>produktsäkerhetsåtgärder</w:t>
      </w:r>
      <w:r w:rsidRPr="007341D3">
        <w:rPr>
          <w:rStyle w:val="CharChar"/>
        </w:rPr>
        <w:t xml:space="preserve"> och </w:t>
      </w:r>
      <w:r w:rsidRPr="007341D3">
        <w:rPr>
          <w:rStyle w:val="CharChar"/>
          <w:i/>
        </w:rPr>
        <w:t>gemensamma regler för klagomål</w:t>
      </w:r>
      <w:r w:rsidRPr="007341D3">
        <w:rPr>
          <w:rStyle w:val="CharChar"/>
        </w:rPr>
        <w:t>.</w:t>
      </w:r>
    </w:p>
    <w:p w:rsidR="00143660" w:rsidRPr="007341D3" w:rsidRDefault="00143660">
      <w:pPr>
        <w:rPr>
          <w:rStyle w:val="NormaltindragChar"/>
        </w:rPr>
      </w:pPr>
      <w:r w:rsidRPr="007341D3">
        <w:rPr>
          <w:rStyle w:val="NormaltindragChar"/>
        </w:rPr>
        <w:t xml:space="preserve">Kommissionen konstaterar att sysselsättningen är en av Europas största utmaningar och menar att EU kan bidra väsentligt till arbetet genom de flaggskeppsinitiativ som presenterats inom ramen för Europa 2020-strategin och förslagen till den nya </w:t>
      </w:r>
      <w:r w:rsidRPr="007341D3">
        <w:rPr>
          <w:rStyle w:val="NormaltindragChar"/>
          <w:i/>
        </w:rPr>
        <w:t>Europeiska socialfonden</w:t>
      </w:r>
      <w:r w:rsidRPr="007341D3">
        <w:rPr>
          <w:rStyle w:val="NormaltindragChar"/>
        </w:rPr>
        <w:t xml:space="preserve">, </w:t>
      </w:r>
      <w:r w:rsidRPr="007341D3">
        <w:rPr>
          <w:rStyle w:val="NormaltindragChar"/>
          <w:i/>
        </w:rPr>
        <w:t>globaliseringsfonden</w:t>
      </w:r>
      <w:r w:rsidRPr="007341D3">
        <w:rPr>
          <w:rStyle w:val="NormaltindragChar"/>
        </w:rPr>
        <w:t xml:space="preserve"> och </w:t>
      </w:r>
      <w:r w:rsidRPr="007341D3">
        <w:rPr>
          <w:rStyle w:val="NormaltindragChar"/>
          <w:i/>
        </w:rPr>
        <w:t>Erasmus-programmet</w:t>
      </w:r>
      <w:r w:rsidRPr="007341D3">
        <w:rPr>
          <w:rStyle w:val="NormaltindragChar"/>
        </w:rPr>
        <w:t xml:space="preserve">. Kommission kommer att beskriva hur EU kan bidra till hanteringen av ungdomsarbetslösheten, genom att bl.a. främja arbetslösa ungdomars rörlighet. I nära samarbete med arbetsmarknadens parter kommer kommissionen att se över </w:t>
      </w:r>
      <w:r w:rsidRPr="007341D3">
        <w:rPr>
          <w:rStyle w:val="NormaltindragChar"/>
          <w:i/>
        </w:rPr>
        <w:t>principerna för flexicurity</w:t>
      </w:r>
      <w:r w:rsidRPr="007341D3">
        <w:rPr>
          <w:rStyle w:val="NormaltindragChar"/>
        </w:rPr>
        <w:t xml:space="preserve"> och kommissionen kommer också att föreslå hur nationella arbetsförmedlingar kan förstärkas samt hur </w:t>
      </w:r>
      <w:r w:rsidRPr="007341D3">
        <w:rPr>
          <w:rStyle w:val="NormaltindragChar"/>
          <w:i/>
        </w:rPr>
        <w:t>nätverket för arbetsförmedlingar (Eures)</w:t>
      </w:r>
      <w:r w:rsidRPr="007341D3">
        <w:rPr>
          <w:rStyle w:val="NormaltindragChar"/>
        </w:rPr>
        <w:t xml:space="preserve"> kan reformeras. Kommissionen aviserar vidare försl</w:t>
      </w:r>
      <w:r w:rsidRPr="007341D3">
        <w:rPr>
          <w:rStyle w:val="NormaltindragChar"/>
        </w:rPr>
        <w:t xml:space="preserve">ag som rör </w:t>
      </w:r>
      <w:r w:rsidRPr="007341D3">
        <w:rPr>
          <w:rStyle w:val="NormaltindragChar"/>
          <w:i/>
        </w:rPr>
        <w:t>tilläggspension</w:t>
      </w:r>
      <w:r w:rsidRPr="007341D3">
        <w:rPr>
          <w:rStyle w:val="NormaltindragChar"/>
        </w:rPr>
        <w:t xml:space="preserve"> för dem som byter jobb.</w:t>
      </w:r>
    </w:p>
    <w:p w:rsidR="00143660" w:rsidRPr="007341D3" w:rsidRDefault="00143660">
      <w:pPr>
        <w:rPr>
          <w:rStyle w:val="NormaltindragChar"/>
        </w:rPr>
      </w:pPr>
      <w:r w:rsidRPr="007341D3">
        <w:rPr>
          <w:rStyle w:val="NormaltindragChar"/>
        </w:rPr>
        <w:t xml:space="preserve">Under 2012 kommer kommissionen arbeta vidare mot en </w:t>
      </w:r>
      <w:r w:rsidRPr="007341D3">
        <w:rPr>
          <w:rStyle w:val="NormaltindragChar"/>
          <w:i/>
        </w:rPr>
        <w:t>resurseffektiv och koldioxidsnål ekonomi</w:t>
      </w:r>
      <w:r w:rsidRPr="007341D3">
        <w:rPr>
          <w:rStyle w:val="NormaltindragChar"/>
        </w:rPr>
        <w:t xml:space="preserve">. Förslag om tryggad </w:t>
      </w:r>
      <w:r w:rsidRPr="007341D3">
        <w:rPr>
          <w:rStyle w:val="NormaltindragChar"/>
          <w:i/>
        </w:rPr>
        <w:t>tillgång till rent och tillräckligt vatten</w:t>
      </w:r>
      <w:r w:rsidRPr="007341D3">
        <w:rPr>
          <w:rStyle w:val="NormaltindragChar"/>
        </w:rPr>
        <w:t xml:space="preserve"> kommer att läggas. Kommissionen understryker vidare vikten av att anta förslaget till direktiv om </w:t>
      </w:r>
      <w:r w:rsidRPr="007341D3">
        <w:rPr>
          <w:rStyle w:val="NormaltindragChar"/>
          <w:i/>
        </w:rPr>
        <w:t>energieffektivitet</w:t>
      </w:r>
      <w:r w:rsidRPr="007341D3">
        <w:rPr>
          <w:rStyle w:val="NormaltindragChar"/>
        </w:rPr>
        <w:t xml:space="preserve"> och förordningen om </w:t>
      </w:r>
      <w:r w:rsidRPr="007341D3">
        <w:rPr>
          <w:rStyle w:val="NormaltindragChar"/>
          <w:i/>
        </w:rPr>
        <w:t>investeringar i energiinfrastruktur</w:t>
      </w:r>
      <w:r w:rsidRPr="007341D3">
        <w:rPr>
          <w:rStyle w:val="NormaltindragChar"/>
        </w:rPr>
        <w:t xml:space="preserve">. Förslag till bättre ramar för </w:t>
      </w:r>
      <w:r w:rsidRPr="007341D3">
        <w:rPr>
          <w:rStyle w:val="NormaltindragChar"/>
          <w:i/>
        </w:rPr>
        <w:t>kärnsäkerhet</w:t>
      </w:r>
      <w:r w:rsidRPr="007341D3">
        <w:rPr>
          <w:rStyle w:val="NormaltindragChar"/>
        </w:rPr>
        <w:t xml:space="preserve"> och en strategi för att påskynda utvecklingen av </w:t>
      </w:r>
      <w:r w:rsidRPr="007341D3">
        <w:rPr>
          <w:rStyle w:val="NormaltindragChar"/>
          <w:i/>
        </w:rPr>
        <w:t>förnybar energi</w:t>
      </w:r>
      <w:r w:rsidRPr="007341D3">
        <w:rPr>
          <w:rStyle w:val="NormaltindragChar"/>
        </w:rPr>
        <w:t xml:space="preserve"> på EU:s inre marknad är också att vänta. Kommissionen kommer också att fortsätta arbetet för att </w:t>
      </w:r>
      <w:r w:rsidRPr="007341D3">
        <w:rPr>
          <w:rStyle w:val="NormaltindragChar"/>
          <w:i/>
        </w:rPr>
        <w:t>minska utsläppen av växthusga</w:t>
      </w:r>
      <w:r w:rsidRPr="007341D3">
        <w:rPr>
          <w:rStyle w:val="NormaltindragChar"/>
          <w:i/>
        </w:rPr>
        <w:t>ser globalt</w:t>
      </w:r>
      <w:r w:rsidRPr="007341D3">
        <w:rPr>
          <w:rStyle w:val="NormaltindragChar"/>
        </w:rPr>
        <w:t xml:space="preserve">. Nya åtgärder för att bidra till att nå klimat- och energimålen utlovas. En översyn av lagstiftningen om </w:t>
      </w:r>
      <w:r w:rsidRPr="007341D3">
        <w:rPr>
          <w:rStyle w:val="NormaltindragChar"/>
          <w:i/>
        </w:rPr>
        <w:t>passagerarfordon och lastbilar</w:t>
      </w:r>
      <w:r w:rsidRPr="007341D3">
        <w:rPr>
          <w:rStyle w:val="NormaltindragChar"/>
        </w:rPr>
        <w:t xml:space="preserve"> kommer bl.a. att äga rum. Arbetet kommer vidare att inriktas på att bryta transportsektorns oljeberoende genom att sporra utvecklingen av EU-infrastrukturer för </w:t>
      </w:r>
      <w:r w:rsidRPr="007341D3">
        <w:rPr>
          <w:rStyle w:val="NormaltindragChar"/>
          <w:i/>
        </w:rPr>
        <w:t>alternativa drivmedel</w:t>
      </w:r>
      <w:r w:rsidRPr="007341D3">
        <w:rPr>
          <w:rStyle w:val="NormaltindragChar"/>
        </w:rPr>
        <w:t>.</w:t>
      </w:r>
    </w:p>
    <w:p w:rsidR="00143660" w:rsidRPr="007341D3" w:rsidRDefault="00143660">
      <w:pPr>
        <w:rPr>
          <w:rStyle w:val="NormaltindragChar"/>
        </w:rPr>
      </w:pPr>
      <w:r w:rsidRPr="007341D3">
        <w:rPr>
          <w:rStyle w:val="NormaltindragChar"/>
        </w:rPr>
        <w:t xml:space="preserve">Kommissionen anger vidare att säkerhet och rättvisa i ett Europa utan gränser är en prioriterad fråga och EU måste gå vidare för att nå resultat med </w:t>
      </w:r>
      <w:r w:rsidRPr="007341D3">
        <w:rPr>
          <w:rStyle w:val="NormaltindragChar"/>
          <w:i/>
        </w:rPr>
        <w:t>Stockholmsprogrammet</w:t>
      </w:r>
      <w:r w:rsidRPr="007341D3">
        <w:rPr>
          <w:rStyle w:val="NormaltindragChar"/>
        </w:rPr>
        <w:t xml:space="preserve"> och att hitta lösningar på centrala frågor som </w:t>
      </w:r>
      <w:r w:rsidRPr="007341D3">
        <w:rPr>
          <w:rStyle w:val="NormaltindragChar"/>
          <w:i/>
        </w:rPr>
        <w:t>asylpolitiken</w:t>
      </w:r>
      <w:r w:rsidRPr="007341D3">
        <w:rPr>
          <w:rStyle w:val="NormaltindragChar"/>
        </w:rPr>
        <w:t xml:space="preserve"> och </w:t>
      </w:r>
      <w:r w:rsidRPr="007341D3">
        <w:rPr>
          <w:rStyle w:val="NormaltindragChar"/>
          <w:i/>
        </w:rPr>
        <w:t>internetsäkerhet</w:t>
      </w:r>
      <w:r w:rsidRPr="007341D3">
        <w:rPr>
          <w:rStyle w:val="NormaltindragChar"/>
        </w:rPr>
        <w:t xml:space="preserve">. För att underlätta den fria rörligheten väntas två förslag om </w:t>
      </w:r>
      <w:r w:rsidRPr="007341D3">
        <w:rPr>
          <w:rStyle w:val="NormaltindragChar"/>
          <w:i/>
        </w:rPr>
        <w:t>ömsesidigt erkännande av folkbokföringshandlingar</w:t>
      </w:r>
      <w:r w:rsidRPr="007341D3">
        <w:rPr>
          <w:rStyle w:val="NormaltindragChar"/>
        </w:rPr>
        <w:t xml:space="preserve"> och förenkling av kraven på </w:t>
      </w:r>
      <w:r w:rsidRPr="007341D3">
        <w:rPr>
          <w:rStyle w:val="NormaltindragChar"/>
          <w:i/>
        </w:rPr>
        <w:t>legalisering av handlingar</w:t>
      </w:r>
      <w:r w:rsidRPr="007341D3">
        <w:rPr>
          <w:rStyle w:val="NormaltindragChar"/>
        </w:rPr>
        <w:t xml:space="preserve">. En särskild strategi för att </w:t>
      </w:r>
      <w:r w:rsidRPr="007341D3">
        <w:rPr>
          <w:rStyle w:val="NormaltindragChar"/>
          <w:i/>
        </w:rPr>
        <w:t>förebygga och motverka människohandel</w:t>
      </w:r>
      <w:r w:rsidRPr="007341D3">
        <w:rPr>
          <w:rStyle w:val="NormaltindragChar"/>
        </w:rPr>
        <w:t xml:space="preserve"> kommer att läggas fram.</w:t>
      </w:r>
    </w:p>
    <w:p w:rsidR="00143660" w:rsidRPr="007341D3" w:rsidRDefault="00143660">
      <w:pPr>
        <w:pStyle w:val="Rubrik5"/>
        <w:rPr>
          <w:i/>
          <w:iCs/>
        </w:rPr>
      </w:pPr>
      <w:r w:rsidRPr="007341D3">
        <w:rPr>
          <w:i/>
          <w:iCs/>
        </w:rPr>
        <w:t xml:space="preserve">Att ge EU en stark stämma i internationella sammanhang. </w:t>
      </w:r>
    </w:p>
    <w:p w:rsidR="00143660" w:rsidRPr="007341D3" w:rsidRDefault="00143660">
      <w:r w:rsidRPr="007341D3">
        <w:t xml:space="preserve">Kommissionen understryker att </w:t>
      </w:r>
      <w:r w:rsidRPr="007341D3">
        <w:rPr>
          <w:i/>
        </w:rPr>
        <w:t>EU måste vara redo att reagera på förändringarna i världen</w:t>
      </w:r>
      <w:r w:rsidRPr="007341D3">
        <w:t xml:space="preserve">. För att anpassa sig till den förändrade internationella situationen och vara med och påverka menar kommissionen att EU måste </w:t>
      </w:r>
      <w:r w:rsidRPr="007341D3">
        <w:rPr>
          <w:i/>
        </w:rPr>
        <w:t>koppla samman sin interna politik med de yttre åtgärderna</w:t>
      </w:r>
      <w:r w:rsidRPr="007341D3">
        <w:t xml:space="preserve">. Handel, utveckling, diplomati, utvidgning, grannskapspolitiken och krishantering är sådana politiska frågor och verktyg som utgör ryggraden i EU:s yttre åtgärder. De kan ge full effekt när de kombineras med sådana inre åtgärder som den inre marknaden, miljöpolitiken, </w:t>
      </w:r>
      <w:r w:rsidRPr="007341D3">
        <w:t xml:space="preserve">energipolitiken och penningpolitiken vilka alla kraftigt påverkar även omvärlden. </w:t>
      </w:r>
    </w:p>
    <w:p w:rsidR="00143660" w:rsidRPr="007341D3" w:rsidRDefault="00143660">
      <w:r w:rsidRPr="007341D3">
        <w:t xml:space="preserve">Kommissionen påtalar vidare att det europeiska välståndet är beroende av den </w:t>
      </w:r>
      <w:r w:rsidRPr="007341D3">
        <w:rPr>
          <w:i/>
        </w:rPr>
        <w:t>internationella konkurrenskraften</w:t>
      </w:r>
      <w:r w:rsidRPr="007341D3">
        <w:t xml:space="preserve">. Det övergripande målet för EU:s handelspolitik är visserligen att framgångsrikt avsluta pågående multilaterala förhandlingar, men också europeiska företag och konsumenter måste gynnas med hjälp av bilaterala handelsavtal med tredjelandspartners. Därför undersöks möjligheterna till ett </w:t>
      </w:r>
      <w:r w:rsidRPr="007341D3">
        <w:rPr>
          <w:i/>
        </w:rPr>
        <w:t>frihandelsavtal med Japan</w:t>
      </w:r>
      <w:r w:rsidRPr="007341D3">
        <w:t xml:space="preserve"> och ett </w:t>
      </w:r>
      <w:r w:rsidRPr="007341D3">
        <w:rPr>
          <w:i/>
        </w:rPr>
        <w:t>investeringsavtal med Kina</w:t>
      </w:r>
      <w:r w:rsidRPr="007341D3">
        <w:t xml:space="preserve">. </w:t>
      </w:r>
    </w:p>
    <w:p w:rsidR="00143660" w:rsidRPr="007341D3" w:rsidRDefault="00143660">
      <w:r w:rsidRPr="007341D3">
        <w:t>Kommissionen konstaterar vidare att solidaritet är en grundläggande värdering inom EU och att EU är världens största givare av u</w:t>
      </w:r>
      <w:r w:rsidRPr="007341D3">
        <w:t xml:space="preserve">tvecklingsbistånd. En </w:t>
      </w:r>
      <w:r w:rsidRPr="007341D3">
        <w:rPr>
          <w:i/>
        </w:rPr>
        <w:t>snabb och effektiv tillämpning av EU:s nya utvecklingspolitik</w:t>
      </w:r>
      <w:r w:rsidRPr="007341D3">
        <w:t xml:space="preserve"> med särskild inriktning på millenniemålen för utveckling är därför viktig. </w:t>
      </w:r>
    </w:p>
    <w:p w:rsidR="00143660" w:rsidRPr="007341D3" w:rsidRDefault="00143660">
      <w:r w:rsidRPr="007341D3">
        <w:rPr>
          <w:i/>
        </w:rPr>
        <w:t>Utvidgningsprocessen</w:t>
      </w:r>
      <w:r w:rsidRPr="007341D3">
        <w:t xml:space="preserve"> kommer att fortsätta under 2012 och unionen förbereder sig för att ta emot Kroatien som den tjugoåttonde medlemmen i EU.</w:t>
      </w:r>
    </w:p>
    <w:p w:rsidR="00143660" w:rsidRPr="007341D3" w:rsidRDefault="00143660">
      <w:pPr>
        <w:pStyle w:val="Rubrik5"/>
        <w:rPr>
          <w:i/>
          <w:iCs/>
        </w:rPr>
      </w:pPr>
      <w:r w:rsidRPr="007341D3">
        <w:rPr>
          <w:i/>
          <w:iCs/>
        </w:rPr>
        <w:t xml:space="preserve">Bättre lagstiftning och effektiv tillämpning. </w:t>
      </w:r>
    </w:p>
    <w:p w:rsidR="00143660" w:rsidRPr="007341D3" w:rsidRDefault="00143660">
      <w:r w:rsidRPr="007341D3">
        <w:t>Kommissionen understryker att dess rätt att lägga fram förslag och dess ansvar som fördragets väktare ger den ett särskilt ansvar för att EU:s lagstiftningsarbete fungerar väl och att lagarna uppfyller stränga kvalitetskrav med avseende på effektivitet och relevans och att de administrativa bördorna hålls så små som möjligt.</w:t>
      </w:r>
    </w:p>
    <w:p w:rsidR="00143660" w:rsidRPr="007341D3" w:rsidRDefault="00143660">
      <w:r w:rsidRPr="007341D3">
        <w:t xml:space="preserve">Beträffande EU:s fleråriga budgetram menar kommissionen att den har föreslagit en </w:t>
      </w:r>
      <w:r w:rsidRPr="007341D3">
        <w:rPr>
          <w:i/>
        </w:rPr>
        <w:t>modern budget</w:t>
      </w:r>
      <w:r w:rsidRPr="007341D3">
        <w:t xml:space="preserve"> som kompletterar de nationella utgifterna på områden där EU-åtgärder ger ett tydligt mervärde. </w:t>
      </w:r>
    </w:p>
    <w:p w:rsidR="00143660" w:rsidRPr="007341D3" w:rsidRDefault="00143660">
      <w:r w:rsidRPr="007341D3">
        <w:t xml:space="preserve">Beträffande </w:t>
      </w:r>
      <w:r w:rsidRPr="007341D3">
        <w:rPr>
          <w:i/>
        </w:rPr>
        <w:t>bättre lagstiftning</w:t>
      </w:r>
      <w:r w:rsidRPr="007341D3">
        <w:t xml:space="preserve"> kommer ytterligare framsteg göras under 2012 genom att minimitiden för remisser förlängs från  åtta till tolv veckor. Ändringen kommer att förbättra möjligheterna att ge all a möjlighet att yttra sig om åtgärderna. Beträffande </w:t>
      </w:r>
      <w:r w:rsidRPr="007341D3">
        <w:rPr>
          <w:i/>
        </w:rPr>
        <w:t>administrativa bördor</w:t>
      </w:r>
      <w:r w:rsidRPr="007341D3">
        <w:t xml:space="preserve"> kommer målet om en tjugofemprocentig minskning att ha överträffats i slutet av år 2012. Ansträngningarna för att minska de administrativa bördorna ytterligare kommer dock att fortsätta. Kommissionen kommer särskilt att utreda hur </w:t>
      </w:r>
      <w:r w:rsidRPr="007341D3">
        <w:rPr>
          <w:i/>
        </w:rPr>
        <w:t>EU-bestämmels</w:t>
      </w:r>
      <w:r w:rsidRPr="007341D3">
        <w:rPr>
          <w:i/>
        </w:rPr>
        <w:t>erna påverkar småföretagen</w:t>
      </w:r>
      <w:r w:rsidRPr="007341D3">
        <w:t xml:space="preserve"> och vid behov föreslå undantag eller skräddarsydda lösningar för mikroföretag. Kommissionen kommer också att lägga fram de första resultaten av kontrollerna av bestämmelsernas ändamålsenlighet.</w:t>
      </w:r>
    </w:p>
    <w:p w:rsidR="00143660" w:rsidRPr="007341D3" w:rsidRDefault="00143660"/>
    <w:p w:rsidR="00143660" w:rsidRPr="007341D3" w:rsidRDefault="00143660">
      <w:pPr>
        <w:pStyle w:val="Rubrik2"/>
      </w:pPr>
      <w:r w:rsidRPr="007341D3">
        <w:t>Gällande svenska regler och förslagets effekt på dessa</w:t>
      </w:r>
    </w:p>
    <w:p w:rsidR="00143660" w:rsidRPr="007341D3" w:rsidRDefault="00143660">
      <w:pPr>
        <w:autoSpaceDE w:val="0"/>
        <w:autoSpaceDN w:val="0"/>
        <w:adjustRightInd w:val="0"/>
        <w:spacing w:before="0" w:line="240" w:lineRule="auto"/>
        <w:jc w:val="left"/>
        <w:rPr>
          <w:color w:val="000000"/>
          <w:sz w:val="18"/>
          <w:szCs w:val="18"/>
        </w:rPr>
      </w:pPr>
    </w:p>
    <w:p w:rsidR="00143660" w:rsidRPr="007341D3" w:rsidRDefault="00143660">
      <w:pPr>
        <w:autoSpaceDE w:val="0"/>
        <w:autoSpaceDN w:val="0"/>
        <w:adjustRightInd w:val="0"/>
        <w:spacing w:before="0" w:line="240" w:lineRule="auto"/>
        <w:jc w:val="left"/>
        <w:rPr>
          <w:color w:val="000000"/>
          <w:sz w:val="18"/>
          <w:szCs w:val="18"/>
        </w:rPr>
      </w:pPr>
      <w:r w:rsidRPr="007341D3">
        <w:t>Inte aktuellt. Meddelandet utgör inte bindande lagstiftning.</w:t>
      </w:r>
    </w:p>
    <w:p w:rsidR="00143660" w:rsidRPr="007341D3" w:rsidRDefault="00143660">
      <w:pPr>
        <w:pStyle w:val="Rubrik2"/>
      </w:pPr>
      <w:r w:rsidRPr="007341D3">
        <w:t>Budgetära konsekvenser / Konsekvensanalys</w:t>
      </w:r>
    </w:p>
    <w:p w:rsidR="00143660" w:rsidRPr="007341D3" w:rsidRDefault="00143660">
      <w:r w:rsidRPr="007341D3">
        <w:t>Inte aktuellt. Meddelandet utgör inte bindande lagstiftning.</w:t>
      </w:r>
    </w:p>
    <w:p w:rsidR="00143660" w:rsidRPr="007341D3" w:rsidRDefault="00143660"/>
    <w:p w:rsidR="00143660" w:rsidRPr="007341D3" w:rsidRDefault="00143660">
      <w:pPr>
        <w:pStyle w:val="Rubrik1"/>
      </w:pPr>
      <w:r w:rsidRPr="007341D3">
        <w:t>Ståndpunkter</w:t>
      </w:r>
    </w:p>
    <w:p w:rsidR="00143660" w:rsidRPr="007341D3" w:rsidRDefault="00143660">
      <w:pPr>
        <w:pStyle w:val="Rubrik2"/>
      </w:pPr>
      <w:r w:rsidRPr="007341D3">
        <w:t>Preliminär svensk ståndpunkt</w:t>
      </w:r>
    </w:p>
    <w:p w:rsidR="00143660" w:rsidRPr="007341D3" w:rsidRDefault="00143660">
      <w:r w:rsidRPr="007341D3">
        <w:t>Regeringen är positiv till att kommissionen presenterar ett arbetsprogram med specifika initiativ. Det underlättar medlemsstaternas möjlighet att planera EU-arbetet och bidrar till öppenhet kring EU:s lagstiftningsprocess. Beträffande de prioriterade områdena ligger de i huvudsak i linje med regeringens EU-politik. Regeringen tar dock inte ställning till de enskilda initiativen i detta stadium då deras konkreta innehåll inte är känt. När de enskilda initiativen presenteras kommer de att bedömas och beredas</w:t>
      </w:r>
      <w:r w:rsidRPr="007341D3">
        <w:t xml:space="preserve"> utifrån sina egna meriter. Regeringen kommer att få anledning att återkomma till riksdagen allt eftersom de enskilda lagstiftningsinitiativen presenteras.</w:t>
      </w:r>
    </w:p>
    <w:p w:rsidR="00143660" w:rsidRPr="007341D3" w:rsidRDefault="00143660">
      <w:pPr>
        <w:pStyle w:val="Rubrik2"/>
      </w:pPr>
      <w:r w:rsidRPr="007341D3">
        <w:t>Medlemsstaternas ståndpunkter</w:t>
      </w:r>
    </w:p>
    <w:p w:rsidR="00143660" w:rsidRPr="007341D3" w:rsidRDefault="00143660">
      <w:r w:rsidRPr="007341D3">
        <w:t xml:space="preserve">Medlemsstaterna ståndpunkter är ännu ej kända.  </w:t>
      </w:r>
    </w:p>
    <w:p w:rsidR="00143660" w:rsidRPr="007341D3" w:rsidRDefault="00143660">
      <w:pPr>
        <w:pStyle w:val="Rubrik2"/>
      </w:pPr>
      <w:r w:rsidRPr="007341D3">
        <w:t>Institutionernas ståndpunkter</w:t>
      </w:r>
    </w:p>
    <w:p w:rsidR="00143660" w:rsidRPr="007341D3" w:rsidRDefault="00143660">
      <w:r w:rsidRPr="007341D3">
        <w:t xml:space="preserve">Institutionernas ståndpunkter är ännu ej kända. </w:t>
      </w:r>
    </w:p>
    <w:p w:rsidR="00143660" w:rsidRPr="007341D3" w:rsidRDefault="00143660">
      <w:pPr>
        <w:pStyle w:val="Rubrik2"/>
      </w:pPr>
      <w:r w:rsidRPr="007341D3">
        <w:t>Remissinstansernas ståndpunkter</w:t>
      </w:r>
    </w:p>
    <w:p w:rsidR="00143660" w:rsidRPr="007341D3" w:rsidRDefault="00143660">
      <w:r w:rsidRPr="007341D3">
        <w:t xml:space="preserve">Kommissionens arbetsprogram har ej sänts på remiss. </w:t>
      </w:r>
    </w:p>
    <w:p w:rsidR="00143660" w:rsidRPr="007341D3" w:rsidRDefault="00143660">
      <w:pPr>
        <w:pStyle w:val="Rubrik1"/>
      </w:pPr>
      <w:r w:rsidRPr="007341D3">
        <w:t>Förslagets förutsättningar</w:t>
      </w:r>
    </w:p>
    <w:p w:rsidR="00143660" w:rsidRPr="007341D3" w:rsidRDefault="00143660">
      <w:pPr>
        <w:pStyle w:val="Rubrik2"/>
      </w:pPr>
      <w:r w:rsidRPr="007341D3">
        <w:t>Rättslig grund och beslutsförfarande</w:t>
      </w:r>
    </w:p>
    <w:p w:rsidR="00143660" w:rsidRPr="007341D3" w:rsidRDefault="00143660">
      <w:r w:rsidRPr="007341D3">
        <w:t>Inte aktuellt. Meddelandet innehåller inga konkreta förslag med rättslig grund.</w:t>
      </w:r>
    </w:p>
    <w:p w:rsidR="00143660" w:rsidRPr="007341D3" w:rsidRDefault="00143660">
      <w:pPr>
        <w:pStyle w:val="Rubrik2"/>
      </w:pPr>
      <w:r w:rsidRPr="007341D3">
        <w:t>Subsidiaritets- och proportionalitetsprincipen</w:t>
      </w:r>
    </w:p>
    <w:p w:rsidR="00143660" w:rsidRPr="007341D3" w:rsidRDefault="00143660">
      <w:r w:rsidRPr="007341D3">
        <w:t>Inte aktuellt. Meddelandet utgör inte bindande lagstiftning.</w:t>
      </w:r>
    </w:p>
    <w:p w:rsidR="00143660" w:rsidRPr="007341D3" w:rsidRDefault="00143660"/>
    <w:p w:rsidR="00143660" w:rsidRPr="007341D3" w:rsidRDefault="00143660">
      <w:pPr>
        <w:pStyle w:val="Rubrik1"/>
      </w:pPr>
      <w:r w:rsidRPr="007341D3">
        <w:t>Övrigt</w:t>
      </w:r>
    </w:p>
    <w:p w:rsidR="00143660" w:rsidRPr="007341D3" w:rsidRDefault="00143660">
      <w:pPr>
        <w:pStyle w:val="Rubrik2"/>
      </w:pPr>
      <w:r w:rsidRPr="007341D3">
        <w:t>Fortsatt behandling av ärendet</w:t>
      </w:r>
    </w:p>
    <w:p w:rsidR="00143660" w:rsidRPr="007341D3" w:rsidRDefault="00143660">
      <w:r w:rsidRPr="007341D3">
        <w:t>Kommissionen avser att presentera de aviserade enskilda initiativen för behandling av rådet och Europaparlamentet.</w:t>
      </w:r>
    </w:p>
    <w:p w:rsidR="00143660" w:rsidRPr="007341D3" w:rsidRDefault="00143660"/>
    <w:p w:rsidR="00143660" w:rsidRPr="007341D3" w:rsidRDefault="00143660">
      <w:pPr>
        <w:pStyle w:val="Rubrik2"/>
      </w:pPr>
      <w:r w:rsidRPr="007341D3">
        <w:t>Fackuttryck/termer</w:t>
      </w:r>
    </w:p>
    <w:p w:rsidR="00143660" w:rsidRPr="007341D3" w:rsidRDefault="00143660"/>
    <w:sectPr w:rsidR="00143660" w:rsidRPr="007341D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660" w:rsidRPr="007341D3" w:rsidRDefault="00143660">
      <w:r w:rsidRPr="007341D3">
        <w:separator/>
      </w:r>
    </w:p>
  </w:endnote>
  <w:endnote w:type="continuationSeparator" w:id="0">
    <w:p w:rsidR="00143660" w:rsidRPr="007341D3" w:rsidRDefault="00143660">
      <w:r w:rsidRPr="007341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60" w:rsidRPr="007341D3" w:rsidRDefault="001436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60" w:rsidRPr="007341D3" w:rsidRDefault="00143660">
    <w:pPr>
      <w:pStyle w:val="SidfotH"/>
      <w:framePr w:wrap="around"/>
    </w:pPr>
    <w:r w:rsidRPr="007341D3">
      <w:fldChar w:fldCharType="begin" w:fldLock="1"/>
    </w:r>
    <w:r w:rsidRPr="007341D3">
      <w:instrText xml:space="preserve"> PAGE </w:instrText>
    </w:r>
    <w:r w:rsidRPr="007341D3">
      <w:fldChar w:fldCharType="separate"/>
    </w:r>
    <w:r w:rsidRPr="007341D3">
      <w:t>6</w:t>
    </w:r>
    <w:r w:rsidRPr="007341D3">
      <w:fldChar w:fldCharType="end"/>
    </w:r>
  </w:p>
  <w:p w:rsidR="00143660" w:rsidRPr="007341D3" w:rsidRDefault="001436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60" w:rsidRPr="007341D3" w:rsidRDefault="00143660">
    <w:pPr>
      <w:pStyle w:val="SidfotH"/>
      <w:framePr w:wrap="around"/>
    </w:pPr>
    <w:r w:rsidRPr="007341D3">
      <w:fldChar w:fldCharType="begin" w:fldLock="1"/>
    </w:r>
    <w:r w:rsidRPr="007341D3">
      <w:instrText xml:space="preserve"> PAGE </w:instrText>
    </w:r>
    <w:r w:rsidRPr="007341D3">
      <w:fldChar w:fldCharType="separate"/>
    </w:r>
    <w:r w:rsidRPr="007341D3">
      <w:t>1</w:t>
    </w:r>
    <w:r w:rsidRPr="007341D3">
      <w:fldChar w:fldCharType="end"/>
    </w:r>
  </w:p>
  <w:p w:rsidR="00143660" w:rsidRPr="007341D3" w:rsidRDefault="001436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660" w:rsidRPr="007341D3" w:rsidRDefault="00143660">
      <w:r w:rsidRPr="007341D3">
        <w:separator/>
      </w:r>
    </w:p>
  </w:footnote>
  <w:footnote w:type="continuationSeparator" w:id="0">
    <w:p w:rsidR="00143660" w:rsidRPr="007341D3" w:rsidRDefault="00143660">
      <w:r w:rsidRPr="007341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60" w:rsidRPr="007341D3" w:rsidRDefault="001436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60" w:rsidRPr="007341D3" w:rsidRDefault="00143660">
    <w:pPr>
      <w:pStyle w:val="Kantrubrik"/>
      <w:framePr w:h="1157" w:hRule="exact" w:wrap="around" w:y="738"/>
    </w:pPr>
    <w:r w:rsidRPr="007341D3">
      <w:t>2011/12:FPM63</w:t>
    </w:r>
  </w:p>
  <w:p w:rsidR="00143660" w:rsidRPr="007341D3" w:rsidRDefault="001436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60" w:rsidRPr="007341D3" w:rsidRDefault="007341D3">
    <w:pPr>
      <w:pStyle w:val="Sidhuvud"/>
    </w:pPr>
    <w:r w:rsidRPr="007341D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85642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3660" w:rsidRDefault="0014366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43660" w:rsidRDefault="00143660">
                    <w:pPr>
                      <w:pStyle w:val="Logo"/>
                    </w:pPr>
                    <w:r>
                      <w:object w:dxaOrig="840" w:dyaOrig="1545">
                        <v:shape id="_x0000_i1025" type="#_x0000_t75" style="width:42pt;height:77.15pt" filled="t">
                          <v:imagedata r:id="rId1" o:title=""/>
                        </v:shape>
                        <o:OLEObject Type="Embed" ProgID="Word.Picture.8" ShapeID="_x0000_i1025" DrawAspect="Content" ObjectID="_18275170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27155821">
    <w:abstractNumId w:val="4"/>
  </w:num>
  <w:num w:numId="2" w16cid:durableId="2063554139">
    <w:abstractNumId w:val="1"/>
  </w:num>
  <w:num w:numId="3" w16cid:durableId="842207651">
    <w:abstractNumId w:val="2"/>
  </w:num>
  <w:num w:numId="4" w16cid:durableId="1024555184">
    <w:abstractNumId w:val="3"/>
  </w:num>
  <w:num w:numId="5" w16cid:durableId="949120629">
    <w:abstractNumId w:val="5"/>
  </w:num>
  <w:num w:numId="6" w16cid:durableId="131413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0"/>
    <w:docVar w:name="Ar" w:val="2011/12"/>
    <w:docVar w:name="Dep" w:val="Statsrådsberedningen"/>
    <w:docVar w:name="DepWeb" w:val="Statsrådsberedningen"/>
    <w:docVar w:name="GDB1" w:val="KOM (2011) 77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Kommissionens arbetsprogram 2012 - att skapa europeisk förnyels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77"/>
    <w:docVar w:name="Nr" w:val="63"/>
    <w:docVar w:name="RD_APPVERSION" w:val="3.00"/>
    <w:docVar w:name="Rub" w:val="Kommissionens arbetsprogram 2012"/>
    <w:docVar w:name="UppDat" w:val="2011-12-20"/>
    <w:docVar w:name="Utsk" w:val="Utrikesutskottet"/>
  </w:docVars>
  <w:rsids>
    <w:rsidRoot w:val="00126701"/>
    <w:rsid w:val="00126701"/>
    <w:rsid w:val="00143660"/>
    <w:rsid w:val="007341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F2442C-3EB1-497E-B830-49A0643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 w:type="character" w:customStyle="1" w:styleId="CharChar">
    <w:name w:val=" Char Char"/>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1835</Words>
  <Characters>12022</Characters>
  <Application>Microsoft Office Word</Application>
  <DocSecurity>4</DocSecurity>
  <Lines>222</Lines>
  <Paragraphs>69</Paragraphs>
  <ScaleCrop>false</ScaleCrop>
  <HeadingPairs>
    <vt:vector size="2" baseType="variant">
      <vt:variant>
        <vt:lpstr>Rubrik</vt:lpstr>
      </vt:variant>
      <vt:variant>
        <vt:i4>1</vt:i4>
      </vt:variant>
    </vt:vector>
  </HeadingPairs>
  <TitlesOfParts>
    <vt:vector size="1" baseType="lpstr">
      <vt:lpstr>FPM_201112__63</vt:lpstr>
    </vt:vector>
  </TitlesOfParts>
  <Company>RD-DTSL</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FPM_201112__63</dc:title>
  <dc:subject>FPM_201112__63</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2011-12-20T10:28:00Z</cp:lastPrinted>
  <dcterms:created xsi:type="dcterms:W3CDTF">2025-12-17T21:08:00Z</dcterms:created>
  <dcterms:modified xsi:type="dcterms:W3CDTF">2025-12-17T21:08:00Z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63</vt:lpwstr>
  </property>
  <property fmtid="{D5CDD505-2E9C-101B-9397-08002B2CF9AE}" pid="4" name="GDB1">
    <vt:lpwstr>KOM (2011) 777</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Kommissionens arbetsprogram 2012</vt:lpwstr>
  </property>
  <property fmtid="{D5CDD505-2E9C-101B-9397-08002B2CF9AE}" pid="8" name="UppDat">
    <vt:lpwstr>2011-12-20</vt:lpwstr>
  </property>
  <property fmtid="{D5CDD505-2E9C-101B-9397-08002B2CF9AE}" pid="9" name="AnkDat">
    <vt:lpwstr>2011-12-20</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Jordbruksdepartementet">
    <vt:lpwstr>NEJ</vt:lpwstr>
  </property>
</Properties>
</file>