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3067D" w:rsidTr="007024B2">
        <w:tblPrEx>
          <w:tblCellMar>
            <w:top w:w="0" w:type="dxa"/>
            <w:bottom w:w="0" w:type="dxa"/>
          </w:tblCellMar>
        </w:tblPrEx>
        <w:tc>
          <w:tcPr>
            <w:tcW w:w="2268" w:type="dxa"/>
          </w:tcPr>
          <w:p w:rsidR="006E4E11" w:rsidRPr="00A3067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3067D" w:rsidRDefault="006E4E11" w:rsidP="007242A3">
            <w:pPr>
              <w:framePr w:w="5035" w:h="1644" w:wrap="notBeside" w:vAnchor="page" w:hAnchor="page" w:x="6573" w:y="721"/>
              <w:rPr>
                <w:rFonts w:ascii="TradeGothic" w:hAnsi="TradeGothic"/>
                <w:i/>
                <w:sz w:val="18"/>
              </w:rPr>
            </w:pPr>
          </w:p>
        </w:tc>
      </w:tr>
      <w:tr w:rsidR="007024B2" w:rsidRPr="00A3067D" w:rsidTr="007024B2">
        <w:tblPrEx>
          <w:tblCellMar>
            <w:top w:w="0" w:type="dxa"/>
            <w:bottom w:w="0" w:type="dxa"/>
          </w:tblCellMar>
        </w:tblPrEx>
        <w:tc>
          <w:tcPr>
            <w:tcW w:w="2268" w:type="dxa"/>
          </w:tcPr>
          <w:p w:rsidR="007024B2" w:rsidRPr="00A3067D" w:rsidRDefault="00657105" w:rsidP="007024B2">
            <w:pPr>
              <w:framePr w:w="5035" w:h="1644" w:wrap="notBeside" w:vAnchor="page" w:hAnchor="page" w:x="6573" w:y="721"/>
              <w:rPr>
                <w:rFonts w:ascii="TradeGothic" w:hAnsi="TradeGothic"/>
                <w:b/>
                <w:sz w:val="22"/>
                <w:highlight w:val="yellow"/>
              </w:rPr>
            </w:pPr>
            <w:r w:rsidRPr="00A3067D">
              <w:rPr>
                <w:rFonts w:ascii="TradeGothic" w:hAnsi="TradeGothic"/>
                <w:b/>
                <w:sz w:val="22"/>
              </w:rPr>
              <w:t xml:space="preserve">Kommenterad </w:t>
            </w:r>
            <w:r w:rsidR="007024B2" w:rsidRPr="00A3067D">
              <w:rPr>
                <w:rFonts w:ascii="TradeGothic" w:hAnsi="TradeGothic"/>
                <w:b/>
                <w:sz w:val="22"/>
              </w:rPr>
              <w:t>dagordning</w:t>
            </w:r>
          </w:p>
        </w:tc>
        <w:tc>
          <w:tcPr>
            <w:tcW w:w="2999" w:type="dxa"/>
            <w:gridSpan w:val="2"/>
          </w:tcPr>
          <w:p w:rsidR="007024B2" w:rsidRPr="00A3067D" w:rsidRDefault="00657105" w:rsidP="007024B2">
            <w:pPr>
              <w:framePr w:w="5035" w:h="1644" w:wrap="notBeside" w:vAnchor="page" w:hAnchor="page" w:x="6573" w:y="721"/>
              <w:ind w:left="142"/>
              <w:rPr>
                <w:sz w:val="22"/>
              </w:rPr>
            </w:pPr>
            <w:r w:rsidRPr="00A3067D">
              <w:rPr>
                <w:sz w:val="22"/>
              </w:rPr>
              <w:t>M2011/3004/I</w:t>
            </w:r>
          </w:p>
          <w:p w:rsidR="007024B2" w:rsidRPr="00A3067D" w:rsidRDefault="007024B2" w:rsidP="007024B2">
            <w:pPr>
              <w:framePr w:w="5035" w:h="1644" w:wrap="notBeside" w:vAnchor="page" w:hAnchor="page" w:x="6573" w:y="721"/>
              <w:rPr>
                <w:rFonts w:ascii="TradeGothic" w:hAnsi="TradeGothic"/>
                <w:b/>
                <w:sz w:val="22"/>
                <w:highlight w:val="yellow"/>
              </w:rPr>
            </w:pPr>
          </w:p>
        </w:tc>
      </w:tr>
      <w:tr w:rsidR="007024B2" w:rsidRPr="00A3067D">
        <w:tblPrEx>
          <w:tblCellMar>
            <w:top w:w="0" w:type="dxa"/>
            <w:bottom w:w="0" w:type="dxa"/>
          </w:tblCellMar>
        </w:tblPrEx>
        <w:tc>
          <w:tcPr>
            <w:tcW w:w="3402" w:type="dxa"/>
            <w:gridSpan w:val="2"/>
          </w:tcPr>
          <w:p w:rsidR="007024B2" w:rsidRPr="00A3067D" w:rsidRDefault="007024B2" w:rsidP="007024B2">
            <w:pPr>
              <w:framePr w:w="5035" w:h="1644" w:wrap="notBeside" w:vAnchor="page" w:hAnchor="page" w:x="6573" w:y="721"/>
            </w:pPr>
            <w:r w:rsidRPr="00A3067D">
              <w:rPr>
                <w:rFonts w:ascii="TradeGothic" w:hAnsi="TradeGothic"/>
                <w:b/>
                <w:sz w:val="22"/>
              </w:rPr>
              <w:t>rådet</w:t>
            </w:r>
          </w:p>
        </w:tc>
        <w:tc>
          <w:tcPr>
            <w:tcW w:w="1865" w:type="dxa"/>
          </w:tcPr>
          <w:p w:rsidR="007024B2" w:rsidRPr="00A3067D" w:rsidRDefault="007024B2" w:rsidP="007024B2">
            <w:pPr>
              <w:framePr w:w="5035" w:h="1644" w:wrap="notBeside" w:vAnchor="page" w:hAnchor="page" w:x="6573" w:y="721"/>
            </w:pPr>
          </w:p>
        </w:tc>
      </w:tr>
      <w:tr w:rsidR="006E4E11" w:rsidRPr="00A3067D">
        <w:tblPrEx>
          <w:tblCellMar>
            <w:top w:w="0" w:type="dxa"/>
            <w:bottom w:w="0" w:type="dxa"/>
          </w:tblCellMar>
        </w:tblPrEx>
        <w:tc>
          <w:tcPr>
            <w:tcW w:w="2268" w:type="dxa"/>
          </w:tcPr>
          <w:p w:rsidR="006E4E11" w:rsidRPr="00A3067D" w:rsidRDefault="007024B2" w:rsidP="007242A3">
            <w:pPr>
              <w:framePr w:w="5035" w:h="1644" w:wrap="notBeside" w:vAnchor="page" w:hAnchor="page" w:x="6573" w:y="721"/>
            </w:pPr>
            <w:r w:rsidRPr="00A3067D">
              <w:t>2011-09-29</w:t>
            </w:r>
          </w:p>
        </w:tc>
        <w:tc>
          <w:tcPr>
            <w:tcW w:w="2999" w:type="dxa"/>
            <w:gridSpan w:val="2"/>
          </w:tcPr>
          <w:p w:rsidR="006E4E11" w:rsidRPr="00A3067D" w:rsidRDefault="006E4E11" w:rsidP="007242A3">
            <w:pPr>
              <w:framePr w:w="5035" w:h="1644" w:wrap="notBeside" w:vAnchor="page" w:hAnchor="page" w:x="6573" w:y="721"/>
              <w:rPr>
                <w:sz w:val="20"/>
              </w:rPr>
            </w:pPr>
          </w:p>
        </w:tc>
      </w:tr>
      <w:tr w:rsidR="006E4E11" w:rsidRPr="00A3067D">
        <w:tblPrEx>
          <w:tblCellMar>
            <w:top w:w="0" w:type="dxa"/>
            <w:bottom w:w="0" w:type="dxa"/>
          </w:tblCellMar>
        </w:tblPrEx>
        <w:tc>
          <w:tcPr>
            <w:tcW w:w="2268" w:type="dxa"/>
          </w:tcPr>
          <w:p w:rsidR="006E4E11" w:rsidRPr="00A3067D" w:rsidRDefault="006E4E11" w:rsidP="007242A3">
            <w:pPr>
              <w:framePr w:w="5035" w:h="1644" w:wrap="notBeside" w:vAnchor="page" w:hAnchor="page" w:x="6573" w:y="721"/>
            </w:pPr>
          </w:p>
        </w:tc>
        <w:tc>
          <w:tcPr>
            <w:tcW w:w="2999" w:type="dxa"/>
            <w:gridSpan w:val="2"/>
          </w:tcPr>
          <w:p w:rsidR="006E4E11" w:rsidRPr="00A3067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3067D">
        <w:tblPrEx>
          <w:tblCellMar>
            <w:top w:w="0" w:type="dxa"/>
            <w:bottom w:w="0" w:type="dxa"/>
          </w:tblCellMar>
        </w:tblPrEx>
        <w:trPr>
          <w:trHeight w:val="284"/>
        </w:trPr>
        <w:tc>
          <w:tcPr>
            <w:tcW w:w="4911" w:type="dxa"/>
          </w:tcPr>
          <w:p w:rsidR="006E4E11" w:rsidRPr="00A3067D" w:rsidRDefault="007024B2">
            <w:pPr>
              <w:pStyle w:val="Avsndare"/>
              <w:framePr w:h="2483" w:wrap="notBeside" w:x="1504"/>
              <w:rPr>
                <w:b/>
                <w:i w:val="0"/>
                <w:sz w:val="22"/>
              </w:rPr>
            </w:pPr>
            <w:r w:rsidRPr="00A3067D">
              <w:rPr>
                <w:b/>
                <w:i w:val="0"/>
                <w:sz w:val="22"/>
              </w:rPr>
              <w:t>Miljödepartementet</w:t>
            </w:r>
          </w:p>
        </w:tc>
      </w:tr>
      <w:tr w:rsidR="006E4E11" w:rsidRPr="00A3067D">
        <w:tblPrEx>
          <w:tblCellMar>
            <w:top w:w="0" w:type="dxa"/>
            <w:bottom w:w="0" w:type="dxa"/>
          </w:tblCellMar>
        </w:tblPrEx>
        <w:trPr>
          <w:trHeight w:val="284"/>
        </w:trPr>
        <w:tc>
          <w:tcPr>
            <w:tcW w:w="4911" w:type="dxa"/>
          </w:tcPr>
          <w:p w:rsidR="006E4E11" w:rsidRPr="00A3067D" w:rsidRDefault="006E4E11">
            <w:pPr>
              <w:pStyle w:val="Avsndare"/>
              <w:framePr w:h="2483" w:wrap="notBeside" w:x="1504"/>
              <w:rPr>
                <w:bCs/>
                <w:iCs/>
              </w:rPr>
            </w:pPr>
          </w:p>
        </w:tc>
      </w:tr>
      <w:tr w:rsidR="006E4E11" w:rsidRPr="00A3067D">
        <w:tblPrEx>
          <w:tblCellMar>
            <w:top w:w="0" w:type="dxa"/>
            <w:bottom w:w="0" w:type="dxa"/>
          </w:tblCellMar>
        </w:tblPrEx>
        <w:trPr>
          <w:trHeight w:val="284"/>
        </w:trPr>
        <w:tc>
          <w:tcPr>
            <w:tcW w:w="4911" w:type="dxa"/>
          </w:tcPr>
          <w:p w:rsidR="006E4E11" w:rsidRPr="00A3067D" w:rsidRDefault="007024B2">
            <w:pPr>
              <w:pStyle w:val="Avsndare"/>
              <w:framePr w:h="2483" w:wrap="notBeside" w:x="1504"/>
              <w:rPr>
                <w:bCs/>
                <w:iCs/>
              </w:rPr>
            </w:pPr>
            <w:r w:rsidRPr="00A3067D">
              <w:rPr>
                <w:bCs/>
                <w:iCs/>
              </w:rPr>
              <w:t>Internationella sekretariatet</w:t>
            </w:r>
          </w:p>
        </w:tc>
      </w:tr>
      <w:tr w:rsidR="006E4E11" w:rsidRPr="00A3067D">
        <w:tblPrEx>
          <w:tblCellMar>
            <w:top w:w="0" w:type="dxa"/>
            <w:bottom w:w="0" w:type="dxa"/>
          </w:tblCellMar>
        </w:tblPrEx>
        <w:trPr>
          <w:trHeight w:val="284"/>
        </w:trPr>
        <w:tc>
          <w:tcPr>
            <w:tcW w:w="4911" w:type="dxa"/>
          </w:tcPr>
          <w:p w:rsidR="006E4E11" w:rsidRPr="00A3067D" w:rsidRDefault="006E4E11">
            <w:pPr>
              <w:pStyle w:val="Avsndare"/>
              <w:framePr w:h="2483" w:wrap="notBeside" w:x="1504"/>
              <w:rPr>
                <w:bCs/>
                <w:iCs/>
              </w:rPr>
            </w:pPr>
          </w:p>
        </w:tc>
      </w:tr>
      <w:tr w:rsidR="006E4E11" w:rsidRPr="00A3067D" w:rsidTr="007024B2">
        <w:tblPrEx>
          <w:tblCellMar>
            <w:top w:w="0" w:type="dxa"/>
            <w:bottom w:w="0" w:type="dxa"/>
          </w:tblCellMar>
        </w:tblPrEx>
        <w:trPr>
          <w:trHeight w:val="424"/>
        </w:trPr>
        <w:tc>
          <w:tcPr>
            <w:tcW w:w="4911" w:type="dxa"/>
          </w:tcPr>
          <w:p w:rsidR="006E4E11" w:rsidRPr="00A3067D" w:rsidRDefault="006E4E11">
            <w:pPr>
              <w:pStyle w:val="Avsndare"/>
              <w:framePr w:h="2483" w:wrap="notBeside" w:x="1504"/>
              <w:rPr>
                <w:bCs/>
                <w:iCs/>
              </w:rPr>
            </w:pPr>
          </w:p>
        </w:tc>
      </w:tr>
      <w:tr w:rsidR="006E4E11" w:rsidRPr="00A3067D">
        <w:tblPrEx>
          <w:tblCellMar>
            <w:top w:w="0" w:type="dxa"/>
            <w:bottom w:w="0" w:type="dxa"/>
          </w:tblCellMar>
        </w:tblPrEx>
        <w:trPr>
          <w:trHeight w:val="284"/>
        </w:trPr>
        <w:tc>
          <w:tcPr>
            <w:tcW w:w="4911" w:type="dxa"/>
          </w:tcPr>
          <w:p w:rsidR="006E4E11" w:rsidRPr="00A3067D" w:rsidRDefault="006E4E11">
            <w:pPr>
              <w:pStyle w:val="Avsndare"/>
              <w:framePr w:h="2483" w:wrap="notBeside" w:x="1504"/>
              <w:rPr>
                <w:bCs/>
                <w:iCs/>
              </w:rPr>
            </w:pPr>
          </w:p>
        </w:tc>
      </w:tr>
      <w:tr w:rsidR="007024B2" w:rsidRPr="00A3067D">
        <w:tblPrEx>
          <w:tblCellMar>
            <w:top w:w="0" w:type="dxa"/>
            <w:bottom w:w="0" w:type="dxa"/>
          </w:tblCellMar>
        </w:tblPrEx>
        <w:trPr>
          <w:trHeight w:val="284"/>
        </w:trPr>
        <w:tc>
          <w:tcPr>
            <w:tcW w:w="4911" w:type="dxa"/>
          </w:tcPr>
          <w:p w:rsidR="007024B2" w:rsidRPr="00A3067D" w:rsidRDefault="007024B2">
            <w:pPr>
              <w:pStyle w:val="Avsndare"/>
              <w:framePr w:h="2483" w:wrap="notBeside" w:x="1504"/>
              <w:rPr>
                <w:bCs/>
                <w:iCs/>
              </w:rPr>
            </w:pPr>
          </w:p>
        </w:tc>
      </w:tr>
    </w:tbl>
    <w:p w:rsidR="007024B2" w:rsidRPr="00A3067D" w:rsidRDefault="007024B2" w:rsidP="007024B2">
      <w:pPr>
        <w:framePr w:w="4400" w:h="2523" w:wrap="notBeside" w:vAnchor="page" w:hAnchor="page" w:x="6453" w:y="2445"/>
        <w:ind w:left="142"/>
      </w:pPr>
      <w:r w:rsidRPr="00A3067D">
        <w:t xml:space="preserve">EU-nämnden </w:t>
      </w:r>
      <w:r w:rsidRPr="00A3067D">
        <w:br/>
        <w:t>Miljö- och jordbruksutskottet</w:t>
      </w:r>
    </w:p>
    <w:p w:rsidR="006E4E11" w:rsidRPr="00A3067D" w:rsidRDefault="006E4E11">
      <w:pPr>
        <w:framePr w:w="4400" w:h="2523" w:wrap="notBeside" w:vAnchor="page" w:hAnchor="page" w:x="6453" w:y="2445"/>
        <w:ind w:left="142"/>
      </w:pPr>
    </w:p>
    <w:p w:rsidR="006E4E11" w:rsidRPr="00A3067D" w:rsidRDefault="006E4E11">
      <w:pPr>
        <w:pStyle w:val="RKrubrik"/>
        <w:spacing w:before="0" w:after="0"/>
      </w:pPr>
    </w:p>
    <w:p w:rsidR="006E4E11" w:rsidRPr="00A3067D" w:rsidRDefault="006E4E11">
      <w:pPr>
        <w:pStyle w:val="RKnormal"/>
      </w:pPr>
    </w:p>
    <w:p w:rsidR="007024B2" w:rsidRPr="00A3067D" w:rsidRDefault="007024B2" w:rsidP="007024B2">
      <w:pPr>
        <w:pStyle w:val="RKrubrik"/>
        <w:pBdr>
          <w:bottom w:val="single" w:sz="6" w:space="1" w:color="auto"/>
        </w:pBdr>
      </w:pPr>
      <w:r w:rsidRPr="00A3067D">
        <w:t xml:space="preserve">Rådets möte (miljö) den 10 oktober 2011 </w:t>
      </w:r>
    </w:p>
    <w:p w:rsidR="007024B2" w:rsidRPr="00A3067D" w:rsidRDefault="007024B2" w:rsidP="007024B2">
      <w:pPr>
        <w:pStyle w:val="RKrubrik"/>
      </w:pPr>
      <w:r w:rsidRPr="00A3067D">
        <w:t>Kommenterad dagordning</w:t>
      </w:r>
    </w:p>
    <w:p w:rsidR="007024B2" w:rsidRPr="00A3067D" w:rsidRDefault="007024B2" w:rsidP="007024B2">
      <w:pPr>
        <w:pStyle w:val="RKrubrik"/>
      </w:pPr>
      <w:r w:rsidRPr="00A3067D">
        <w:t>1.</w:t>
      </w:r>
      <w:r w:rsidRPr="00A3067D">
        <w:tab/>
        <w:t>Godkännande av dagordningen</w:t>
      </w:r>
    </w:p>
    <w:p w:rsidR="007024B2" w:rsidRPr="00A3067D" w:rsidRDefault="007024B2" w:rsidP="007024B2">
      <w:pPr>
        <w:pStyle w:val="RKrubrik"/>
      </w:pPr>
      <w:r w:rsidRPr="00A3067D">
        <w:t>2.</w:t>
      </w:r>
      <w:r w:rsidRPr="00A3067D">
        <w:tab/>
        <w:t>(och 3.) (ev.) Godkännande av A-punktslistan</w:t>
      </w:r>
    </w:p>
    <w:p w:rsidR="007024B2" w:rsidRPr="00A3067D" w:rsidRDefault="007024B2" w:rsidP="00406EBE">
      <w:pPr>
        <w:spacing w:line="240" w:lineRule="auto"/>
        <w:rPr>
          <w:color w:val="000000"/>
        </w:rPr>
      </w:pPr>
      <w:r w:rsidRPr="00A3067D">
        <w:rPr>
          <w:color w:val="000000"/>
        </w:rPr>
        <w:t>A-punktslistan är ännu inte känd.</w:t>
      </w:r>
    </w:p>
    <w:p w:rsidR="00C80D2E" w:rsidRPr="00A3067D" w:rsidRDefault="007024B2" w:rsidP="007024B2">
      <w:pPr>
        <w:pStyle w:val="RKrubrik"/>
        <w:rPr>
          <w:i/>
          <w:iCs/>
          <w:color w:val="000000"/>
        </w:rPr>
      </w:pPr>
      <w:r w:rsidRPr="00A3067D">
        <w:rPr>
          <w:szCs w:val="22"/>
        </w:rPr>
        <w:t>3.</w:t>
      </w:r>
      <w:r w:rsidRPr="00A3067D">
        <w:rPr>
          <w:szCs w:val="22"/>
        </w:rPr>
        <w:tab/>
      </w:r>
      <w:r w:rsidRPr="00A3067D">
        <w:t>(ev.) Godkännande av A-punktslistan</w:t>
      </w:r>
      <w:r w:rsidRPr="00A3067D">
        <w:rPr>
          <w:i/>
          <w:iCs/>
          <w:color w:val="000000"/>
        </w:rPr>
        <w:t>.</w:t>
      </w:r>
    </w:p>
    <w:p w:rsidR="00616F4F" w:rsidRPr="00A3067D" w:rsidRDefault="007024B2" w:rsidP="00616F4F">
      <w:pPr>
        <w:pStyle w:val="RKrubrik"/>
        <w:rPr>
          <w:rFonts w:ascii="OrigGarmnd BT" w:hAnsi="OrigGarmnd BT"/>
          <w:b w:val="0"/>
          <w:i/>
          <w:iCs/>
          <w:color w:val="000000"/>
          <w:sz w:val="24"/>
          <w:szCs w:val="24"/>
        </w:rPr>
      </w:pPr>
      <w:r w:rsidRPr="00A3067D">
        <w:rPr>
          <w:rFonts w:ascii="OrigGarmnd BT" w:hAnsi="OrigGarmnd BT"/>
          <w:b w:val="0"/>
          <w:sz w:val="24"/>
          <w:szCs w:val="24"/>
        </w:rPr>
        <w:t>Se punkt 2.</w:t>
      </w:r>
      <w:r w:rsidRPr="00A3067D">
        <w:rPr>
          <w:rFonts w:ascii="OrigGarmnd BT" w:hAnsi="OrigGarmnd BT"/>
          <w:b w:val="0"/>
          <w:i/>
          <w:sz w:val="24"/>
          <w:szCs w:val="24"/>
        </w:rPr>
        <w:br/>
      </w:r>
    </w:p>
    <w:p w:rsidR="00616F4F" w:rsidRPr="00A3067D" w:rsidRDefault="00616F4F" w:rsidP="00616F4F">
      <w:pPr>
        <w:tabs>
          <w:tab w:val="left" w:pos="600"/>
        </w:tabs>
        <w:spacing w:line="240" w:lineRule="auto"/>
        <w:ind w:left="600" w:hanging="600"/>
        <w:rPr>
          <w:rFonts w:ascii="TradeGothic" w:hAnsi="TradeGothic"/>
          <w:b/>
          <w:sz w:val="22"/>
          <w:szCs w:val="22"/>
        </w:rPr>
      </w:pPr>
      <w:r w:rsidRPr="00A3067D">
        <w:rPr>
          <w:rFonts w:ascii="TradeGothic" w:hAnsi="TradeGothic"/>
          <w:b/>
          <w:sz w:val="22"/>
          <w:szCs w:val="22"/>
        </w:rPr>
        <w:t>4.</w:t>
      </w:r>
      <w:r w:rsidRPr="00A3067D">
        <w:rPr>
          <w:rFonts w:ascii="TradeGothic" w:hAnsi="TradeGothic"/>
          <w:b/>
          <w:sz w:val="22"/>
          <w:szCs w:val="22"/>
        </w:rPr>
        <w:tab/>
        <w:t>Förberedelser inför den 17:e sessionen i partskonferensen (COP 17) för FN:s ramkonvention om klimatförändringar (UNFCCC) och den 7:e sessionen i partsmötet för Kyotoprotokollet (CMP 7) (Durban, Sydafrika, den 28 november–9 december 2010)</w:t>
      </w:r>
    </w:p>
    <w:p w:rsidR="00616F4F" w:rsidRPr="00A3067D" w:rsidRDefault="00616F4F" w:rsidP="00616F4F">
      <w:pPr>
        <w:pStyle w:val="EntEmet"/>
        <w:tabs>
          <w:tab w:val="clear" w:pos="851"/>
        </w:tabs>
        <w:spacing w:before="0"/>
        <w:ind w:left="567"/>
        <w:rPr>
          <w:rFonts w:ascii="TradeGothic" w:hAnsi="TradeGothic"/>
          <w:b/>
          <w:sz w:val="22"/>
          <w:szCs w:val="22"/>
        </w:rPr>
      </w:pPr>
      <w:r w:rsidRPr="00A3067D">
        <w:rPr>
          <w:rFonts w:ascii="TradeGothic" w:hAnsi="TradeGothic"/>
          <w:i/>
          <w:sz w:val="22"/>
          <w:szCs w:val="22"/>
        </w:rPr>
        <w:t xml:space="preserve"> - Antagande av rådets slutsatser</w:t>
      </w:r>
    </w:p>
    <w:p w:rsidR="00616F4F" w:rsidRPr="00A3067D" w:rsidRDefault="00616F4F" w:rsidP="00616F4F">
      <w:pPr>
        <w:pStyle w:val="Rubrik4"/>
        <w:rPr>
          <w:b w:val="0"/>
          <w:sz w:val="24"/>
          <w:szCs w:val="24"/>
        </w:rPr>
      </w:pPr>
      <w:r w:rsidRPr="00A3067D">
        <w:rPr>
          <w:b w:val="0"/>
          <w:sz w:val="24"/>
          <w:szCs w:val="24"/>
        </w:rPr>
        <w:t>Avsikten med behandlingen i rådet</w:t>
      </w:r>
    </w:p>
    <w:p w:rsidR="00616F4F" w:rsidRPr="00A3067D" w:rsidRDefault="00616F4F" w:rsidP="00616F4F">
      <w:pPr>
        <w:pStyle w:val="RKnormal"/>
        <w:rPr>
          <w:szCs w:val="24"/>
        </w:rPr>
      </w:pPr>
      <w:r w:rsidRPr="00A3067D">
        <w:rPr>
          <w:szCs w:val="24"/>
        </w:rPr>
        <w:t>Anta rådsslutsatser om EU:s ståndpunkter inför det sjuttonde partsmötet under FN:s klimatkonvention UNFCCC och inför det sjunde partsmötet under Kyotoprotokollet.</w:t>
      </w:r>
    </w:p>
    <w:p w:rsidR="00616F4F" w:rsidRPr="00A3067D" w:rsidRDefault="00616F4F" w:rsidP="00616F4F">
      <w:pPr>
        <w:pStyle w:val="Rubrik4"/>
        <w:rPr>
          <w:b w:val="0"/>
          <w:sz w:val="24"/>
          <w:szCs w:val="24"/>
        </w:rPr>
      </w:pPr>
      <w:r w:rsidRPr="00A3067D">
        <w:rPr>
          <w:b w:val="0"/>
          <w:sz w:val="24"/>
          <w:szCs w:val="24"/>
        </w:rPr>
        <w:t>Bakgrund</w:t>
      </w:r>
    </w:p>
    <w:p w:rsidR="00616F4F" w:rsidRPr="00A3067D" w:rsidRDefault="00616F4F" w:rsidP="00616F4F">
      <w:pPr>
        <w:pStyle w:val="RKnormal"/>
      </w:pPr>
      <w:r w:rsidRPr="00A3067D">
        <w:t xml:space="preserve">Den sjuttonde partskonferensen inom klimatkonventionen (UNFCCC) respektive det sjunde partsmötet inom Kyotoprotokollet äger rum i Durban, Sydafrika, den 28 november – 9 december 2011. Inför detta möte kommer EU:s miljöministerråd att anta slutsatser den 10 oktober 2011. </w:t>
      </w:r>
    </w:p>
    <w:p w:rsidR="00616F4F" w:rsidRPr="00A3067D" w:rsidRDefault="00616F4F" w:rsidP="00616F4F">
      <w:pPr>
        <w:pStyle w:val="RKnormal"/>
      </w:pPr>
    </w:p>
    <w:p w:rsidR="00616F4F" w:rsidRPr="00A3067D" w:rsidRDefault="00616F4F" w:rsidP="00616F4F">
      <w:pPr>
        <w:pStyle w:val="RKnormal"/>
        <w:rPr>
          <w:szCs w:val="24"/>
        </w:rPr>
      </w:pPr>
      <w:r w:rsidRPr="00A3067D">
        <w:lastRenderedPageBreak/>
        <w:t xml:space="preserve">De utestående frågorna inför miljörådsmötet handlar om EU:s position rörande Kyotoprotokollets andra åtagandeperiod och vilka villkor EU ska ställa på att framsteg också görs i förhandlingarna om ett övergripande, rättsligt bindande avtal som kan säkerställa att andra stora utsläppare, som står för en mycket stor majoritet av de globala utsläppen och som inte </w:t>
      </w:r>
      <w:r w:rsidRPr="00A3067D">
        <w:rPr>
          <w:szCs w:val="24"/>
        </w:rPr>
        <w:t xml:space="preserve">skulle omfattas av en andra åtagandeperiod, också bidrar till att lösa klimatproblemet. Utestående inför rådsmötet är också överskottet av AAU:s från </w:t>
      </w:r>
      <w:r w:rsidRPr="00A3067D">
        <w:t>Kyotoprotokollets första åtagandeperiod</w:t>
      </w:r>
    </w:p>
    <w:p w:rsidR="00616F4F" w:rsidRPr="00A3067D" w:rsidRDefault="00616F4F" w:rsidP="00616F4F">
      <w:pPr>
        <w:pStyle w:val="Rubrik4"/>
        <w:rPr>
          <w:b w:val="0"/>
          <w:sz w:val="24"/>
          <w:szCs w:val="24"/>
        </w:rPr>
      </w:pPr>
      <w:r w:rsidRPr="00A3067D">
        <w:rPr>
          <w:b w:val="0"/>
          <w:sz w:val="24"/>
          <w:szCs w:val="24"/>
        </w:rPr>
        <w:t>Förslag till svensk ståndpunkt</w:t>
      </w:r>
    </w:p>
    <w:p w:rsidR="00616F4F" w:rsidRPr="00A3067D" w:rsidRDefault="00616F4F" w:rsidP="00616F4F">
      <w:pPr>
        <w:pStyle w:val="RKnormal"/>
      </w:pPr>
      <w:r w:rsidRPr="00A3067D">
        <w:rPr>
          <w:szCs w:val="24"/>
        </w:rPr>
        <w:t>Regeringens mål är fortsatt ett övergripande rättsligt bindande ramverk som håller tvågradersmålet inom</w:t>
      </w:r>
      <w:r w:rsidRPr="00A3067D">
        <w:t xml:space="preserve"> räckhåll. EU och Sverige ska fortsatt vara ledande i detta arbete. Regeringen vill se ett starkt EU-mandat inför Durban som tydligt signalerar vikten av att gå framåt i förhandlingarna. </w:t>
      </w:r>
    </w:p>
    <w:p w:rsidR="00616F4F" w:rsidRPr="00A3067D" w:rsidRDefault="00616F4F" w:rsidP="00616F4F">
      <w:pPr>
        <w:pStyle w:val="RKnormal"/>
      </w:pPr>
    </w:p>
    <w:p w:rsidR="00616F4F" w:rsidRPr="00A3067D" w:rsidRDefault="00616F4F" w:rsidP="00616F4F">
      <w:pPr>
        <w:pStyle w:val="RKnormal"/>
        <w:rPr>
          <w:rFonts w:cs="OrigGarmnd BT"/>
          <w:color w:val="000000"/>
          <w:szCs w:val="24"/>
          <w:lang w:eastAsia="sv-SE"/>
        </w:rPr>
      </w:pPr>
      <w:r w:rsidRPr="00A3067D">
        <w:t xml:space="preserve">Regeringen ser behov av att EU i rådsslutsatserna tydliggör att andra parter också måste bidra för att en andra åtagandeperiod under Kyotoprotokollet ska vara verkningsfull.  </w:t>
      </w:r>
      <w:r w:rsidRPr="00A3067D">
        <w:rPr>
          <w:rFonts w:cs="OrigGarmnd BT"/>
          <w:color w:val="000000"/>
          <w:szCs w:val="24"/>
          <w:lang w:eastAsia="sv-SE"/>
        </w:rPr>
        <w:t xml:space="preserve">Regeringen </w:t>
      </w:r>
      <w:r w:rsidRPr="00A3067D">
        <w:rPr>
          <w:rFonts w:cs="OrigGarmnd BT"/>
          <w:bCs/>
          <w:color w:val="000000"/>
          <w:szCs w:val="24"/>
          <w:lang w:eastAsia="sv-SE"/>
        </w:rPr>
        <w:t xml:space="preserve">verkar </w:t>
      </w:r>
      <w:r w:rsidRPr="00A3067D">
        <w:rPr>
          <w:rFonts w:cs="OrigGarmnd BT"/>
          <w:color w:val="000000"/>
          <w:szCs w:val="24"/>
          <w:lang w:eastAsia="sv-SE"/>
        </w:rPr>
        <w:t xml:space="preserve">därför </w:t>
      </w:r>
      <w:r w:rsidRPr="00A3067D">
        <w:rPr>
          <w:rFonts w:cs="OrigGarmnd BT"/>
          <w:bCs/>
          <w:color w:val="000000"/>
          <w:szCs w:val="24"/>
          <w:lang w:eastAsia="sv-SE"/>
        </w:rPr>
        <w:t xml:space="preserve">för </w:t>
      </w:r>
      <w:r w:rsidRPr="00A3067D">
        <w:rPr>
          <w:rFonts w:cs="OrigGarmnd BT"/>
          <w:color w:val="000000"/>
          <w:szCs w:val="24"/>
          <w:lang w:eastAsia="sv-SE"/>
        </w:rPr>
        <w:t>att EU tydligt signalerar att vi ställer krav på ett klart förhandlingsmandat för en process som ska leda till ett övergripande rättsligt bindande ramverk inklusive ett slutdatum för när ett sådant ska träda ikraft och en tydlig definition av vilka element som bör ingå.</w:t>
      </w:r>
    </w:p>
    <w:p w:rsidR="00616F4F" w:rsidRPr="00A3067D" w:rsidRDefault="00616F4F" w:rsidP="00616F4F">
      <w:pPr>
        <w:pStyle w:val="RKnormal"/>
        <w:rPr>
          <w:szCs w:val="24"/>
        </w:rPr>
      </w:pPr>
    </w:p>
    <w:p w:rsidR="00616F4F" w:rsidRPr="00A3067D" w:rsidRDefault="00616F4F" w:rsidP="00616F4F">
      <w:pPr>
        <w:pStyle w:val="RKnormal"/>
      </w:pPr>
      <w:r w:rsidRPr="00A3067D">
        <w:t>Regeringen anser att överskottet av utsläppsrättsenheter, s.k. AAU:s från Kyotoprotokollets första åtagandeperiod kan vara ett problem för miljöeffektiviteten och att det bör hanteras så att sannolikheten att nå de långsiktiga målen inte minskar. Samtidigt anser Sverige att det är viktigt att incitament finns kvar för att länder ska vilja gå längre än sina mål.</w:t>
      </w:r>
    </w:p>
    <w:p w:rsidR="00616F4F" w:rsidRPr="00A3067D" w:rsidRDefault="00616F4F" w:rsidP="00616F4F">
      <w:pPr>
        <w:pStyle w:val="RKnormal"/>
      </w:pPr>
    </w:p>
    <w:p w:rsidR="00616F4F" w:rsidRPr="00A3067D" w:rsidRDefault="00616F4F" w:rsidP="00616F4F">
      <w:pPr>
        <w:pStyle w:val="RKnormal"/>
      </w:pPr>
      <w:r w:rsidRPr="00A3067D">
        <w:t>Regeringen vill se att EU befäster sin ledande roll i klimatarbetet och anser att EU i rådsslutsatserna därför också tydligt bör välkomna kommissionens meddelande från mars 2011 om en långsiktig strategi för ett konkurrenskraftigt koldioxidsnålt EU år 2050.</w:t>
      </w:r>
    </w:p>
    <w:p w:rsidR="00616F4F" w:rsidRPr="00A3067D" w:rsidRDefault="00616F4F" w:rsidP="00616F4F">
      <w:pPr>
        <w:pStyle w:val="RKnormal"/>
      </w:pPr>
    </w:p>
    <w:p w:rsidR="00616F4F" w:rsidRPr="00A3067D" w:rsidRDefault="00616F4F" w:rsidP="00616F4F">
      <w:pPr>
        <w:tabs>
          <w:tab w:val="left" w:pos="2835"/>
        </w:tabs>
        <w:overflowPunct/>
        <w:spacing w:line="240" w:lineRule="auto"/>
        <w:textAlignment w:val="auto"/>
        <w:rPr>
          <w:i/>
          <w:lang w:eastAsia="sv-SE"/>
        </w:rPr>
      </w:pPr>
      <w:r w:rsidRPr="00A3067D">
        <w:rPr>
          <w:i/>
          <w:lang w:eastAsia="sv-SE"/>
        </w:rPr>
        <w:t>Förslaget har inte tidigare behandlats i EU-nämnden.</w:t>
      </w:r>
    </w:p>
    <w:p w:rsidR="00616F4F" w:rsidRPr="00A3067D" w:rsidRDefault="00616F4F" w:rsidP="00616F4F">
      <w:pPr>
        <w:tabs>
          <w:tab w:val="left" w:pos="2835"/>
        </w:tabs>
        <w:overflowPunct/>
        <w:spacing w:line="240" w:lineRule="auto"/>
        <w:textAlignment w:val="auto"/>
        <w:rPr>
          <w:rFonts w:cs="OrigGarmnd BT"/>
          <w:i/>
          <w:iCs/>
          <w:color w:val="000000"/>
          <w:szCs w:val="24"/>
          <w:lang w:eastAsia="sv-SE"/>
        </w:rPr>
      </w:pPr>
      <w:r w:rsidRPr="00A3067D">
        <w:rPr>
          <w:rFonts w:cs="OrigGarmnd BT"/>
          <w:i/>
          <w:iCs/>
          <w:color w:val="000000"/>
          <w:szCs w:val="24"/>
          <w:lang w:eastAsia="sv-SE"/>
        </w:rPr>
        <w:t xml:space="preserve"> </w:t>
      </w:r>
    </w:p>
    <w:p w:rsidR="00616F4F" w:rsidRPr="00A3067D" w:rsidRDefault="00616F4F" w:rsidP="00616F4F">
      <w:pPr>
        <w:pStyle w:val="RKnormal"/>
        <w:rPr>
          <w:i/>
        </w:rPr>
      </w:pPr>
      <w:r w:rsidRPr="00A3067D">
        <w:rPr>
          <w:rFonts w:ascii="Times New Roman" w:hAnsi="Times New Roman"/>
          <w:i/>
          <w:color w:val="000000"/>
        </w:rPr>
        <w:t>Se bilaga 1.</w:t>
      </w:r>
    </w:p>
    <w:p w:rsidR="007024B2" w:rsidRPr="00A3067D" w:rsidRDefault="007024B2" w:rsidP="007024B2">
      <w:pPr>
        <w:pStyle w:val="RKnormal"/>
        <w:rPr>
          <w:i/>
          <w:iCs/>
          <w:color w:val="000000"/>
        </w:rPr>
      </w:pPr>
    </w:p>
    <w:p w:rsidR="00657105" w:rsidRPr="00A3067D" w:rsidRDefault="00657105" w:rsidP="00657105">
      <w:pPr>
        <w:pStyle w:val="EntEmet"/>
        <w:tabs>
          <w:tab w:val="clear" w:pos="284"/>
        </w:tabs>
        <w:ind w:left="567" w:hanging="567"/>
        <w:rPr>
          <w:rFonts w:ascii="TradeGothic" w:hAnsi="TradeGothic"/>
          <w:sz w:val="22"/>
          <w:szCs w:val="22"/>
        </w:rPr>
      </w:pPr>
      <w:r w:rsidRPr="00A3067D">
        <w:rPr>
          <w:rFonts w:ascii="TradeGothic" w:hAnsi="TradeGothic"/>
          <w:b/>
          <w:sz w:val="22"/>
          <w:szCs w:val="22"/>
        </w:rPr>
        <w:t>5.</w:t>
      </w:r>
      <w:r w:rsidRPr="00A3067D">
        <w:rPr>
          <w:rFonts w:ascii="TradeGothic" w:hAnsi="TradeGothic"/>
          <w:b/>
          <w:sz w:val="22"/>
          <w:szCs w:val="22"/>
        </w:rPr>
        <w:tab/>
        <w:t>Utvärdering av gemenskapens sjätte miljöhandlingsprogram och det fortsatta arbetet: Mot EU:s sjunde miljöhandlingsprogram</w:t>
      </w:r>
    </w:p>
    <w:p w:rsidR="00657105" w:rsidRPr="00A3067D" w:rsidRDefault="00657105" w:rsidP="00657105">
      <w:pPr>
        <w:spacing w:line="240" w:lineRule="auto"/>
        <w:ind w:left="1167" w:hanging="600"/>
        <w:rPr>
          <w:rFonts w:ascii="TradeGothic" w:hAnsi="TradeGothic"/>
          <w:i/>
          <w:sz w:val="22"/>
          <w:szCs w:val="22"/>
        </w:rPr>
      </w:pPr>
      <w:r w:rsidRPr="00A3067D">
        <w:rPr>
          <w:rFonts w:ascii="TradeGothic" w:hAnsi="TradeGothic"/>
          <w:i/>
          <w:sz w:val="22"/>
          <w:szCs w:val="22"/>
        </w:rPr>
        <w:t xml:space="preserve">– </w:t>
      </w:r>
      <w:r w:rsidRPr="00A3067D">
        <w:rPr>
          <w:rFonts w:ascii="TradeGothic" w:hAnsi="TradeGothic"/>
          <w:i/>
          <w:sz w:val="22"/>
          <w:szCs w:val="22"/>
        </w:rPr>
        <w:tab/>
        <w:t>Antagande av rådets slutsatser</w:t>
      </w:r>
    </w:p>
    <w:p w:rsidR="002F72EE" w:rsidRPr="00A3067D" w:rsidRDefault="002F72EE" w:rsidP="002F72EE">
      <w:pPr>
        <w:rPr>
          <w:rFonts w:eastAsia="MS Mincho"/>
          <w:i/>
          <w:lang w:eastAsia="ja-JP"/>
        </w:rPr>
      </w:pPr>
    </w:p>
    <w:p w:rsidR="002F72EE" w:rsidRPr="00A3067D" w:rsidRDefault="002F72EE" w:rsidP="002F72EE">
      <w:pPr>
        <w:rPr>
          <w:rFonts w:eastAsia="MS Mincho"/>
          <w:i/>
          <w:lang w:eastAsia="ja-JP"/>
        </w:rPr>
      </w:pPr>
      <w:r w:rsidRPr="00A3067D">
        <w:rPr>
          <w:rFonts w:eastAsia="MS Mincho"/>
          <w:i/>
          <w:lang w:eastAsia="ja-JP"/>
        </w:rPr>
        <w:t xml:space="preserve">Avsikten med behandlingen i rådet </w:t>
      </w:r>
    </w:p>
    <w:p w:rsidR="002F72EE" w:rsidRPr="00A3067D" w:rsidRDefault="002F72EE" w:rsidP="002F72EE">
      <w:pPr>
        <w:rPr>
          <w:rFonts w:eastAsia="MS Mincho"/>
          <w:lang w:eastAsia="ja-JP"/>
        </w:rPr>
      </w:pPr>
      <w:r w:rsidRPr="00A3067D">
        <w:rPr>
          <w:rFonts w:eastAsia="MS Mincho"/>
          <w:lang w:eastAsia="ja-JP"/>
        </w:rPr>
        <w:t xml:space="preserve">Anta rådsslutsatser på basis av kommissionens utvärdering av </w:t>
      </w:r>
      <w:r w:rsidR="002F68DD" w:rsidRPr="00A3067D">
        <w:rPr>
          <w:rFonts w:eastAsia="MS Mincho"/>
          <w:lang w:eastAsia="ja-JP"/>
        </w:rPr>
        <w:t xml:space="preserve">sjätte </w:t>
      </w:r>
      <w:r w:rsidRPr="00A3067D">
        <w:rPr>
          <w:rFonts w:eastAsia="MS Mincho"/>
          <w:lang w:eastAsia="ja-JP"/>
        </w:rPr>
        <w:t xml:space="preserve">miljöhandlingsprogrammet. </w:t>
      </w:r>
    </w:p>
    <w:p w:rsidR="002F72EE" w:rsidRPr="00A3067D" w:rsidRDefault="002F72EE" w:rsidP="002F72EE">
      <w:pPr>
        <w:rPr>
          <w:rFonts w:eastAsia="MS Mincho"/>
          <w:i/>
          <w:lang w:eastAsia="ja-JP"/>
        </w:rPr>
      </w:pPr>
    </w:p>
    <w:p w:rsidR="002F72EE" w:rsidRPr="00A3067D" w:rsidRDefault="002F72EE" w:rsidP="002F72EE">
      <w:pPr>
        <w:rPr>
          <w:rFonts w:eastAsia="MS Mincho"/>
          <w:i/>
          <w:lang w:eastAsia="ja-JP"/>
        </w:rPr>
      </w:pPr>
      <w:r w:rsidRPr="00A3067D">
        <w:rPr>
          <w:rFonts w:eastAsia="MS Mincho"/>
          <w:i/>
          <w:lang w:eastAsia="ja-JP"/>
        </w:rPr>
        <w:t xml:space="preserve">Bakgrund </w:t>
      </w:r>
    </w:p>
    <w:p w:rsidR="002F72EE" w:rsidRPr="00A3067D" w:rsidRDefault="002F72EE" w:rsidP="002F72EE">
      <w:r w:rsidRPr="00A3067D">
        <w:t>Det sjätte miljöhandlingsprogrammet (6MHP) antogs år 2002 och gäller t.o.m 2012. Kommissionens utvärdering av programmet baseras på en extern bedömning, resultatet från samråd med allmänheten</w:t>
      </w:r>
      <w:r w:rsidRPr="00A3067D">
        <w:rPr>
          <w:rStyle w:val="Fotnotsreferens"/>
          <w:szCs w:val="24"/>
        </w:rPr>
        <w:footnoteReference w:id="1"/>
      </w:r>
      <w:r w:rsidRPr="00A3067D">
        <w:t xml:space="preserve"> och Europeiska miljöbyråns rapport om miljöns tillstånd. </w:t>
      </w:r>
    </w:p>
    <w:p w:rsidR="002F72EE" w:rsidRPr="00A3067D" w:rsidRDefault="002F72EE" w:rsidP="002F72EE"/>
    <w:p w:rsidR="002F72EE" w:rsidRPr="00A3067D" w:rsidRDefault="002F72EE" w:rsidP="002F72EE">
      <w:r w:rsidRPr="00A3067D">
        <w:t xml:space="preserve">Kommissionen har i denna utvärdering funnit att det sjätte miljöhandlingsprogrammet på det hela taget har bidragit till att ge miljöpolitiken en övergripande ram under den gångna tioårsperioden och uppmuntrat till ett mer sammanhållande synsätt på hur miljöpolitik utformas. De flesta åtgärderna </w:t>
      </w:r>
      <w:r w:rsidR="0099658D" w:rsidRPr="00A3067D">
        <w:t xml:space="preserve">i </w:t>
      </w:r>
      <w:r w:rsidRPr="00A3067D">
        <w:t xml:space="preserve">programmet har eller håller på att genomföras. Programmet täcker i princip hela miljöområdet – luft, bekämpningsmedel, förebyggande och återvinning av avfall, naturresurser, mark, havsmiljö, stadsmiljö. </w:t>
      </w:r>
    </w:p>
    <w:p w:rsidR="002F72EE" w:rsidRPr="00A3067D" w:rsidRDefault="002F72EE" w:rsidP="002F72EE"/>
    <w:p w:rsidR="002F72EE" w:rsidRPr="00A3067D" w:rsidRDefault="002F72EE" w:rsidP="002F72EE">
      <w:r w:rsidRPr="00A3067D">
        <w:t>Samsynen mellan rådet och kommissionen av 6 MHP</w:t>
      </w:r>
      <w:r w:rsidR="009250E3" w:rsidRPr="00A3067D">
        <w:t>:s om rådsslutsatserna</w:t>
      </w:r>
      <w:r w:rsidRPr="00A3067D">
        <w:t xml:space="preserve"> är stor. I rådsslutsatserna görs referenser till ett nytt miljöhandlingsprogram. </w:t>
      </w:r>
      <w:r w:rsidR="007F6B08" w:rsidRPr="00A3067D">
        <w:t xml:space="preserve">Det som har diskuterats har varit tidpunkten för när rådet vill att kommissionen ska lämna sitt förslag till ett nytt miljöhandlingsprogram. </w:t>
      </w:r>
      <w:r w:rsidRPr="00A3067D">
        <w:t xml:space="preserve">Rådet vill se att kommissionen presenterar ett förslag </w:t>
      </w:r>
      <w:r w:rsidR="007F6B08" w:rsidRPr="00A3067D">
        <w:t xml:space="preserve">i januari </w:t>
      </w:r>
      <w:r w:rsidRPr="00A3067D">
        <w:t xml:space="preserve">2012 mot bakgrund av att </w:t>
      </w:r>
      <w:r w:rsidR="002F68DD" w:rsidRPr="00A3067D">
        <w:t>sjätte</w:t>
      </w:r>
      <w:r w:rsidRPr="00A3067D">
        <w:t xml:space="preserve"> miljöhandlingsprogrammet löper ut i juli 2012.</w:t>
      </w:r>
    </w:p>
    <w:p w:rsidR="002F72EE" w:rsidRPr="00A3067D" w:rsidRDefault="002F72EE" w:rsidP="002F72EE">
      <w:pPr>
        <w:rPr>
          <w:rFonts w:eastAsia="MS Mincho"/>
          <w:i/>
          <w:lang w:eastAsia="ja-JP"/>
        </w:rPr>
      </w:pPr>
    </w:p>
    <w:p w:rsidR="002F72EE" w:rsidRPr="00A3067D" w:rsidRDefault="002F72EE" w:rsidP="002F72EE">
      <w:pPr>
        <w:rPr>
          <w:rFonts w:eastAsia="MS Mincho"/>
          <w:i/>
          <w:lang w:eastAsia="ja-JP"/>
        </w:rPr>
      </w:pPr>
      <w:r w:rsidRPr="00A3067D">
        <w:rPr>
          <w:rFonts w:eastAsia="MS Mincho"/>
          <w:i/>
          <w:lang w:eastAsia="ja-JP"/>
        </w:rPr>
        <w:t xml:space="preserve">Förslag till svensk ståndpunkt </w:t>
      </w:r>
    </w:p>
    <w:p w:rsidR="002F72EE" w:rsidRPr="00A3067D" w:rsidRDefault="002F72EE" w:rsidP="002F72EE">
      <w:r w:rsidRPr="00A3067D">
        <w:rPr>
          <w:rFonts w:eastAsia="MS Mincho"/>
          <w:lang w:eastAsia="ja-JP"/>
        </w:rPr>
        <w:t xml:space="preserve">Regeringen välkomnar rådslutsatser om utvärderingen av det </w:t>
      </w:r>
      <w:r w:rsidR="002F68DD" w:rsidRPr="00A3067D">
        <w:rPr>
          <w:rFonts w:eastAsia="MS Mincho"/>
          <w:lang w:eastAsia="ja-JP"/>
        </w:rPr>
        <w:t>sjätte</w:t>
      </w:r>
      <w:r w:rsidRPr="00A3067D">
        <w:rPr>
          <w:rFonts w:eastAsia="MS Mincho"/>
          <w:lang w:eastAsia="ja-JP"/>
        </w:rPr>
        <w:t xml:space="preserve"> miljöhandlingsprogrammet och stödjer de rådslutsatser som ordförandeskapet har presenterat. Regeringen</w:t>
      </w:r>
      <w:r w:rsidRPr="00A3067D">
        <w:t xml:space="preserve"> anser att miljöhandlingsprogrammet är ett viktigt ramverk för den europeiska miljöpolitiken. Det tjänar till långsiktighet och kontinuitet av miljöagendan och borgar för ett holistiskt synsätt på miljöfrågor. </w:t>
      </w:r>
    </w:p>
    <w:p w:rsidR="002F72EE" w:rsidRPr="00A3067D" w:rsidRDefault="002F72EE" w:rsidP="002F72EE"/>
    <w:p w:rsidR="002F72EE" w:rsidRPr="00A3067D" w:rsidRDefault="002F72EE" w:rsidP="002F72EE">
      <w:r w:rsidRPr="00A3067D">
        <w:t>Regeringens instämmer med slutsatsen  att</w:t>
      </w:r>
      <w:r w:rsidR="003512F6" w:rsidRPr="00A3067D">
        <w:t xml:space="preserve"> </w:t>
      </w:r>
      <w:r w:rsidRPr="00A3067D">
        <w:t xml:space="preserve">en av de största bristerna med det </w:t>
      </w:r>
      <w:r w:rsidR="002F68DD" w:rsidRPr="00A3067D">
        <w:t>sjätte</w:t>
      </w:r>
      <w:r w:rsidRPr="00A3067D">
        <w:t xml:space="preserve"> miljöhandlingsprogrammet är att medlemsstaterna inte har genomfört åtaganden rörande målen i miljöhandlingsprogrammet på alla områden. Det </w:t>
      </w:r>
      <w:r w:rsidR="002F68DD" w:rsidRPr="00A3067D">
        <w:t>sjätte</w:t>
      </w:r>
      <w:r w:rsidRPr="00A3067D">
        <w:t xml:space="preserve"> miljöhandlingsprogrammet har inte heller lyckats fullt ut med ambitionen att genomsyra andra politikområden – så som jordbruk, fiske och transporter.</w:t>
      </w:r>
    </w:p>
    <w:p w:rsidR="002F72EE" w:rsidRPr="00A3067D" w:rsidRDefault="002F72EE" w:rsidP="002F72EE">
      <w:pPr>
        <w:rPr>
          <w:rFonts w:eastAsia="MS Mincho"/>
          <w:lang w:eastAsia="ja-JP"/>
        </w:rPr>
      </w:pPr>
    </w:p>
    <w:p w:rsidR="002F72EE" w:rsidRPr="00A3067D" w:rsidRDefault="002F72EE" w:rsidP="002F72EE">
      <w:r w:rsidRPr="00A3067D">
        <w:rPr>
          <w:rFonts w:eastAsia="MS Mincho"/>
          <w:lang w:eastAsia="ja-JP"/>
        </w:rPr>
        <w:t xml:space="preserve">Regeringen anser att det är viktigt att kommissionen presenterar ett nytt miljöhandlingsprogram så snart som möjligt 2012, vilket preciseras i rådslutsatserna. </w:t>
      </w:r>
    </w:p>
    <w:p w:rsidR="002F72EE" w:rsidRPr="00A3067D" w:rsidRDefault="002F72EE" w:rsidP="002F72EE">
      <w:pPr>
        <w:rPr>
          <w:rFonts w:eastAsia="MS Mincho"/>
          <w:i/>
          <w:lang w:eastAsia="ja-JP"/>
        </w:rPr>
      </w:pPr>
    </w:p>
    <w:p w:rsidR="002F72EE" w:rsidRPr="00A3067D" w:rsidRDefault="002F72EE" w:rsidP="002F72EE">
      <w:pPr>
        <w:rPr>
          <w:i/>
        </w:rPr>
      </w:pPr>
      <w:r w:rsidRPr="00A3067D">
        <w:rPr>
          <w:rFonts w:eastAsia="MS Mincho"/>
          <w:i/>
          <w:lang w:eastAsia="ja-JP"/>
        </w:rPr>
        <w:t xml:space="preserve">Förslaget har inte tidigare behandlats i EU-nämnden. </w:t>
      </w:r>
    </w:p>
    <w:p w:rsidR="00657105" w:rsidRPr="00A3067D" w:rsidRDefault="00657105" w:rsidP="00657105">
      <w:pPr>
        <w:spacing w:line="240" w:lineRule="auto"/>
        <w:ind w:left="1167" w:hanging="600"/>
        <w:rPr>
          <w:rFonts w:ascii="TradeGothic" w:hAnsi="TradeGothic"/>
          <w:sz w:val="22"/>
          <w:szCs w:val="22"/>
        </w:rPr>
      </w:pPr>
    </w:p>
    <w:p w:rsidR="007024B2" w:rsidRPr="00A3067D" w:rsidRDefault="00657105" w:rsidP="00534DFD">
      <w:r w:rsidRPr="00A3067D">
        <w:rPr>
          <w:i/>
        </w:rPr>
        <w:t>Se bilaga 2.</w:t>
      </w:r>
    </w:p>
    <w:p w:rsidR="00657105" w:rsidRPr="00A3067D" w:rsidRDefault="00657105" w:rsidP="007024B2">
      <w:pPr>
        <w:spacing w:line="240" w:lineRule="auto"/>
      </w:pPr>
    </w:p>
    <w:p w:rsidR="00534DFD" w:rsidRPr="00A3067D" w:rsidRDefault="00534DFD" w:rsidP="00534DFD">
      <w:pPr>
        <w:spacing w:line="240" w:lineRule="auto"/>
      </w:pPr>
    </w:p>
    <w:p w:rsidR="00534DFD" w:rsidRPr="00A3067D" w:rsidRDefault="00534DFD" w:rsidP="00534DFD">
      <w:pPr>
        <w:pStyle w:val="EntEmet"/>
        <w:ind w:left="567" w:hanging="567"/>
        <w:rPr>
          <w:rFonts w:ascii="TradeGothic" w:hAnsi="TradeGothic"/>
          <w:b/>
          <w:sz w:val="22"/>
          <w:szCs w:val="22"/>
        </w:rPr>
      </w:pPr>
      <w:r w:rsidRPr="00A3067D">
        <w:rPr>
          <w:rFonts w:ascii="TradeGothic" w:hAnsi="TradeGothic"/>
          <w:b/>
          <w:sz w:val="22"/>
          <w:szCs w:val="22"/>
        </w:rPr>
        <w:t>6.</w:t>
      </w:r>
      <w:r w:rsidRPr="00A3067D">
        <w:rPr>
          <w:rFonts w:ascii="TradeGothic" w:hAnsi="TradeGothic"/>
          <w:b/>
          <w:sz w:val="22"/>
          <w:szCs w:val="22"/>
        </w:rPr>
        <w:tab/>
      </w:r>
      <w:r w:rsidRPr="00A3067D">
        <w:rPr>
          <w:rFonts w:ascii="TradeGothic" w:hAnsi="TradeGothic"/>
          <w:b/>
          <w:sz w:val="22"/>
          <w:szCs w:val="22"/>
        </w:rPr>
        <w:tab/>
      </w:r>
      <w:r w:rsidRPr="00A3067D">
        <w:rPr>
          <w:rFonts w:ascii="TradeGothic" w:hAnsi="TradeGothic"/>
          <w:b/>
          <w:sz w:val="22"/>
          <w:szCs w:val="22"/>
        </w:rPr>
        <w:tab/>
      </w:r>
      <w:r w:rsidRPr="00A3067D">
        <w:rPr>
          <w:rFonts w:ascii="TradeGothic" w:hAnsi="TradeGothic"/>
          <w:b/>
          <w:sz w:val="22"/>
          <w:szCs w:val="22"/>
        </w:rPr>
        <w:tab/>
      </w:r>
      <w:r w:rsidRPr="00A3067D">
        <w:rPr>
          <w:rFonts w:ascii="TradeGothic" w:hAnsi="TradeGothic"/>
          <w:b/>
          <w:sz w:val="22"/>
          <w:szCs w:val="22"/>
        </w:rPr>
        <w:tab/>
        <w:t>Rio+20: mot en grön ekonomi och bättre styrning</w:t>
      </w:r>
    </w:p>
    <w:p w:rsidR="00534DFD" w:rsidRPr="00A3067D" w:rsidRDefault="00534DFD" w:rsidP="00534DFD">
      <w:pPr>
        <w:spacing w:line="240" w:lineRule="auto"/>
        <w:ind w:left="1167" w:hanging="600"/>
        <w:rPr>
          <w:rFonts w:ascii="TradeGothic" w:hAnsi="TradeGothic"/>
          <w:sz w:val="22"/>
          <w:szCs w:val="22"/>
        </w:rPr>
      </w:pPr>
      <w:r w:rsidRPr="00A3067D">
        <w:rPr>
          <w:rFonts w:ascii="TradeGothic" w:hAnsi="TradeGothic"/>
          <w:i/>
          <w:sz w:val="22"/>
          <w:szCs w:val="22"/>
        </w:rPr>
        <w:tab/>
      </w:r>
      <w:r w:rsidRPr="00A3067D">
        <w:rPr>
          <w:rFonts w:ascii="TradeGothic" w:hAnsi="TradeGothic"/>
          <w:i/>
          <w:sz w:val="22"/>
          <w:szCs w:val="22"/>
        </w:rPr>
        <w:tab/>
        <w:t>- Antagande av rådets slutsatser</w:t>
      </w:r>
    </w:p>
    <w:p w:rsidR="00534DFD" w:rsidRPr="00A3067D" w:rsidRDefault="00534DFD" w:rsidP="00534DFD">
      <w:pPr>
        <w:pStyle w:val="RKnormal"/>
        <w:rPr>
          <w:i/>
          <w:color w:val="000000"/>
        </w:rPr>
      </w:pPr>
    </w:p>
    <w:p w:rsidR="00534DFD" w:rsidRPr="00A3067D" w:rsidRDefault="00534DFD" w:rsidP="00534DFD">
      <w:pPr>
        <w:rPr>
          <w:i/>
        </w:rPr>
      </w:pPr>
      <w:r w:rsidRPr="00A3067D">
        <w:rPr>
          <w:i/>
        </w:rPr>
        <w:t>Avsikten med behandling av rådet</w:t>
      </w:r>
    </w:p>
    <w:p w:rsidR="00534DFD" w:rsidRPr="00A3067D" w:rsidRDefault="00534DFD" w:rsidP="00534DFD">
      <w:r w:rsidRPr="00A3067D">
        <w:t>Ordförandeskapets avsikt är att anta rådsslutsatser inför FN:s konferens om hållbar utveckling.</w:t>
      </w:r>
    </w:p>
    <w:p w:rsidR="00534DFD" w:rsidRPr="00A3067D" w:rsidRDefault="00534DFD" w:rsidP="00534DFD">
      <w:pPr>
        <w:rPr>
          <w:lang w:eastAsia="sv-SE"/>
        </w:rPr>
      </w:pPr>
    </w:p>
    <w:p w:rsidR="00534DFD" w:rsidRPr="00A3067D" w:rsidRDefault="00534DFD" w:rsidP="00534DFD">
      <w:pPr>
        <w:rPr>
          <w:i/>
          <w:lang w:eastAsia="sv-SE"/>
        </w:rPr>
      </w:pPr>
      <w:r w:rsidRPr="00A3067D">
        <w:rPr>
          <w:i/>
          <w:lang w:eastAsia="sv-SE"/>
        </w:rPr>
        <w:t xml:space="preserve">Bakgrund </w:t>
      </w:r>
    </w:p>
    <w:p w:rsidR="00534DFD" w:rsidRPr="00A3067D" w:rsidRDefault="00534DFD" w:rsidP="00534DFD">
      <w:r w:rsidRPr="00A3067D">
        <w:t xml:space="preserve">FN:s generalförsamling beslutade 2010 att en FN-konferens om hållbar utveckling (UNCSD, även kallad Rio +20) ska äga rum i Brasilien 4-6 juni 2012. Målet med konferensen är bl.a. att </w:t>
      </w:r>
      <w:r w:rsidRPr="00A3067D">
        <w:rPr>
          <w:iCs/>
        </w:rPr>
        <w:t>säkra förnyat politiskt engagemang för hållbar utveckling.</w:t>
      </w:r>
      <w:r w:rsidRPr="00A3067D">
        <w:t xml:space="preserve"> Konferensens två teman är grön ekonomi inom ramen för hållbar utveckling och fattigdomsbekämpning samt det institutionella ramverket för hållbar utveckling.</w:t>
      </w:r>
    </w:p>
    <w:p w:rsidR="00534DFD" w:rsidRPr="00A3067D" w:rsidRDefault="00534DFD" w:rsidP="00534DFD">
      <w:pPr>
        <w:rPr>
          <w:lang w:eastAsia="sv-SE"/>
        </w:rPr>
      </w:pPr>
    </w:p>
    <w:p w:rsidR="00534DFD" w:rsidRPr="00A3067D" w:rsidRDefault="00534DFD" w:rsidP="00534DFD">
      <w:pPr>
        <w:rPr>
          <w:lang w:eastAsia="sv-SE"/>
        </w:rPr>
      </w:pPr>
      <w:r w:rsidRPr="00A3067D">
        <w:rPr>
          <w:lang w:eastAsia="sv-SE"/>
        </w:rPr>
        <w:t>Ordförandeskapet har på basis av kommissionens meddelande om</w:t>
      </w:r>
      <w:r w:rsidRPr="00A3067D">
        <w:rPr>
          <w:rStyle w:val="Kommentarsreferens"/>
        </w:rPr>
        <w:t xml:space="preserve"> </w:t>
      </w:r>
      <w:r w:rsidRPr="00A3067D">
        <w:rPr>
          <w:lang w:eastAsia="sv-SE"/>
        </w:rPr>
        <w:t>Rio +20 (KOM (</w:t>
      </w:r>
      <w:r w:rsidRPr="00A3067D">
        <w:rPr>
          <w:szCs w:val="24"/>
          <w:lang w:eastAsia="sv-SE"/>
        </w:rPr>
        <w:t xml:space="preserve">2011) 363) </w:t>
      </w:r>
      <w:r w:rsidRPr="00A3067D">
        <w:rPr>
          <w:lang w:eastAsia="sv-SE"/>
        </w:rPr>
        <w:t xml:space="preserve">föreslagit rådsslutsatser. </w:t>
      </w:r>
    </w:p>
    <w:p w:rsidR="00534DFD" w:rsidRPr="00A3067D" w:rsidRDefault="00534DFD" w:rsidP="00534DFD">
      <w:pPr>
        <w:rPr>
          <w:lang w:eastAsia="sv-SE"/>
        </w:rPr>
      </w:pPr>
    </w:p>
    <w:p w:rsidR="00534DFD" w:rsidRPr="00A3067D" w:rsidRDefault="00534DFD" w:rsidP="00534DFD">
      <w:pPr>
        <w:rPr>
          <w:i/>
          <w:lang w:eastAsia="sv-SE"/>
        </w:rPr>
      </w:pPr>
      <w:r w:rsidRPr="00A3067D">
        <w:rPr>
          <w:i/>
          <w:lang w:eastAsia="sv-SE"/>
        </w:rPr>
        <w:t xml:space="preserve">Förslag till svensk ståndpunkt </w:t>
      </w:r>
    </w:p>
    <w:p w:rsidR="00534DFD" w:rsidRPr="00A3067D" w:rsidRDefault="00534DFD" w:rsidP="00534DFD">
      <w:r w:rsidRPr="00A3067D">
        <w:t xml:space="preserve">Regeringen stödjer ett antagande av rådsslutsatser. Rådsslutsatserna betonar att ett konkret resultat från Rio +20 bör inkludera en färdplan för grön ekonomi med specifika mål och åtgärder. Detta är i linje med regeringens förväntningar på att Rio +20 ska leverera konkreta mål som stärker övergången till en grön ekonomi. </w:t>
      </w:r>
    </w:p>
    <w:p w:rsidR="00534DFD" w:rsidRPr="00A3067D" w:rsidRDefault="00534DFD" w:rsidP="00534DFD"/>
    <w:p w:rsidR="00534DFD" w:rsidRPr="00A3067D" w:rsidRDefault="00534DFD" w:rsidP="00534DFD">
      <w:r w:rsidRPr="00A3067D">
        <w:t xml:space="preserve">Regeringen anser att vikten av demokrati, mänskliga rättigheter, jämställdhet, marknadsekonomi, hållbar produktion och konsumtion, institutionella reformer samt synergier mellan miljökonventioner ska återspeglas i rådsslutsatserna. Likaså tycker regeringen  att det är viktigt att EU är en konstruktiv och lyhörd aktör i förberedelserna inför Rio +20 liksom att olika aktörer och intressegrupper har en viktig roll i förberedelserna inför konferensen, vilket återspeglas i rådsslutsatserna. </w:t>
      </w:r>
    </w:p>
    <w:p w:rsidR="00534DFD" w:rsidRPr="00A3067D" w:rsidRDefault="00534DFD" w:rsidP="00534DFD"/>
    <w:p w:rsidR="00534DFD" w:rsidRPr="00A3067D" w:rsidRDefault="00534DFD" w:rsidP="00534DFD">
      <w:r w:rsidRPr="00A3067D">
        <w:t>Regeringen har fått gehör för att lyfta fram hållbar produktion och konsumtion. Regeringen anser att det finns ett stort behov av att stärka det institutionella ramverket för hållbar utveckling, inklusive den internationella miljöförvaltningen.</w:t>
      </w:r>
    </w:p>
    <w:p w:rsidR="00534DFD" w:rsidRPr="00A3067D" w:rsidRDefault="00534DFD" w:rsidP="00534DFD"/>
    <w:p w:rsidR="00534DFD" w:rsidRPr="00A3067D" w:rsidRDefault="00534DFD" w:rsidP="00534DFD">
      <w:pPr>
        <w:rPr>
          <w:i/>
        </w:rPr>
      </w:pPr>
      <w:r w:rsidRPr="00A3067D">
        <w:rPr>
          <w:i/>
        </w:rPr>
        <w:t xml:space="preserve">Förslaget har inte tidigare behandlats i EU-nämnden. En överläggning om kommissionens meddelande om Rio+20 ägde dock rum i Miljö- och jordbruksutskottet den 15 september 2011. </w:t>
      </w:r>
    </w:p>
    <w:p w:rsidR="00534DFD" w:rsidRPr="00A3067D" w:rsidRDefault="00534DFD" w:rsidP="00534DFD">
      <w:pPr>
        <w:pStyle w:val="RKnormal"/>
        <w:rPr>
          <w:i/>
          <w:color w:val="000000"/>
        </w:rPr>
      </w:pPr>
    </w:p>
    <w:p w:rsidR="00534DFD" w:rsidRPr="00A3067D" w:rsidRDefault="00534DFD" w:rsidP="00534DFD">
      <w:pPr>
        <w:pStyle w:val="RKnormal"/>
        <w:rPr>
          <w:i/>
        </w:rPr>
      </w:pPr>
      <w:r w:rsidRPr="00A3067D">
        <w:rPr>
          <w:i/>
          <w:color w:val="000000"/>
        </w:rPr>
        <w:t>Se bilaga 3.</w:t>
      </w:r>
    </w:p>
    <w:p w:rsidR="007024B2" w:rsidRPr="00A3067D" w:rsidRDefault="007024B2" w:rsidP="007024B2">
      <w:pPr>
        <w:pStyle w:val="RKnormal"/>
        <w:rPr>
          <w:i/>
          <w:color w:val="000000"/>
        </w:rPr>
      </w:pPr>
    </w:p>
    <w:p w:rsidR="007024B2" w:rsidRPr="00A3067D" w:rsidRDefault="007024B2" w:rsidP="007024B2">
      <w:pPr>
        <w:pStyle w:val="RKnormal"/>
      </w:pPr>
    </w:p>
    <w:p w:rsidR="007024B2" w:rsidRPr="00A3067D" w:rsidRDefault="007024B2" w:rsidP="007024B2">
      <w:pPr>
        <w:spacing w:line="240" w:lineRule="auto"/>
        <w:ind w:left="567" w:hanging="567"/>
        <w:rPr>
          <w:rFonts w:ascii="TradeGothic" w:hAnsi="TradeGothic"/>
          <w:b/>
        </w:rPr>
      </w:pPr>
      <w:r w:rsidRPr="00A3067D">
        <w:rPr>
          <w:rFonts w:ascii="TradeGothic" w:hAnsi="TradeGothic"/>
          <w:b/>
        </w:rPr>
        <w:t>7.</w:t>
      </w:r>
      <w:r w:rsidRPr="00A3067D">
        <w:rPr>
          <w:rFonts w:ascii="TradeGothic" w:hAnsi="TradeGothic"/>
          <w:b/>
        </w:rPr>
        <w:tab/>
      </w:r>
      <w:r w:rsidRPr="00A3067D">
        <w:rPr>
          <w:rFonts w:ascii="TradeGothic" w:hAnsi="TradeGothic"/>
          <w:b/>
        </w:rPr>
        <w:tab/>
        <w:t xml:space="preserve">Förberedelser inför det tionde mötet i konferensen mellan </w:t>
      </w:r>
      <w:r w:rsidRPr="00A3067D">
        <w:rPr>
          <w:rFonts w:ascii="TradeGothic" w:hAnsi="TradeGothic"/>
          <w:b/>
        </w:rPr>
        <w:tab/>
        <w:t xml:space="preserve">parterna i Baselkonventionen om kontroll av </w:t>
      </w:r>
      <w:r w:rsidRPr="00A3067D">
        <w:rPr>
          <w:rFonts w:ascii="TradeGothic" w:hAnsi="TradeGothic"/>
          <w:b/>
        </w:rPr>
        <w:tab/>
      </w:r>
      <w:r w:rsidRPr="00A3067D">
        <w:rPr>
          <w:rFonts w:ascii="TradeGothic" w:hAnsi="TradeGothic"/>
          <w:b/>
        </w:rPr>
        <w:tab/>
      </w:r>
      <w:r w:rsidRPr="00A3067D">
        <w:rPr>
          <w:rFonts w:ascii="TradeGothic" w:hAnsi="TradeGothic"/>
          <w:b/>
        </w:rPr>
        <w:tab/>
      </w:r>
      <w:r w:rsidRPr="00A3067D">
        <w:rPr>
          <w:rFonts w:ascii="TradeGothic" w:hAnsi="TradeGothic"/>
          <w:b/>
        </w:rPr>
        <w:tab/>
        <w:t xml:space="preserve">gränsöverskridande transporter och om slutligt </w:t>
      </w:r>
      <w:r w:rsidRPr="00A3067D">
        <w:rPr>
          <w:rFonts w:ascii="TradeGothic" w:hAnsi="TradeGothic"/>
          <w:b/>
        </w:rPr>
        <w:tab/>
      </w:r>
      <w:r w:rsidRPr="00A3067D">
        <w:rPr>
          <w:rFonts w:ascii="TradeGothic" w:hAnsi="TradeGothic"/>
          <w:b/>
        </w:rPr>
        <w:tab/>
      </w:r>
      <w:r w:rsidRPr="00A3067D">
        <w:rPr>
          <w:rFonts w:ascii="TradeGothic" w:hAnsi="TradeGothic"/>
          <w:b/>
        </w:rPr>
        <w:tab/>
      </w:r>
      <w:r w:rsidRPr="00A3067D">
        <w:rPr>
          <w:rFonts w:ascii="TradeGothic" w:hAnsi="TradeGothic"/>
          <w:b/>
        </w:rPr>
        <w:tab/>
        <w:t xml:space="preserve">omhändertagande av farligt avfall </w:t>
      </w:r>
      <w:r w:rsidRPr="00A3067D">
        <w:rPr>
          <w:rFonts w:ascii="TradeGothic" w:hAnsi="TradeGothic"/>
          <w:b/>
        </w:rPr>
        <w:br/>
      </w:r>
      <w:r w:rsidRPr="00A3067D">
        <w:rPr>
          <w:rFonts w:ascii="TradeGothic" w:hAnsi="TradeGothic"/>
          <w:b/>
        </w:rPr>
        <w:tab/>
        <w:t>(Cartagena, Colombia den 17–21 oktober</w:t>
      </w:r>
      <w:r w:rsidRPr="00A3067D">
        <w:rPr>
          <w:b/>
        </w:rPr>
        <w:t> </w:t>
      </w:r>
      <w:r w:rsidRPr="00A3067D">
        <w:rPr>
          <w:rFonts w:ascii="TradeGothic" w:hAnsi="TradeGothic"/>
          <w:b/>
        </w:rPr>
        <w:t>2011)</w:t>
      </w:r>
    </w:p>
    <w:p w:rsidR="007024B2" w:rsidRPr="00A3067D" w:rsidRDefault="007024B2" w:rsidP="007024B2">
      <w:pPr>
        <w:spacing w:line="240" w:lineRule="auto"/>
        <w:ind w:left="1167" w:hanging="600"/>
        <w:rPr>
          <w:rFonts w:ascii="TradeGothic" w:hAnsi="TradeGothic"/>
          <w:i/>
          <w:szCs w:val="24"/>
        </w:rPr>
      </w:pPr>
      <w:r w:rsidRPr="00A3067D">
        <w:rPr>
          <w:rFonts w:ascii="TradeGothic" w:hAnsi="TradeGothic"/>
          <w:i/>
        </w:rPr>
        <w:t>–</w:t>
      </w:r>
      <w:r w:rsidRPr="00A3067D">
        <w:rPr>
          <w:rFonts w:ascii="TradeGothic" w:hAnsi="TradeGothic"/>
          <w:i/>
        </w:rPr>
        <w:tab/>
        <w:t>Antagande av rådets beslut</w:t>
      </w:r>
    </w:p>
    <w:p w:rsidR="007024B2" w:rsidRPr="00A3067D" w:rsidRDefault="007024B2" w:rsidP="007024B2">
      <w:pPr>
        <w:spacing w:line="240" w:lineRule="auto"/>
        <w:ind w:left="1167" w:hanging="600"/>
        <w:rPr>
          <w:rFonts w:ascii="TradeGothic" w:hAnsi="TradeGothic"/>
          <w:i/>
          <w:szCs w:val="24"/>
        </w:rPr>
      </w:pPr>
      <w:r w:rsidRPr="00A3067D">
        <w:rPr>
          <w:rFonts w:ascii="TradeGothic" w:hAnsi="TradeGothic"/>
          <w:i/>
        </w:rPr>
        <w:t>–</w:t>
      </w:r>
      <w:r w:rsidRPr="00A3067D">
        <w:rPr>
          <w:rFonts w:ascii="TradeGothic" w:hAnsi="TradeGothic"/>
          <w:i/>
        </w:rPr>
        <w:tab/>
        <w:t>Antagande av rådets slutsatser</w:t>
      </w:r>
    </w:p>
    <w:p w:rsidR="007024B2" w:rsidRPr="00A3067D" w:rsidRDefault="007024B2" w:rsidP="007024B2">
      <w:pPr>
        <w:spacing w:line="240" w:lineRule="auto"/>
        <w:ind w:left="1200"/>
        <w:rPr>
          <w:rFonts w:ascii="TradeGothic" w:hAnsi="TradeGothic"/>
          <w:i/>
          <w:sz w:val="22"/>
          <w:szCs w:val="22"/>
        </w:rPr>
      </w:pPr>
    </w:p>
    <w:p w:rsidR="00702960" w:rsidRPr="00A3067D" w:rsidRDefault="00702960" w:rsidP="00702960">
      <w:pPr>
        <w:overflowPunct/>
        <w:spacing w:line="240" w:lineRule="auto"/>
        <w:textAlignment w:val="auto"/>
        <w:rPr>
          <w:rFonts w:cs="OrigGarmnd BT"/>
          <w:i/>
          <w:iCs/>
          <w:color w:val="000000"/>
          <w:szCs w:val="24"/>
          <w:lang w:eastAsia="sv-SE"/>
        </w:rPr>
      </w:pPr>
      <w:r w:rsidRPr="00A3067D">
        <w:rPr>
          <w:rFonts w:cs="OrigGarmnd BT"/>
          <w:i/>
          <w:iCs/>
          <w:color w:val="000000"/>
          <w:szCs w:val="24"/>
          <w:lang w:eastAsia="sv-SE"/>
        </w:rPr>
        <w:t xml:space="preserve">Avsikten med behandlingen i rådet </w:t>
      </w:r>
    </w:p>
    <w:p w:rsidR="00702960" w:rsidRPr="00A3067D" w:rsidRDefault="00702960" w:rsidP="00702960">
      <w:pPr>
        <w:tabs>
          <w:tab w:val="left" w:pos="2835"/>
        </w:tabs>
        <w:overflowPunct/>
        <w:spacing w:line="240" w:lineRule="auto"/>
        <w:textAlignment w:val="auto"/>
        <w:rPr>
          <w:rFonts w:cs="OrigGarmnd BT"/>
          <w:color w:val="000000"/>
          <w:szCs w:val="24"/>
          <w:lang w:eastAsia="sv-SE"/>
        </w:rPr>
      </w:pPr>
      <w:r w:rsidRPr="00A3067D">
        <w:rPr>
          <w:rFonts w:cs="OrigGarmnd BT"/>
          <w:color w:val="000000"/>
          <w:szCs w:val="24"/>
          <w:lang w:eastAsia="sv-SE"/>
        </w:rPr>
        <w:t>Anta rådslutsatser och rådsbeslut inför Baselkonventionens 10:e partsmöte.</w:t>
      </w:r>
    </w:p>
    <w:p w:rsidR="00702960" w:rsidRPr="00A3067D" w:rsidRDefault="00702960" w:rsidP="00702960">
      <w:pPr>
        <w:tabs>
          <w:tab w:val="left" w:pos="2835"/>
        </w:tabs>
        <w:overflowPunct/>
        <w:spacing w:line="240" w:lineRule="auto"/>
        <w:textAlignment w:val="auto"/>
        <w:rPr>
          <w:rFonts w:cs="OrigGarmnd BT"/>
          <w:color w:val="000000"/>
          <w:szCs w:val="24"/>
          <w:lang w:eastAsia="sv-SE"/>
        </w:rPr>
      </w:pPr>
    </w:p>
    <w:p w:rsidR="00702960" w:rsidRPr="00A3067D" w:rsidRDefault="00702960" w:rsidP="00702960">
      <w:pPr>
        <w:tabs>
          <w:tab w:val="left" w:pos="2835"/>
        </w:tabs>
        <w:overflowPunct/>
        <w:spacing w:line="240" w:lineRule="auto"/>
        <w:textAlignment w:val="auto"/>
        <w:rPr>
          <w:rFonts w:cs="OrigGarmnd BT"/>
          <w:i/>
          <w:iCs/>
          <w:color w:val="000000"/>
          <w:szCs w:val="24"/>
          <w:lang w:eastAsia="sv-SE"/>
        </w:rPr>
      </w:pPr>
      <w:r w:rsidRPr="00A3067D">
        <w:rPr>
          <w:rFonts w:cs="OrigGarmnd BT"/>
          <w:i/>
          <w:iCs/>
          <w:color w:val="000000"/>
          <w:szCs w:val="24"/>
          <w:lang w:eastAsia="sv-SE"/>
        </w:rPr>
        <w:t xml:space="preserve">Bakgrund </w:t>
      </w:r>
    </w:p>
    <w:p w:rsidR="00702960" w:rsidRPr="00A3067D" w:rsidRDefault="00702960" w:rsidP="00702960">
      <w:pPr>
        <w:tabs>
          <w:tab w:val="left" w:pos="2835"/>
        </w:tabs>
        <w:overflowPunct/>
        <w:spacing w:line="240" w:lineRule="auto"/>
        <w:textAlignment w:val="auto"/>
        <w:rPr>
          <w:rFonts w:cs="OrigGarmnd BT"/>
          <w:color w:val="000000"/>
          <w:szCs w:val="24"/>
          <w:lang w:eastAsia="sv-SE"/>
        </w:rPr>
      </w:pPr>
      <w:r w:rsidRPr="00A3067D">
        <w:rPr>
          <w:rFonts w:cs="OrigGarmnd BT"/>
          <w:color w:val="000000"/>
          <w:szCs w:val="24"/>
          <w:lang w:eastAsia="sv-SE"/>
        </w:rPr>
        <w:t xml:space="preserve">Baselkonventionen kommer att hålla nästa partsmöte 17-21 oktober i Cartagena Colombia (COP10). Under året har den viktigaste frågan varit det så kallade </w:t>
      </w:r>
      <w:r w:rsidRPr="00A3067D">
        <w:rPr>
          <w:rFonts w:cs="OrigGarmnd BT"/>
          <w:i/>
          <w:color w:val="000000"/>
          <w:szCs w:val="24"/>
          <w:lang w:eastAsia="sv-SE"/>
        </w:rPr>
        <w:t>Country Led Initiative (CLI)</w:t>
      </w:r>
      <w:r w:rsidRPr="00A3067D">
        <w:rPr>
          <w:rFonts w:cs="OrigGarmnd BT"/>
          <w:color w:val="000000"/>
          <w:szCs w:val="24"/>
          <w:lang w:eastAsia="sv-SE"/>
        </w:rPr>
        <w:t xml:space="preserve"> som syftar till att med ytterligare åtgärder hindra att utsatta länder får ta emot farligt avfall som de inte kan hantera, samt att försöka att enas om en tolkning av artikel 17:5 i Baselkonventionen (artikel 17:5) så att det kan fastställas när det ännu inte ratificerade Basel Ban Amendment (det s.k. Baselförbudet där export av farligt avfall från OECD länder till utvecklingsländer förbjuds) ska träda ikraft. </w:t>
      </w:r>
    </w:p>
    <w:p w:rsidR="00702960" w:rsidRPr="00A3067D" w:rsidRDefault="00702960" w:rsidP="00702960">
      <w:pPr>
        <w:tabs>
          <w:tab w:val="left" w:pos="2835"/>
        </w:tabs>
        <w:overflowPunct/>
        <w:spacing w:line="240" w:lineRule="auto"/>
        <w:textAlignment w:val="auto"/>
        <w:rPr>
          <w:rFonts w:cs="OrigGarmnd BT"/>
          <w:color w:val="000000"/>
          <w:szCs w:val="24"/>
          <w:lang w:eastAsia="sv-SE"/>
        </w:rPr>
      </w:pPr>
    </w:p>
    <w:p w:rsidR="00702960" w:rsidRPr="00A3067D" w:rsidRDefault="00702960" w:rsidP="00702960">
      <w:pPr>
        <w:tabs>
          <w:tab w:val="left" w:pos="2835"/>
        </w:tabs>
        <w:overflowPunct/>
        <w:spacing w:line="240" w:lineRule="auto"/>
        <w:textAlignment w:val="auto"/>
        <w:rPr>
          <w:rFonts w:cs="OrigGarmnd BT"/>
          <w:color w:val="000000"/>
          <w:szCs w:val="24"/>
          <w:lang w:eastAsia="sv-SE"/>
        </w:rPr>
      </w:pPr>
      <w:r w:rsidRPr="00A3067D">
        <w:rPr>
          <w:rFonts w:cs="OrigGarmnd BT"/>
          <w:color w:val="000000"/>
          <w:szCs w:val="24"/>
          <w:lang w:eastAsia="sv-SE"/>
        </w:rPr>
        <w:t xml:space="preserve">Artikel 17:5 anger under vilka förutsättningar tillägg till Baselkonventionen träder i kraft men dess ordalydelse är oklar och Parterna till konventionen har olika uppfattningar om hur många ratifikationer som krävs för att ett tillägg till konventionen ska träda ikraft. Eftersom parterna inte kunnat enas om en tolkning av denna artikel är det för närvarande oklart hur många ratifikationer som krävs för att tillägget om Baselförbudet ska träda ikraft.  </w:t>
      </w:r>
    </w:p>
    <w:p w:rsidR="00702960" w:rsidRPr="00A3067D" w:rsidRDefault="00702960" w:rsidP="00702960">
      <w:pPr>
        <w:tabs>
          <w:tab w:val="left" w:pos="2835"/>
        </w:tabs>
        <w:overflowPunct/>
        <w:spacing w:line="240" w:lineRule="auto"/>
        <w:textAlignment w:val="auto"/>
        <w:rPr>
          <w:rFonts w:cs="OrigGarmnd BT"/>
          <w:color w:val="000000"/>
          <w:szCs w:val="24"/>
          <w:lang w:eastAsia="sv-SE"/>
        </w:rPr>
      </w:pPr>
    </w:p>
    <w:p w:rsidR="00702960" w:rsidRPr="00A3067D" w:rsidRDefault="00702960" w:rsidP="00702960">
      <w:pPr>
        <w:tabs>
          <w:tab w:val="left" w:pos="2835"/>
        </w:tabs>
        <w:overflowPunct/>
        <w:spacing w:line="240" w:lineRule="auto"/>
        <w:textAlignment w:val="auto"/>
        <w:rPr>
          <w:rFonts w:cs="OrigGarmnd BT"/>
          <w:color w:val="000000"/>
          <w:szCs w:val="24"/>
          <w:lang w:eastAsia="sv-SE"/>
        </w:rPr>
      </w:pPr>
      <w:r w:rsidRPr="00A3067D">
        <w:rPr>
          <w:rFonts w:cs="OrigGarmnd BT"/>
          <w:color w:val="000000"/>
          <w:szCs w:val="24"/>
          <w:lang w:eastAsia="sv-SE"/>
        </w:rPr>
        <w:t>Inför varje partsmötet antar rådet rådslutsatser. Rådslutsatserna anger EU:s övergripande position på de relevanta frågor som kommer att behandlas på partsmötet.</w:t>
      </w:r>
      <w:r w:rsidR="0007536F" w:rsidRPr="00A3067D">
        <w:rPr>
          <w:rFonts w:cs="OrigGarmnd BT"/>
          <w:color w:val="000000"/>
          <w:szCs w:val="24"/>
          <w:lang w:eastAsia="sv-SE"/>
        </w:rPr>
        <w:t xml:space="preserve"> </w:t>
      </w:r>
      <w:r w:rsidRPr="00A3067D">
        <w:rPr>
          <w:rFonts w:cs="OrigGarmnd BT"/>
          <w:color w:val="000000"/>
          <w:szCs w:val="24"/>
          <w:lang w:eastAsia="sv-SE"/>
        </w:rPr>
        <w:t>Rådet ska även anta en gemensam ståndpunkt för hur EU anser att artikel 17:5 i Baselkonventionen ska tolkas. Artikel 17:5 anger under vilka förutsättningar tillägg till konventionen kan träda ikraft.</w:t>
      </w:r>
      <w:r w:rsidR="00B243C7" w:rsidRPr="00A3067D">
        <w:rPr>
          <w:rFonts w:cs="OrigGarmnd BT"/>
          <w:color w:val="000000"/>
          <w:szCs w:val="24"/>
          <w:lang w:eastAsia="sv-SE"/>
        </w:rPr>
        <w:t xml:space="preserve"> Det förutses ingen diskussion på miljörådet om varken rådsbeslut eller rådsslutsater.</w:t>
      </w:r>
    </w:p>
    <w:p w:rsidR="00702960" w:rsidRPr="00A3067D" w:rsidRDefault="00702960" w:rsidP="00702960">
      <w:pPr>
        <w:tabs>
          <w:tab w:val="left" w:pos="2835"/>
        </w:tabs>
        <w:overflowPunct/>
        <w:spacing w:line="240" w:lineRule="auto"/>
        <w:textAlignment w:val="auto"/>
        <w:rPr>
          <w:rFonts w:cs="OrigGarmnd BT"/>
          <w:color w:val="000000"/>
          <w:szCs w:val="24"/>
          <w:lang w:eastAsia="sv-SE"/>
        </w:rPr>
      </w:pPr>
    </w:p>
    <w:p w:rsidR="00702960" w:rsidRPr="00A3067D" w:rsidRDefault="00702960" w:rsidP="00702960">
      <w:pPr>
        <w:tabs>
          <w:tab w:val="left" w:pos="2835"/>
        </w:tabs>
        <w:overflowPunct/>
        <w:spacing w:line="240" w:lineRule="auto"/>
        <w:textAlignment w:val="auto"/>
        <w:rPr>
          <w:rFonts w:ascii="Times New Roman" w:hAnsi="Times New Roman"/>
          <w:i/>
          <w:iCs/>
          <w:color w:val="000000"/>
          <w:szCs w:val="24"/>
          <w:lang w:eastAsia="sv-SE"/>
        </w:rPr>
      </w:pPr>
      <w:r w:rsidRPr="00A3067D">
        <w:rPr>
          <w:rFonts w:ascii="Times New Roman" w:hAnsi="Times New Roman"/>
          <w:i/>
          <w:iCs/>
          <w:color w:val="000000"/>
          <w:szCs w:val="24"/>
          <w:lang w:eastAsia="sv-SE"/>
        </w:rPr>
        <w:t>Förslag till svensk ståndpunkt</w:t>
      </w:r>
    </w:p>
    <w:p w:rsidR="00702960" w:rsidRPr="00A3067D" w:rsidRDefault="00702960" w:rsidP="00702960">
      <w:pPr>
        <w:pStyle w:val="RKnormal"/>
      </w:pPr>
      <w:r w:rsidRPr="00A3067D">
        <w:t>Regeringen stödjer rådslutsatserna inför Baselkonventionens 10:e partsmöte och anser att rådslutsatserna omfattar de relevanta frågor som kommer att behandlas på partsmötet.</w:t>
      </w:r>
    </w:p>
    <w:p w:rsidR="007C12B9" w:rsidRPr="00A3067D" w:rsidRDefault="007C12B9" w:rsidP="00702960">
      <w:pPr>
        <w:pStyle w:val="RKnormal"/>
      </w:pPr>
    </w:p>
    <w:p w:rsidR="00702960" w:rsidRPr="00A3067D" w:rsidRDefault="00702960" w:rsidP="00702960">
      <w:pPr>
        <w:pStyle w:val="RKnormal"/>
      </w:pPr>
      <w:r w:rsidRPr="00A3067D">
        <w:t>Regeringen menar att det är av stor vikt att det fatt</w:t>
      </w:r>
      <w:r w:rsidR="003F11FB" w:rsidRPr="00A3067D">
        <w:t>as ett beslut om hur artikel 17:</w:t>
      </w:r>
      <w:r w:rsidRPr="00A3067D">
        <w:t>5 ska tolkas eftersom</w:t>
      </w:r>
      <w:r w:rsidR="003F11FB" w:rsidRPr="00A3067D">
        <w:t xml:space="preserve"> det annars förblir oklart när </w:t>
      </w:r>
      <w:r w:rsidRPr="00A3067D">
        <w:t xml:space="preserve">tillägget om Baselförbudet kan träda i kraft. Sverige stöder EU:s linje att tillägg till Baselkonventionen ska träda ikraft då ¾ av de parter som var parter då beslutet om tillägget antogs har ratificerat </w:t>
      </w:r>
      <w:r w:rsidR="003512F6" w:rsidRPr="00A3067D">
        <w:t>ett tillägg</w:t>
      </w:r>
      <w:r w:rsidRPr="00A3067D">
        <w:t>, s.k. ”fixed time approach”.</w:t>
      </w:r>
    </w:p>
    <w:p w:rsidR="00702960" w:rsidRPr="00A3067D" w:rsidRDefault="00702960" w:rsidP="00702960">
      <w:pPr>
        <w:pStyle w:val="RKnormal"/>
      </w:pPr>
    </w:p>
    <w:p w:rsidR="00702960" w:rsidRPr="00A3067D" w:rsidRDefault="00702960" w:rsidP="00702960">
      <w:pPr>
        <w:pStyle w:val="RKnormal"/>
      </w:pPr>
      <w:r w:rsidRPr="00A3067D">
        <w:t>Regeringen stöder att ett rådsbeslut om en gemensam ståndpunkt tas fram om tolkningen av artikel 17:5. Regeringen anser att det  är av stor vikt att Parterna vid COP10 fattar ett beslut om tolkningen av artikel 17:5 som har s.k. tolkningsvärde enligt Wienkonventionen och därmed kan anses ha rättslig verkan. Att beslutet har tolkningsvärde enligt Wienkonventionen innebär att beslutet får en större rättslig innebörd och  att hänsyn ska tas till beslutet när parterna till en konvention ska tillämpa dess regler.</w:t>
      </w:r>
    </w:p>
    <w:p w:rsidR="00702960" w:rsidRPr="00A3067D" w:rsidRDefault="00702960" w:rsidP="00702960">
      <w:pPr>
        <w:pStyle w:val="RKnormal"/>
      </w:pPr>
    </w:p>
    <w:p w:rsidR="00702960" w:rsidRPr="00A3067D" w:rsidRDefault="00702960" w:rsidP="00702960">
      <w:pPr>
        <w:pStyle w:val="RKnormal"/>
      </w:pPr>
      <w:r w:rsidRPr="00A3067D">
        <w:rPr>
          <w:rFonts w:cs="OrigGarmnd BT"/>
          <w:i/>
          <w:iCs/>
          <w:color w:val="000000"/>
          <w:szCs w:val="24"/>
          <w:lang w:eastAsia="sv-SE"/>
        </w:rPr>
        <w:t>Förslaget har ej tidigare behandlats i EU-nämnden.</w:t>
      </w:r>
    </w:p>
    <w:p w:rsidR="00406EBE" w:rsidRPr="00A3067D" w:rsidRDefault="00406EBE" w:rsidP="007024B2">
      <w:pPr>
        <w:pStyle w:val="RKnormal"/>
        <w:rPr>
          <w:rFonts w:ascii="Times New Roman" w:hAnsi="Times New Roman"/>
          <w:i/>
          <w:color w:val="000000"/>
          <w:highlight w:val="yellow"/>
        </w:rPr>
      </w:pPr>
    </w:p>
    <w:p w:rsidR="007024B2" w:rsidRPr="00A3067D" w:rsidRDefault="00657105" w:rsidP="007024B2">
      <w:pPr>
        <w:pStyle w:val="RKnormal"/>
        <w:rPr>
          <w:i/>
        </w:rPr>
      </w:pPr>
      <w:r w:rsidRPr="00A3067D">
        <w:rPr>
          <w:rFonts w:ascii="Times New Roman" w:hAnsi="Times New Roman"/>
          <w:i/>
          <w:color w:val="000000"/>
        </w:rPr>
        <w:t>Se bilaga 4.</w:t>
      </w:r>
    </w:p>
    <w:p w:rsidR="007024B2" w:rsidRPr="00A3067D" w:rsidRDefault="007024B2" w:rsidP="007024B2">
      <w:pPr>
        <w:pStyle w:val="RKnormal"/>
      </w:pPr>
    </w:p>
    <w:p w:rsidR="007024B2" w:rsidRPr="00A3067D" w:rsidRDefault="00AA5820" w:rsidP="007024B2">
      <w:pPr>
        <w:pStyle w:val="RKrubrik"/>
      </w:pPr>
      <w:r w:rsidRPr="00A3067D">
        <w:t>8</w:t>
      </w:r>
      <w:r w:rsidR="007024B2" w:rsidRPr="00A3067D">
        <w:t>.</w:t>
      </w:r>
      <w:r w:rsidR="007024B2" w:rsidRPr="00A3067D">
        <w:tab/>
        <w:t xml:space="preserve">Övriga frågor </w:t>
      </w:r>
    </w:p>
    <w:p w:rsidR="007024B2" w:rsidRPr="00A3067D" w:rsidRDefault="007024B2" w:rsidP="007024B2">
      <w:pPr>
        <w:pStyle w:val="RKnormal"/>
      </w:pPr>
    </w:p>
    <w:p w:rsidR="007024B2" w:rsidRPr="00A3067D" w:rsidRDefault="007024B2" w:rsidP="007024B2">
      <w:pPr>
        <w:tabs>
          <w:tab w:val="left" w:pos="567"/>
        </w:tabs>
        <w:spacing w:before="40" w:line="240" w:lineRule="auto"/>
        <w:ind w:left="1134" w:hanging="1134"/>
        <w:outlineLvl w:val="0"/>
        <w:rPr>
          <w:rFonts w:ascii="TradeGothic" w:hAnsi="TradeGothic"/>
          <w:b/>
          <w:sz w:val="22"/>
          <w:szCs w:val="22"/>
        </w:rPr>
      </w:pPr>
      <w:r w:rsidRPr="00A3067D">
        <w:rPr>
          <w:rFonts w:ascii="TradeGothic" w:hAnsi="TradeGothic"/>
          <w:b/>
          <w:sz w:val="22"/>
          <w:szCs w:val="22"/>
        </w:rPr>
        <w:t>a)</w:t>
      </w:r>
      <w:r w:rsidRPr="00A3067D">
        <w:rPr>
          <w:rFonts w:ascii="TradeGothic" w:hAnsi="TradeGothic"/>
          <w:sz w:val="22"/>
          <w:szCs w:val="22"/>
        </w:rPr>
        <w:tab/>
      </w:r>
      <w:r w:rsidR="00864D70" w:rsidRPr="00A3067D">
        <w:tab/>
      </w:r>
      <w:r w:rsidRPr="00A3067D">
        <w:rPr>
          <w:rFonts w:ascii="TradeGothic" w:hAnsi="TradeGothic"/>
          <w:b/>
          <w:sz w:val="22"/>
          <w:szCs w:val="22"/>
        </w:rPr>
        <w:t>Resultaten av det fjärde mötet i partskonferensen i konventionen om tillgång till information, allmänhetens deltagande i beslutsprocessen och tillgång till rättslig prövning i miljöfrågor (Chisinau, Republiken Moldavien den 29 juni–1 juli 2011)</w:t>
      </w:r>
    </w:p>
    <w:p w:rsidR="007024B2" w:rsidRPr="00A3067D" w:rsidRDefault="007024B2" w:rsidP="007024B2">
      <w:pPr>
        <w:spacing w:line="240" w:lineRule="auto"/>
        <w:ind w:left="1620" w:hanging="540"/>
        <w:rPr>
          <w:rFonts w:ascii="TradeGothic" w:hAnsi="TradeGothic"/>
          <w:i/>
          <w:sz w:val="22"/>
          <w:szCs w:val="22"/>
        </w:rPr>
      </w:pPr>
      <w:r w:rsidRPr="00A3067D">
        <w:rPr>
          <w:rFonts w:ascii="TradeGothic" w:hAnsi="TradeGothic"/>
          <w:i/>
          <w:sz w:val="22"/>
          <w:szCs w:val="22"/>
        </w:rPr>
        <w:t>–</w:t>
      </w:r>
      <w:r w:rsidRPr="00A3067D">
        <w:rPr>
          <w:rFonts w:ascii="TradeGothic" w:hAnsi="TradeGothic"/>
          <w:i/>
          <w:sz w:val="22"/>
          <w:szCs w:val="22"/>
        </w:rPr>
        <w:tab/>
        <w:t>Information från ordförandeskapet och kommissionen</w:t>
      </w:r>
    </w:p>
    <w:p w:rsidR="007024B2" w:rsidRPr="00A3067D" w:rsidRDefault="007024B2" w:rsidP="007024B2">
      <w:pPr>
        <w:spacing w:line="240" w:lineRule="auto"/>
      </w:pPr>
    </w:p>
    <w:p w:rsidR="000353B2" w:rsidRPr="00A3067D" w:rsidRDefault="000353B2" w:rsidP="00406EBE">
      <w:pPr>
        <w:overflowPunct/>
        <w:spacing w:line="240" w:lineRule="auto"/>
        <w:textAlignment w:val="auto"/>
        <w:rPr>
          <w:rFonts w:cs="Helv"/>
          <w:color w:val="000000"/>
          <w:szCs w:val="24"/>
          <w:lang w:eastAsia="sv-SE"/>
        </w:rPr>
      </w:pPr>
      <w:r w:rsidRPr="00A3067D">
        <w:rPr>
          <w:rFonts w:cs="Helv"/>
          <w:color w:val="000000"/>
          <w:szCs w:val="24"/>
          <w:lang w:eastAsia="sv-SE"/>
        </w:rPr>
        <w:t xml:space="preserve">Det fjortonde arbetsgruppsmötet och det fjärde partsmötet under Århuskonventionen </w:t>
      </w:r>
      <w:r w:rsidR="0007536F" w:rsidRPr="00A3067D">
        <w:rPr>
          <w:rFonts w:cs="Helv"/>
          <w:color w:val="000000"/>
          <w:szCs w:val="24"/>
          <w:lang w:eastAsia="sv-SE"/>
        </w:rPr>
        <w:t xml:space="preserve">(en konvention om tillgång till information, allmänhetens deltagande i beslut och rätt till överprövning i miljöfrågor) </w:t>
      </w:r>
      <w:r w:rsidRPr="00A3067D">
        <w:rPr>
          <w:rFonts w:cs="Helv"/>
          <w:color w:val="000000"/>
          <w:szCs w:val="24"/>
          <w:lang w:eastAsia="sv-SE"/>
        </w:rPr>
        <w:t xml:space="preserve">hölls den 27 juni–1 juli 2011 i Chisinau, Moldavien. Partsmötet behandlade en rad centrala frågor inom konventionens tillämpningsområde och beslutade bl.a. att ge förnyade mandat till </w:t>
      </w:r>
      <w:r w:rsidR="0007536F" w:rsidRPr="00A3067D">
        <w:rPr>
          <w:rFonts w:cs="Helv"/>
          <w:color w:val="000000"/>
          <w:szCs w:val="24"/>
          <w:lang w:eastAsia="sv-SE"/>
        </w:rPr>
        <w:t xml:space="preserve">flera </w:t>
      </w:r>
      <w:r w:rsidRPr="00A3067D">
        <w:rPr>
          <w:rFonts w:cs="Helv"/>
          <w:color w:val="000000"/>
          <w:szCs w:val="24"/>
          <w:lang w:eastAsia="sv-SE"/>
        </w:rPr>
        <w:t>expertgrupp</w:t>
      </w:r>
      <w:r w:rsidR="0007536F" w:rsidRPr="00A3067D">
        <w:rPr>
          <w:rFonts w:cs="Helv"/>
          <w:color w:val="000000"/>
          <w:szCs w:val="24"/>
          <w:lang w:eastAsia="sv-SE"/>
        </w:rPr>
        <w:t>er.</w:t>
      </w:r>
      <w:r w:rsidRPr="00A3067D">
        <w:rPr>
          <w:rFonts w:cs="Helv"/>
          <w:color w:val="000000"/>
          <w:szCs w:val="24"/>
          <w:lang w:eastAsia="sv-SE"/>
        </w:rPr>
        <w:t xml:space="preserve"> Partsmötet fattade också beslut om en procedur för anslutning till konventionen och om en deklaration som gör en tydlig koppling till det kommande mötet Rio +20. </w:t>
      </w:r>
      <w:r w:rsidRPr="00A3067D">
        <w:rPr>
          <w:rFonts w:cs="Helv"/>
          <w:color w:val="000000"/>
          <w:szCs w:val="24"/>
          <w:lang w:eastAsia="sv-SE"/>
        </w:rPr>
        <w:br/>
      </w:r>
    </w:p>
    <w:p w:rsidR="000353B2" w:rsidRPr="00A3067D" w:rsidRDefault="000353B2" w:rsidP="007024B2">
      <w:pPr>
        <w:spacing w:line="240" w:lineRule="auto"/>
        <w:rPr>
          <w:szCs w:val="24"/>
        </w:rPr>
      </w:pPr>
    </w:p>
    <w:p w:rsidR="007024B2" w:rsidRPr="00A3067D" w:rsidRDefault="007024B2" w:rsidP="007024B2">
      <w:pPr>
        <w:spacing w:line="240" w:lineRule="auto"/>
        <w:ind w:left="1080" w:hanging="513"/>
        <w:rPr>
          <w:rFonts w:ascii="TradeGothic" w:hAnsi="TradeGothic"/>
          <w:b/>
          <w:sz w:val="22"/>
          <w:szCs w:val="22"/>
        </w:rPr>
      </w:pPr>
      <w:r w:rsidRPr="00A3067D">
        <w:rPr>
          <w:rStyle w:val="Betoning"/>
          <w:rFonts w:ascii="TradeGothic" w:hAnsi="TradeGothic"/>
          <w:b/>
          <w:i w:val="0"/>
        </w:rPr>
        <w:t>b)</w:t>
      </w:r>
      <w:r w:rsidRPr="00A3067D">
        <w:rPr>
          <w:rStyle w:val="Betoning"/>
          <w:b/>
          <w:i w:val="0"/>
        </w:rPr>
        <w:tab/>
      </w:r>
      <w:r w:rsidRPr="00A3067D">
        <w:rPr>
          <w:rStyle w:val="Betoning"/>
          <w:rFonts w:ascii="TradeGothic" w:hAnsi="TradeGothic"/>
          <w:b/>
          <w:i w:val="0"/>
          <w:sz w:val="22"/>
          <w:szCs w:val="22"/>
        </w:rPr>
        <w:t xml:space="preserve">Resultaten av den sjunde </w:t>
      </w:r>
      <w:r w:rsidRPr="00A3067D">
        <w:rPr>
          <w:rFonts w:ascii="TradeGothic" w:hAnsi="TradeGothic"/>
          <w:b/>
          <w:sz w:val="22"/>
          <w:szCs w:val="22"/>
        </w:rPr>
        <w:t xml:space="preserve">ministerkonferensen </w:t>
      </w:r>
      <w:r w:rsidRPr="00A3067D">
        <w:rPr>
          <w:rFonts w:ascii="TradeGothic" w:hAnsi="TradeGothic"/>
          <w:b/>
          <w:i/>
          <w:sz w:val="22"/>
          <w:szCs w:val="22"/>
        </w:rPr>
        <w:t>Miljö för Europa</w:t>
      </w:r>
      <w:r w:rsidRPr="00A3067D">
        <w:rPr>
          <w:rFonts w:ascii="TradeGothic" w:hAnsi="TradeGothic"/>
          <w:b/>
          <w:sz w:val="22"/>
          <w:szCs w:val="22"/>
        </w:rPr>
        <w:t xml:space="preserve"> (</w:t>
      </w:r>
      <w:r w:rsidRPr="00A3067D">
        <w:rPr>
          <w:rStyle w:val="Betoning"/>
          <w:rFonts w:ascii="TradeGothic" w:hAnsi="TradeGothic"/>
          <w:b/>
          <w:i w:val="0"/>
          <w:sz w:val="22"/>
          <w:szCs w:val="22"/>
        </w:rPr>
        <w:t>Astana,</w:t>
      </w:r>
      <w:r w:rsidRPr="00A3067D">
        <w:rPr>
          <w:rFonts w:ascii="TradeGothic" w:hAnsi="TradeGothic"/>
          <w:b/>
          <w:sz w:val="22"/>
          <w:szCs w:val="22"/>
        </w:rPr>
        <w:t xml:space="preserve"> Kazakstan den</w:t>
      </w:r>
      <w:r w:rsidRPr="00A3067D">
        <w:rPr>
          <w:rStyle w:val="Betoning"/>
          <w:rFonts w:ascii="TradeGothic" w:hAnsi="TradeGothic"/>
          <w:b/>
          <w:i w:val="0"/>
          <w:sz w:val="22"/>
          <w:szCs w:val="22"/>
        </w:rPr>
        <w:t xml:space="preserve"> 21–23 september 2011)</w:t>
      </w:r>
    </w:p>
    <w:p w:rsidR="007024B2" w:rsidRPr="00A3067D" w:rsidRDefault="007024B2" w:rsidP="007024B2">
      <w:pPr>
        <w:spacing w:line="240" w:lineRule="auto"/>
        <w:ind w:left="1620" w:hanging="486"/>
        <w:rPr>
          <w:rFonts w:ascii="TradeGothic" w:hAnsi="TradeGothic"/>
          <w:i/>
          <w:sz w:val="22"/>
          <w:szCs w:val="22"/>
        </w:rPr>
      </w:pPr>
      <w:r w:rsidRPr="00A3067D">
        <w:rPr>
          <w:rFonts w:ascii="TradeGothic" w:hAnsi="TradeGothic"/>
          <w:i/>
          <w:sz w:val="22"/>
          <w:szCs w:val="22"/>
        </w:rPr>
        <w:t>–</w:t>
      </w:r>
      <w:r w:rsidRPr="00A3067D">
        <w:rPr>
          <w:rFonts w:ascii="TradeGothic" w:hAnsi="TradeGothic"/>
          <w:i/>
          <w:sz w:val="22"/>
          <w:szCs w:val="22"/>
        </w:rPr>
        <w:tab/>
        <w:t>Information från ordförandeskapet</w:t>
      </w:r>
    </w:p>
    <w:p w:rsidR="00605C08" w:rsidRPr="00A3067D" w:rsidRDefault="00605C08" w:rsidP="007024B2">
      <w:pPr>
        <w:spacing w:line="240" w:lineRule="auto"/>
        <w:ind w:left="1620" w:hanging="486"/>
        <w:rPr>
          <w:rFonts w:ascii="TradeGothic" w:hAnsi="TradeGothic"/>
          <w:i/>
          <w:sz w:val="22"/>
          <w:szCs w:val="22"/>
        </w:rPr>
      </w:pPr>
    </w:p>
    <w:p w:rsidR="000353B2" w:rsidRPr="00A3067D" w:rsidRDefault="001B75CF" w:rsidP="0007536F">
      <w:pPr>
        <w:pStyle w:val="RKnormal"/>
      </w:pPr>
      <w:r w:rsidRPr="00A3067D">
        <w:t>Den 7:e Ministerkonferensen</w:t>
      </w:r>
      <w:r w:rsidR="000353B2" w:rsidRPr="00A3067D">
        <w:t xml:space="preserve"> Miljö för Europa ägde rum 21-23 september 2011 i Kazakstan. De två huvudtemana för konferensen var hållbar vattenförvaltning och grön ekonomi. Mötet markerade 20 års miljösamarbete inom Miljö för Europa-processen. Till konferensen presenterades en utvärdering av regionens gränsöverskridande </w:t>
      </w:r>
      <w:r w:rsidR="00563559" w:rsidRPr="00A3067D">
        <w:t>vattendrag och grundvatten</w:t>
      </w:r>
      <w:r w:rsidR="0007536F" w:rsidRPr="00A3067D">
        <w:t xml:space="preserve"> av UNECE:s vattenkonvention</w:t>
      </w:r>
      <w:r w:rsidR="000353B2" w:rsidRPr="00A3067D">
        <w:t xml:space="preserve"> samt en övergripande miljöutvärdering av hela regionen inom </w:t>
      </w:r>
      <w:r w:rsidR="0007536F" w:rsidRPr="00A3067D">
        <w:t xml:space="preserve">områden vatten och grön ekonomi </w:t>
      </w:r>
      <w:r w:rsidR="000353B2" w:rsidRPr="00A3067D">
        <w:t>av EU:s milj</w:t>
      </w:r>
      <w:r w:rsidR="00563559" w:rsidRPr="00A3067D">
        <w:t xml:space="preserve">öbyrå EEA. </w:t>
      </w:r>
      <w:r w:rsidR="000353B2" w:rsidRPr="00A3067D">
        <w:t xml:space="preserve">Resultaten av Astana-konferensen ska </w:t>
      </w:r>
      <w:r w:rsidR="00563559" w:rsidRPr="00A3067D">
        <w:t>spela in</w:t>
      </w:r>
      <w:r w:rsidR="000353B2" w:rsidRPr="00A3067D">
        <w:t xml:space="preserve"> i UNECE-regionens bidrag till UNCSD i Rio 2012.</w:t>
      </w:r>
      <w:r w:rsidRPr="00A3067D">
        <w:t xml:space="preserve"> </w:t>
      </w:r>
      <w:r w:rsidR="0007536F" w:rsidRPr="00A3067D">
        <w:t xml:space="preserve">En ministerdeklaration antogs vid mötet. </w:t>
      </w:r>
    </w:p>
    <w:p w:rsidR="007024B2" w:rsidRPr="00A3067D" w:rsidRDefault="007024B2" w:rsidP="007024B2">
      <w:pPr>
        <w:spacing w:line="240" w:lineRule="auto"/>
        <w:ind w:left="567"/>
        <w:rPr>
          <w:b/>
          <w:szCs w:val="24"/>
        </w:rPr>
      </w:pPr>
    </w:p>
    <w:p w:rsidR="007024B2" w:rsidRPr="00A3067D" w:rsidRDefault="007024B2" w:rsidP="007024B2">
      <w:pPr>
        <w:spacing w:line="240" w:lineRule="auto"/>
        <w:ind w:left="1080" w:hanging="513"/>
        <w:rPr>
          <w:rFonts w:ascii="TradeGothic" w:hAnsi="TradeGothic"/>
          <w:b/>
          <w:sz w:val="22"/>
          <w:szCs w:val="22"/>
        </w:rPr>
      </w:pPr>
      <w:r w:rsidRPr="00A3067D">
        <w:rPr>
          <w:rFonts w:ascii="TradeGothic" w:hAnsi="TradeGothic"/>
          <w:b/>
          <w:sz w:val="22"/>
          <w:szCs w:val="22"/>
        </w:rPr>
        <w:t>c)</w:t>
      </w:r>
      <w:r w:rsidRPr="00A3067D">
        <w:rPr>
          <w:rFonts w:ascii="TradeGothic" w:hAnsi="TradeGothic"/>
          <w:b/>
          <w:sz w:val="22"/>
          <w:szCs w:val="22"/>
        </w:rPr>
        <w:tab/>
        <w:t>Färdplan för EU:s ratificering av protokollet om tillträde och fördelning av vinster</w:t>
      </w:r>
    </w:p>
    <w:p w:rsidR="007024B2" w:rsidRPr="00A3067D" w:rsidRDefault="007024B2" w:rsidP="007024B2">
      <w:pPr>
        <w:spacing w:line="240" w:lineRule="auto"/>
        <w:ind w:left="1620" w:hanging="513"/>
        <w:rPr>
          <w:rFonts w:ascii="TradeGothic" w:hAnsi="TradeGothic"/>
          <w:i/>
          <w:sz w:val="22"/>
          <w:szCs w:val="22"/>
        </w:rPr>
      </w:pPr>
      <w:r w:rsidRPr="00A3067D">
        <w:rPr>
          <w:rFonts w:ascii="TradeGothic" w:hAnsi="TradeGothic"/>
          <w:i/>
          <w:sz w:val="22"/>
          <w:szCs w:val="22"/>
        </w:rPr>
        <w:t>–</w:t>
      </w:r>
      <w:r w:rsidRPr="00A3067D">
        <w:rPr>
          <w:rFonts w:ascii="TradeGothic" w:hAnsi="TradeGothic"/>
          <w:i/>
          <w:sz w:val="22"/>
          <w:szCs w:val="22"/>
        </w:rPr>
        <w:tab/>
        <w:t xml:space="preserve">Information från kommission </w:t>
      </w:r>
    </w:p>
    <w:p w:rsidR="000353B2" w:rsidRPr="00A3067D" w:rsidRDefault="000353B2" w:rsidP="007024B2">
      <w:pPr>
        <w:spacing w:line="240" w:lineRule="auto"/>
        <w:ind w:left="1620" w:hanging="513"/>
        <w:rPr>
          <w:rFonts w:ascii="TradeGothic" w:hAnsi="TradeGothic"/>
          <w:i/>
          <w:sz w:val="22"/>
          <w:szCs w:val="22"/>
        </w:rPr>
      </w:pPr>
    </w:p>
    <w:p w:rsidR="000353B2" w:rsidRPr="00A3067D" w:rsidRDefault="000353B2" w:rsidP="000353B2">
      <w:pPr>
        <w:overflowPunct/>
        <w:spacing w:line="240" w:lineRule="auto"/>
        <w:textAlignment w:val="auto"/>
        <w:rPr>
          <w:rFonts w:cs="Helv"/>
          <w:color w:val="000000"/>
          <w:szCs w:val="24"/>
          <w:lang w:eastAsia="sv-SE"/>
        </w:rPr>
      </w:pPr>
      <w:r w:rsidRPr="00A3067D">
        <w:rPr>
          <w:rFonts w:cs="Helv"/>
          <w:color w:val="000000"/>
          <w:szCs w:val="24"/>
          <w:lang w:eastAsia="sv-SE"/>
        </w:rPr>
        <w:t>K</w:t>
      </w:r>
      <w:r w:rsidR="00DD291C" w:rsidRPr="00A3067D">
        <w:rPr>
          <w:rFonts w:cs="Helv"/>
          <w:color w:val="000000"/>
          <w:szCs w:val="24"/>
          <w:lang w:eastAsia="sv-SE"/>
        </w:rPr>
        <w:t xml:space="preserve">ommissionen </w:t>
      </w:r>
      <w:r w:rsidRPr="00A3067D">
        <w:rPr>
          <w:rFonts w:cs="Helv"/>
          <w:color w:val="000000"/>
          <w:szCs w:val="24"/>
          <w:lang w:eastAsia="sv-SE"/>
        </w:rPr>
        <w:t>har tagit fram en färdplan för EU:s ratifikation av Nagoyaprotokollet om A</w:t>
      </w:r>
      <w:r w:rsidR="00DD291C" w:rsidRPr="00A3067D">
        <w:rPr>
          <w:rFonts w:cs="Helv"/>
          <w:color w:val="000000"/>
          <w:szCs w:val="24"/>
          <w:lang w:eastAsia="sv-SE"/>
        </w:rPr>
        <w:t>BS (Access and Benefit Sharing</w:t>
      </w:r>
      <w:r w:rsidR="001B75CF" w:rsidRPr="00A3067D">
        <w:rPr>
          <w:rFonts w:cs="Helv"/>
          <w:color w:val="000000"/>
          <w:szCs w:val="24"/>
          <w:lang w:eastAsia="sv-SE"/>
        </w:rPr>
        <w:t>). ABS behandlar</w:t>
      </w:r>
      <w:r w:rsidRPr="00A3067D">
        <w:rPr>
          <w:rFonts w:cs="Helv"/>
          <w:color w:val="000000"/>
          <w:szCs w:val="24"/>
          <w:lang w:eastAsia="sv-SE"/>
        </w:rPr>
        <w:t xml:space="preserve"> tillträde till genetiska resurser och en rättvis fördelning av den nytta som uppkommer</w:t>
      </w:r>
      <w:r w:rsidR="001B75CF" w:rsidRPr="00A3067D">
        <w:rPr>
          <w:rFonts w:cs="Helv"/>
          <w:color w:val="000000"/>
          <w:szCs w:val="24"/>
          <w:lang w:eastAsia="sv-SE"/>
        </w:rPr>
        <w:t xml:space="preserve"> då sådana resurser används</w:t>
      </w:r>
      <w:r w:rsidR="00563559" w:rsidRPr="00A3067D">
        <w:rPr>
          <w:rFonts w:cs="Helv"/>
          <w:color w:val="000000"/>
          <w:szCs w:val="24"/>
          <w:lang w:eastAsia="sv-SE"/>
        </w:rPr>
        <w:t>. Nagoyaprotokollet</w:t>
      </w:r>
      <w:r w:rsidRPr="00A3067D">
        <w:rPr>
          <w:rFonts w:cs="Helv"/>
          <w:color w:val="000000"/>
          <w:szCs w:val="24"/>
          <w:lang w:eastAsia="sv-SE"/>
        </w:rPr>
        <w:t xml:space="preserve"> </w:t>
      </w:r>
      <w:r w:rsidR="00563559" w:rsidRPr="00A3067D">
        <w:rPr>
          <w:rFonts w:cs="Helv"/>
          <w:color w:val="000000"/>
          <w:szCs w:val="24"/>
          <w:lang w:eastAsia="sv-SE"/>
        </w:rPr>
        <w:t>an</w:t>
      </w:r>
      <w:r w:rsidRPr="00A3067D">
        <w:rPr>
          <w:rFonts w:cs="Helv"/>
          <w:color w:val="000000"/>
          <w:szCs w:val="24"/>
          <w:lang w:eastAsia="sv-SE"/>
        </w:rPr>
        <w:t xml:space="preserve">togs som beslut vid </w:t>
      </w:r>
      <w:r w:rsidR="001B75CF" w:rsidRPr="00A3067D">
        <w:rPr>
          <w:rFonts w:cs="Helv"/>
          <w:color w:val="000000"/>
          <w:szCs w:val="24"/>
          <w:lang w:eastAsia="sv-SE"/>
        </w:rPr>
        <w:t>Partsmötet för Konventionen om b</w:t>
      </w:r>
      <w:r w:rsidRPr="00A3067D">
        <w:rPr>
          <w:rFonts w:cs="Helv"/>
          <w:color w:val="000000"/>
          <w:szCs w:val="24"/>
          <w:lang w:eastAsia="sv-SE"/>
        </w:rPr>
        <w:t xml:space="preserve">iologisk mångfald (CBD) </w:t>
      </w:r>
      <w:r w:rsidR="001B75CF" w:rsidRPr="00A3067D">
        <w:rPr>
          <w:rFonts w:cs="Helv"/>
          <w:color w:val="000000"/>
          <w:szCs w:val="24"/>
          <w:lang w:eastAsia="sv-SE"/>
        </w:rPr>
        <w:t xml:space="preserve">i </w:t>
      </w:r>
      <w:r w:rsidRPr="00A3067D">
        <w:rPr>
          <w:rFonts w:cs="Helv"/>
          <w:color w:val="000000"/>
          <w:szCs w:val="24"/>
          <w:lang w:eastAsia="sv-SE"/>
        </w:rPr>
        <w:t xml:space="preserve">oktober 2010. </w:t>
      </w:r>
      <w:r w:rsidR="00DD291C" w:rsidRPr="00A3067D">
        <w:rPr>
          <w:rFonts w:cs="Helv"/>
          <w:color w:val="000000"/>
          <w:szCs w:val="24"/>
          <w:lang w:eastAsia="sv-SE"/>
        </w:rPr>
        <w:t>Kommissionen</w:t>
      </w:r>
      <w:r w:rsidRPr="00A3067D">
        <w:rPr>
          <w:rFonts w:cs="Helv"/>
          <w:color w:val="000000"/>
          <w:szCs w:val="24"/>
          <w:lang w:eastAsia="sv-SE"/>
        </w:rPr>
        <w:t xml:space="preserve"> har inlett en konsekvensanalys av en ratifikation av </w:t>
      </w:r>
      <w:r w:rsidR="00563559" w:rsidRPr="00A3067D">
        <w:rPr>
          <w:rFonts w:cs="Helv"/>
          <w:color w:val="000000"/>
          <w:szCs w:val="24"/>
          <w:lang w:eastAsia="sv-SE"/>
        </w:rPr>
        <w:t>Nagoyaprotokollet för EU, och d</w:t>
      </w:r>
      <w:r w:rsidRPr="00A3067D">
        <w:rPr>
          <w:rFonts w:cs="Helv"/>
          <w:color w:val="000000"/>
          <w:szCs w:val="24"/>
          <w:lang w:eastAsia="sv-SE"/>
        </w:rPr>
        <w:t xml:space="preserve">enna analys kommer </w:t>
      </w:r>
      <w:r w:rsidR="00563559" w:rsidRPr="00A3067D">
        <w:rPr>
          <w:rFonts w:cs="Helv"/>
          <w:color w:val="000000"/>
          <w:szCs w:val="24"/>
          <w:lang w:eastAsia="sv-SE"/>
        </w:rPr>
        <w:t xml:space="preserve">att </w:t>
      </w:r>
      <w:r w:rsidRPr="00A3067D">
        <w:rPr>
          <w:rFonts w:cs="Helv"/>
          <w:color w:val="000000"/>
          <w:szCs w:val="24"/>
          <w:lang w:eastAsia="sv-SE"/>
        </w:rPr>
        <w:t xml:space="preserve">ligga till grund för de förslag som </w:t>
      </w:r>
      <w:r w:rsidR="00DD291C" w:rsidRPr="00A3067D">
        <w:rPr>
          <w:rFonts w:cs="Helv"/>
          <w:color w:val="000000"/>
          <w:szCs w:val="24"/>
          <w:lang w:eastAsia="sv-SE"/>
        </w:rPr>
        <w:t>kommissionen</w:t>
      </w:r>
      <w:r w:rsidRPr="00A3067D">
        <w:rPr>
          <w:rFonts w:cs="Helv"/>
          <w:color w:val="000000"/>
          <w:szCs w:val="24"/>
          <w:lang w:eastAsia="sv-SE"/>
        </w:rPr>
        <w:t xml:space="preserve"> kommer presentera för rådet, sannolikt under hösten 2012. Regeringen har initierat ett liknande arbete för att analysera konsekvenserna av en svensk ratifikation.</w:t>
      </w:r>
    </w:p>
    <w:p w:rsidR="000353B2" w:rsidRPr="00A3067D" w:rsidRDefault="000353B2" w:rsidP="007024B2">
      <w:pPr>
        <w:spacing w:line="240" w:lineRule="auto"/>
        <w:ind w:left="1620" w:hanging="513"/>
        <w:rPr>
          <w:rFonts w:ascii="TradeGothic" w:hAnsi="TradeGothic"/>
          <w:i/>
          <w:sz w:val="22"/>
          <w:szCs w:val="22"/>
        </w:rPr>
      </w:pPr>
    </w:p>
    <w:p w:rsidR="007024B2" w:rsidRPr="00A3067D" w:rsidRDefault="007024B2" w:rsidP="007024B2">
      <w:pPr>
        <w:spacing w:line="240" w:lineRule="auto"/>
        <w:ind w:left="1593" w:hanging="513"/>
        <w:rPr>
          <w:rFonts w:ascii="TradeGothic" w:hAnsi="TradeGothic"/>
          <w:sz w:val="22"/>
          <w:szCs w:val="22"/>
        </w:rPr>
      </w:pPr>
    </w:p>
    <w:p w:rsidR="007024B2" w:rsidRPr="00A3067D" w:rsidRDefault="007024B2" w:rsidP="007024B2">
      <w:pPr>
        <w:tabs>
          <w:tab w:val="left" w:pos="1080"/>
        </w:tabs>
        <w:spacing w:line="240" w:lineRule="auto"/>
        <w:ind w:left="1080" w:hanging="513"/>
        <w:rPr>
          <w:rFonts w:ascii="TradeGothic" w:hAnsi="TradeGothic"/>
          <w:sz w:val="22"/>
          <w:szCs w:val="22"/>
        </w:rPr>
      </w:pPr>
      <w:r w:rsidRPr="00A3067D">
        <w:rPr>
          <w:rFonts w:ascii="TradeGothic" w:hAnsi="TradeGothic"/>
          <w:b/>
          <w:sz w:val="22"/>
          <w:szCs w:val="22"/>
        </w:rPr>
        <w:t>d)</w:t>
      </w:r>
      <w:r w:rsidRPr="00A3067D">
        <w:rPr>
          <w:rFonts w:ascii="TradeGothic" w:hAnsi="TradeGothic"/>
          <w:sz w:val="22"/>
          <w:szCs w:val="22"/>
        </w:rPr>
        <w:tab/>
      </w:r>
      <w:r w:rsidRPr="00A3067D">
        <w:rPr>
          <w:rFonts w:ascii="TradeGothic" w:hAnsi="TradeGothic"/>
          <w:b/>
          <w:sz w:val="22"/>
          <w:szCs w:val="22"/>
        </w:rPr>
        <w:t>Resultatet av det första seminariet för den internationella forskningspanelen för biologisk mångfald och ekosystemtjänster (Intergovernmental Science-Policy Platform on Biodiversity and Ecosystem Services, IPBES) (Nairobi, Kenya den 3–7 oktober 2011)</w:t>
      </w:r>
      <w:r w:rsidRPr="00A3067D">
        <w:rPr>
          <w:rFonts w:ascii="TradeGothic" w:hAnsi="TradeGothic"/>
          <w:sz w:val="22"/>
          <w:szCs w:val="22"/>
        </w:rPr>
        <w:t xml:space="preserve"> </w:t>
      </w:r>
    </w:p>
    <w:p w:rsidR="007024B2" w:rsidRPr="00A3067D" w:rsidRDefault="007024B2" w:rsidP="007024B2">
      <w:pPr>
        <w:tabs>
          <w:tab w:val="num" w:pos="502"/>
        </w:tabs>
        <w:spacing w:line="240" w:lineRule="auto"/>
        <w:ind w:left="1134"/>
        <w:rPr>
          <w:rFonts w:ascii="TradeGothic" w:hAnsi="TradeGothic"/>
          <w:i/>
          <w:sz w:val="22"/>
          <w:szCs w:val="22"/>
        </w:rPr>
      </w:pPr>
      <w:r w:rsidRPr="00A3067D">
        <w:rPr>
          <w:rFonts w:ascii="TradeGothic" w:hAnsi="TradeGothic"/>
          <w:i/>
          <w:sz w:val="22"/>
          <w:szCs w:val="22"/>
        </w:rPr>
        <w:t>–</w:t>
      </w:r>
      <w:r w:rsidRPr="00A3067D">
        <w:rPr>
          <w:rFonts w:ascii="TradeGothic" w:hAnsi="TradeGothic"/>
          <w:i/>
          <w:sz w:val="22"/>
          <w:szCs w:val="22"/>
        </w:rPr>
        <w:tab/>
        <w:t>Rapport från kommissionen och ordförandeskapet</w:t>
      </w:r>
    </w:p>
    <w:p w:rsidR="000353B2" w:rsidRPr="00A3067D" w:rsidRDefault="000353B2" w:rsidP="007024B2">
      <w:pPr>
        <w:tabs>
          <w:tab w:val="num" w:pos="502"/>
        </w:tabs>
        <w:spacing w:line="240" w:lineRule="auto"/>
        <w:ind w:left="1134"/>
        <w:rPr>
          <w:rFonts w:ascii="TradeGothic" w:hAnsi="TradeGothic"/>
          <w:i/>
          <w:sz w:val="22"/>
          <w:szCs w:val="22"/>
        </w:rPr>
      </w:pPr>
    </w:p>
    <w:p w:rsidR="000353B2" w:rsidRPr="00A3067D" w:rsidRDefault="001B75CF" w:rsidP="00563559">
      <w:pPr>
        <w:overflowPunct/>
        <w:spacing w:line="240" w:lineRule="auto"/>
        <w:textAlignment w:val="auto"/>
        <w:rPr>
          <w:rFonts w:cs="OrigGarmnd BT"/>
          <w:color w:val="000000"/>
          <w:szCs w:val="24"/>
          <w:lang w:eastAsia="sv-SE"/>
        </w:rPr>
      </w:pPr>
      <w:r w:rsidRPr="00A3067D">
        <w:rPr>
          <w:rFonts w:cs="OrigGarmnd BT"/>
          <w:color w:val="000000"/>
          <w:szCs w:val="24"/>
          <w:lang w:eastAsia="sv-SE"/>
        </w:rPr>
        <w:t>FN:s miljöprogram (</w:t>
      </w:r>
      <w:r w:rsidR="000353B2" w:rsidRPr="00A3067D">
        <w:rPr>
          <w:rFonts w:cs="OrigGarmnd BT"/>
          <w:color w:val="000000"/>
          <w:szCs w:val="24"/>
          <w:lang w:eastAsia="sv-SE"/>
        </w:rPr>
        <w:t>UNEP</w:t>
      </w:r>
      <w:r w:rsidRPr="00A3067D">
        <w:rPr>
          <w:rFonts w:cs="OrigGarmnd BT"/>
          <w:color w:val="000000"/>
          <w:szCs w:val="24"/>
          <w:lang w:eastAsia="sv-SE"/>
        </w:rPr>
        <w:t>)</w:t>
      </w:r>
      <w:r w:rsidR="000353B2" w:rsidRPr="00A3067D">
        <w:rPr>
          <w:rFonts w:cs="OrigGarmnd BT"/>
          <w:color w:val="000000"/>
          <w:szCs w:val="24"/>
          <w:lang w:eastAsia="sv-SE"/>
        </w:rPr>
        <w:t xml:space="preserve"> arrangerar mötet i Nairobi 3-7 oktober, på uppdra</w:t>
      </w:r>
      <w:r w:rsidR="00563559" w:rsidRPr="00A3067D">
        <w:rPr>
          <w:rFonts w:cs="OrigGarmnd BT"/>
          <w:color w:val="000000"/>
          <w:szCs w:val="24"/>
          <w:lang w:eastAsia="sv-SE"/>
        </w:rPr>
        <w:t xml:space="preserve">g av </w:t>
      </w:r>
      <w:r w:rsidRPr="00A3067D">
        <w:rPr>
          <w:rFonts w:cs="OrigGarmnd BT"/>
          <w:color w:val="000000"/>
          <w:szCs w:val="24"/>
          <w:lang w:eastAsia="sv-SE"/>
        </w:rPr>
        <w:t>FN:s generalförsamling</w:t>
      </w:r>
      <w:r w:rsidR="00563559" w:rsidRPr="00A3067D">
        <w:rPr>
          <w:rFonts w:cs="OrigGarmnd BT"/>
          <w:color w:val="000000"/>
          <w:szCs w:val="24"/>
          <w:lang w:eastAsia="sv-SE"/>
        </w:rPr>
        <w:t xml:space="preserve"> (UNGA</w:t>
      </w:r>
      <w:r w:rsidRPr="00A3067D">
        <w:rPr>
          <w:rFonts w:cs="OrigGarmnd BT"/>
          <w:color w:val="000000"/>
          <w:szCs w:val="24"/>
          <w:lang w:eastAsia="sv-SE"/>
        </w:rPr>
        <w:t>). Syftet med mötet är</w:t>
      </w:r>
      <w:r w:rsidR="000353B2" w:rsidRPr="00A3067D">
        <w:rPr>
          <w:rFonts w:cs="OrigGarmnd BT"/>
          <w:color w:val="000000"/>
          <w:szCs w:val="24"/>
          <w:lang w:eastAsia="sv-SE"/>
        </w:rPr>
        <w:t xml:space="preserve"> att operationalisera den internationella kunskapsplattformen </w:t>
      </w:r>
      <w:r w:rsidRPr="00A3067D">
        <w:rPr>
          <w:rFonts w:cs="OrigGarmnd BT"/>
          <w:color w:val="000000"/>
          <w:szCs w:val="24"/>
          <w:lang w:eastAsia="sv-SE"/>
        </w:rPr>
        <w:t>(</w:t>
      </w:r>
      <w:r w:rsidR="000353B2" w:rsidRPr="00A3067D">
        <w:rPr>
          <w:rFonts w:cs="OrigGarmnd BT"/>
          <w:color w:val="000000"/>
          <w:szCs w:val="24"/>
          <w:lang w:eastAsia="sv-SE"/>
        </w:rPr>
        <w:t>IPBES</w:t>
      </w:r>
      <w:r w:rsidRPr="00A3067D">
        <w:rPr>
          <w:rFonts w:cs="OrigGarmnd BT"/>
          <w:color w:val="000000"/>
          <w:szCs w:val="24"/>
          <w:lang w:eastAsia="sv-SE"/>
        </w:rPr>
        <w:t>)</w:t>
      </w:r>
      <w:r w:rsidR="00563559" w:rsidRPr="00A3067D">
        <w:rPr>
          <w:rFonts w:cs="OrigGarmnd BT"/>
          <w:color w:val="000000"/>
          <w:szCs w:val="24"/>
          <w:lang w:eastAsia="sv-SE"/>
        </w:rPr>
        <w:t xml:space="preserve"> under konv</w:t>
      </w:r>
      <w:r w:rsidRPr="00A3067D">
        <w:rPr>
          <w:rFonts w:cs="OrigGarmnd BT"/>
          <w:color w:val="000000"/>
          <w:szCs w:val="24"/>
          <w:lang w:eastAsia="sv-SE"/>
        </w:rPr>
        <w:t>entionen om biologisk mångfald (</w:t>
      </w:r>
      <w:r w:rsidR="00563559" w:rsidRPr="00A3067D">
        <w:rPr>
          <w:rFonts w:cs="OrigGarmnd BT"/>
          <w:color w:val="000000"/>
          <w:szCs w:val="24"/>
          <w:lang w:eastAsia="sv-SE"/>
        </w:rPr>
        <w:t>CBD</w:t>
      </w:r>
      <w:r w:rsidRPr="00A3067D">
        <w:rPr>
          <w:rFonts w:cs="OrigGarmnd BT"/>
          <w:color w:val="000000"/>
          <w:szCs w:val="24"/>
          <w:lang w:eastAsia="sv-SE"/>
        </w:rPr>
        <w:t>)</w:t>
      </w:r>
      <w:r w:rsidR="000353B2" w:rsidRPr="00A3067D">
        <w:rPr>
          <w:rFonts w:cs="OrigGarmnd BT"/>
          <w:color w:val="000000"/>
          <w:szCs w:val="24"/>
          <w:lang w:eastAsia="sv-SE"/>
        </w:rPr>
        <w:t>. EU anser att UNGA:s beslut etablerade IPBES, men detta h</w:t>
      </w:r>
      <w:r w:rsidR="00563559" w:rsidRPr="00A3067D">
        <w:rPr>
          <w:rFonts w:cs="OrigGarmnd BT"/>
          <w:color w:val="000000"/>
          <w:szCs w:val="24"/>
          <w:lang w:eastAsia="sv-SE"/>
        </w:rPr>
        <w:t>ar emotsagts av flera länder samt</w:t>
      </w:r>
      <w:r w:rsidR="000353B2" w:rsidRPr="00A3067D">
        <w:rPr>
          <w:rFonts w:cs="OrigGarmnd BT"/>
          <w:color w:val="000000"/>
          <w:szCs w:val="24"/>
          <w:lang w:eastAsia="sv-SE"/>
        </w:rPr>
        <w:t xml:space="preserve"> av FN:s rättstjänst. Sverige och EU verkar för att mötet ska ta det formella beslutet att etablera IPBES, men det är mer sannolikt att detta sker först vid det återupptagna mötet 2012. Ett viktigt möjligt resultat av mötet är att länder inbjuds att erbjuda värdskap för sekretariatet och att nominera ordförande</w:t>
      </w:r>
      <w:r w:rsidR="00563559" w:rsidRPr="00A3067D">
        <w:rPr>
          <w:rFonts w:cs="OrigGarmnd BT"/>
          <w:color w:val="000000"/>
          <w:szCs w:val="24"/>
          <w:lang w:eastAsia="sv-SE"/>
        </w:rPr>
        <w:t>, med syfte att</w:t>
      </w:r>
      <w:r w:rsidR="000353B2" w:rsidRPr="00A3067D">
        <w:rPr>
          <w:rFonts w:cs="OrigGarmnd BT"/>
          <w:color w:val="000000"/>
          <w:szCs w:val="24"/>
          <w:lang w:eastAsia="sv-SE"/>
        </w:rPr>
        <w:t xml:space="preserve"> </w:t>
      </w:r>
      <w:r w:rsidR="00563559" w:rsidRPr="00A3067D">
        <w:rPr>
          <w:rFonts w:cs="OrigGarmnd BT"/>
          <w:color w:val="000000"/>
          <w:szCs w:val="24"/>
          <w:lang w:eastAsia="sv-SE"/>
        </w:rPr>
        <w:t xml:space="preserve">kunna operationalisera IPBES på </w:t>
      </w:r>
      <w:r w:rsidR="000353B2" w:rsidRPr="00A3067D">
        <w:rPr>
          <w:rFonts w:cs="OrigGarmnd BT"/>
          <w:color w:val="000000"/>
          <w:szCs w:val="24"/>
          <w:lang w:eastAsia="sv-SE"/>
        </w:rPr>
        <w:t>det återupptagna mötet.</w:t>
      </w:r>
    </w:p>
    <w:p w:rsidR="000353B2" w:rsidRPr="00A3067D" w:rsidRDefault="000353B2" w:rsidP="007024B2">
      <w:pPr>
        <w:tabs>
          <w:tab w:val="num" w:pos="502"/>
        </w:tabs>
        <w:spacing w:line="240" w:lineRule="auto"/>
        <w:ind w:left="1134"/>
        <w:rPr>
          <w:rFonts w:ascii="TradeGothic" w:hAnsi="TradeGothic"/>
          <w:i/>
          <w:sz w:val="22"/>
          <w:szCs w:val="22"/>
        </w:rPr>
      </w:pPr>
    </w:p>
    <w:p w:rsidR="007024B2" w:rsidRPr="00A3067D" w:rsidRDefault="007024B2" w:rsidP="007024B2">
      <w:pPr>
        <w:tabs>
          <w:tab w:val="left" w:pos="540"/>
          <w:tab w:val="left" w:pos="1080"/>
        </w:tabs>
        <w:spacing w:line="240" w:lineRule="auto"/>
        <w:ind w:left="360"/>
        <w:jc w:val="both"/>
        <w:rPr>
          <w:rFonts w:ascii="TradeGothic" w:hAnsi="TradeGothic"/>
          <w:i/>
          <w:sz w:val="22"/>
          <w:szCs w:val="22"/>
        </w:rPr>
      </w:pPr>
    </w:p>
    <w:p w:rsidR="007024B2" w:rsidRPr="00A3067D" w:rsidRDefault="007024B2" w:rsidP="007024B2">
      <w:pPr>
        <w:spacing w:before="40" w:line="240" w:lineRule="auto"/>
        <w:ind w:left="1134" w:hanging="567"/>
        <w:outlineLvl w:val="0"/>
        <w:rPr>
          <w:rFonts w:ascii="TradeGothic" w:hAnsi="TradeGothic"/>
          <w:b/>
          <w:sz w:val="22"/>
          <w:szCs w:val="22"/>
        </w:rPr>
      </w:pPr>
      <w:r w:rsidRPr="00A3067D">
        <w:rPr>
          <w:rFonts w:ascii="TradeGothic" w:hAnsi="TradeGothic"/>
          <w:b/>
          <w:sz w:val="22"/>
          <w:szCs w:val="22"/>
        </w:rPr>
        <w:t>e)</w:t>
      </w:r>
      <w:r w:rsidRPr="00A3067D">
        <w:rPr>
          <w:rFonts w:ascii="TradeGothic" w:hAnsi="TradeGothic"/>
          <w:sz w:val="22"/>
          <w:szCs w:val="22"/>
        </w:rPr>
        <w:tab/>
      </w:r>
      <w:r w:rsidRPr="00A3067D">
        <w:rPr>
          <w:rFonts w:ascii="TradeGothic" w:hAnsi="TradeGothic"/>
          <w:b/>
          <w:sz w:val="22"/>
          <w:szCs w:val="22"/>
        </w:rPr>
        <w:t>Meddelande från kommissionen till Europaparlamentet, rådet, Europeiska ekonomiska och sociala kommittén och Regionkommittén –</w:t>
      </w:r>
    </w:p>
    <w:p w:rsidR="007024B2" w:rsidRPr="00A3067D" w:rsidRDefault="007024B2" w:rsidP="007024B2">
      <w:pPr>
        <w:spacing w:before="40" w:line="240" w:lineRule="auto"/>
        <w:ind w:left="1701" w:hanging="567"/>
        <w:outlineLvl w:val="0"/>
        <w:rPr>
          <w:rFonts w:ascii="TradeGothic" w:hAnsi="TradeGothic"/>
          <w:b/>
          <w:sz w:val="22"/>
          <w:szCs w:val="22"/>
        </w:rPr>
      </w:pPr>
      <w:r w:rsidRPr="00A3067D">
        <w:rPr>
          <w:rFonts w:ascii="TradeGothic" w:hAnsi="TradeGothic"/>
          <w:b/>
          <w:color w:val="000000"/>
          <w:sz w:val="22"/>
          <w:szCs w:val="22"/>
        </w:rPr>
        <w:t>Färdplan om vägen till ett resurseffektivt Europa</w:t>
      </w:r>
    </w:p>
    <w:p w:rsidR="006263CE" w:rsidRPr="00A3067D" w:rsidRDefault="007024B2" w:rsidP="007024B2">
      <w:pPr>
        <w:pStyle w:val="Prrafodelista"/>
        <w:spacing w:line="240" w:lineRule="auto"/>
        <w:ind w:left="1134"/>
        <w:jc w:val="both"/>
        <w:rPr>
          <w:rFonts w:ascii="TradeGothic" w:hAnsi="TradeGothic"/>
          <w:i/>
          <w:sz w:val="22"/>
          <w:szCs w:val="22"/>
          <w:lang w:val="sv-SE"/>
        </w:rPr>
      </w:pPr>
      <w:r w:rsidRPr="00A3067D">
        <w:rPr>
          <w:rFonts w:ascii="TradeGothic" w:hAnsi="TradeGothic"/>
          <w:i/>
          <w:sz w:val="22"/>
          <w:szCs w:val="22"/>
          <w:lang w:val="sv-SE"/>
        </w:rPr>
        <w:t>–</w:t>
      </w:r>
      <w:r w:rsidRPr="00A3067D">
        <w:rPr>
          <w:rFonts w:ascii="TradeGothic" w:hAnsi="TradeGothic"/>
          <w:i/>
          <w:sz w:val="22"/>
          <w:szCs w:val="22"/>
          <w:lang w:val="sv-SE"/>
        </w:rPr>
        <w:tab/>
        <w:t>Föredragning av kommissionen</w:t>
      </w:r>
    </w:p>
    <w:p w:rsidR="006263CE" w:rsidRPr="00A3067D" w:rsidRDefault="006263CE" w:rsidP="007024B2">
      <w:pPr>
        <w:pStyle w:val="Prrafodelista"/>
        <w:spacing w:line="240" w:lineRule="auto"/>
        <w:ind w:left="1134"/>
        <w:jc w:val="both"/>
        <w:rPr>
          <w:rFonts w:ascii="OrigGarmnd BT" w:hAnsi="OrigGarmnd BT"/>
          <w:i/>
          <w:sz w:val="22"/>
          <w:szCs w:val="22"/>
          <w:lang w:val="sv-SE"/>
        </w:rPr>
      </w:pPr>
    </w:p>
    <w:p w:rsidR="000353B2" w:rsidRPr="00A3067D" w:rsidRDefault="006263CE" w:rsidP="002205C8">
      <w:pPr>
        <w:rPr>
          <w:lang w:eastAsia="sv-SE"/>
        </w:rPr>
      </w:pPr>
      <w:r w:rsidRPr="00A3067D">
        <w:rPr>
          <w:lang w:eastAsia="sv-SE"/>
        </w:rPr>
        <w:t>Kommissionen har presenterar meddelandet Färdplan för ett resurseffektivt Europa</w:t>
      </w:r>
      <w:r w:rsidR="00DD291C" w:rsidRPr="00A3067D">
        <w:rPr>
          <w:lang w:eastAsia="sv-SE"/>
        </w:rPr>
        <w:t xml:space="preserve"> vilket</w:t>
      </w:r>
      <w:r w:rsidRPr="00A3067D">
        <w:rPr>
          <w:lang w:eastAsia="sv-SE"/>
        </w:rPr>
        <w:t xml:space="preserve"> är ett av flera initiativ under flaggskepssinitiative</w:t>
      </w:r>
      <w:r w:rsidR="00DD291C" w:rsidRPr="00A3067D">
        <w:rPr>
          <w:lang w:eastAsia="sv-SE"/>
        </w:rPr>
        <w:t>t Ett resurseffektivt Europa. K</w:t>
      </w:r>
      <w:r w:rsidRPr="00A3067D">
        <w:rPr>
          <w:lang w:eastAsia="sv-SE"/>
        </w:rPr>
        <w:t xml:space="preserve">ommissionen </w:t>
      </w:r>
      <w:r w:rsidR="00DD291C" w:rsidRPr="00A3067D">
        <w:rPr>
          <w:lang w:eastAsia="sv-SE"/>
        </w:rPr>
        <w:t>avser att</w:t>
      </w:r>
      <w:r w:rsidRPr="00A3067D">
        <w:rPr>
          <w:lang w:eastAsia="sv-SE"/>
        </w:rPr>
        <w:t xml:space="preserve"> informera om färdplanen på miljörådet i oktober. Rådslutsatser ska därefter tas fram för beslut på miljörådet i december.</w:t>
      </w:r>
    </w:p>
    <w:p w:rsidR="00DD291C" w:rsidRPr="00A3067D" w:rsidRDefault="00DD291C" w:rsidP="002205C8">
      <w:pPr>
        <w:rPr>
          <w:i/>
          <w:sz w:val="22"/>
          <w:szCs w:val="22"/>
        </w:rPr>
      </w:pPr>
    </w:p>
    <w:p w:rsidR="007024B2" w:rsidRPr="00A3067D" w:rsidRDefault="007024B2" w:rsidP="007024B2">
      <w:pPr>
        <w:pStyle w:val="Prrafodelista"/>
        <w:spacing w:line="240" w:lineRule="auto"/>
        <w:ind w:left="567"/>
        <w:jc w:val="both"/>
        <w:rPr>
          <w:rFonts w:ascii="TradeGothic" w:hAnsi="TradeGothic"/>
          <w:sz w:val="22"/>
          <w:szCs w:val="22"/>
          <w:lang w:val="sv-SE"/>
        </w:rPr>
      </w:pPr>
    </w:p>
    <w:p w:rsidR="007024B2" w:rsidRPr="00A3067D" w:rsidRDefault="007024B2" w:rsidP="007024B2">
      <w:pPr>
        <w:pStyle w:val="Prrafodelista"/>
        <w:spacing w:line="240" w:lineRule="auto"/>
        <w:ind w:left="567"/>
        <w:jc w:val="both"/>
        <w:rPr>
          <w:rFonts w:ascii="TradeGothic" w:hAnsi="TradeGothic"/>
          <w:b/>
          <w:sz w:val="22"/>
          <w:szCs w:val="22"/>
          <w:lang w:val="sv-SE"/>
        </w:rPr>
      </w:pPr>
      <w:r w:rsidRPr="00A3067D">
        <w:rPr>
          <w:rFonts w:ascii="TradeGothic" w:hAnsi="TradeGothic"/>
          <w:b/>
          <w:sz w:val="22"/>
          <w:szCs w:val="22"/>
          <w:lang w:val="sv-SE"/>
        </w:rPr>
        <w:t>f)</w:t>
      </w:r>
      <w:r w:rsidR="00864D70" w:rsidRPr="00A3067D">
        <w:rPr>
          <w:rFonts w:ascii="TradeGothic" w:hAnsi="TradeGothic"/>
          <w:b/>
          <w:sz w:val="22"/>
          <w:szCs w:val="22"/>
          <w:lang w:val="sv-SE"/>
        </w:rPr>
        <w:tab/>
      </w:r>
      <w:r w:rsidRPr="00A3067D">
        <w:rPr>
          <w:rFonts w:ascii="TradeGothic" w:hAnsi="TradeGothic"/>
          <w:sz w:val="22"/>
          <w:szCs w:val="22"/>
          <w:lang w:val="sv-SE"/>
        </w:rPr>
        <w:tab/>
      </w:r>
      <w:r w:rsidRPr="00A3067D">
        <w:rPr>
          <w:rFonts w:ascii="TradeGothic" w:hAnsi="TradeGothic"/>
          <w:b/>
          <w:sz w:val="22"/>
          <w:szCs w:val="22"/>
          <w:lang w:val="sv-SE"/>
        </w:rPr>
        <w:t>ETS/Luftfart– Lägesrapport</w:t>
      </w:r>
    </w:p>
    <w:p w:rsidR="007024B2" w:rsidRPr="00A3067D" w:rsidRDefault="007024B2" w:rsidP="007024B2">
      <w:pPr>
        <w:pStyle w:val="Prrafodelista"/>
        <w:spacing w:line="240" w:lineRule="auto"/>
        <w:ind w:left="1134"/>
        <w:jc w:val="both"/>
        <w:rPr>
          <w:rFonts w:ascii="TradeGothic" w:hAnsi="TradeGothic"/>
          <w:i/>
          <w:sz w:val="22"/>
          <w:szCs w:val="22"/>
          <w:lang w:val="sv-SE"/>
        </w:rPr>
      </w:pPr>
      <w:r w:rsidRPr="00A3067D">
        <w:rPr>
          <w:rFonts w:ascii="TradeGothic" w:hAnsi="TradeGothic"/>
          <w:i/>
          <w:sz w:val="22"/>
          <w:szCs w:val="22"/>
          <w:lang w:val="sv-SE"/>
        </w:rPr>
        <w:t>–</w:t>
      </w:r>
      <w:r w:rsidRPr="00A3067D">
        <w:rPr>
          <w:rFonts w:ascii="TradeGothic" w:hAnsi="TradeGothic"/>
          <w:i/>
          <w:sz w:val="22"/>
          <w:szCs w:val="22"/>
          <w:lang w:val="sv-SE"/>
        </w:rPr>
        <w:tab/>
        <w:t>Muntlig information från kommission</w:t>
      </w:r>
    </w:p>
    <w:p w:rsidR="007024B2" w:rsidRPr="00A3067D" w:rsidRDefault="007024B2" w:rsidP="007024B2">
      <w:pPr>
        <w:pStyle w:val="Prrafodelista"/>
        <w:spacing w:line="240" w:lineRule="auto"/>
        <w:ind w:left="1134"/>
        <w:jc w:val="both"/>
        <w:rPr>
          <w:rFonts w:ascii="TradeGothic" w:hAnsi="TradeGothic"/>
          <w:sz w:val="22"/>
          <w:szCs w:val="22"/>
          <w:lang w:val="sv-SE"/>
        </w:rPr>
      </w:pPr>
    </w:p>
    <w:p w:rsidR="000353B2" w:rsidRPr="00A3067D" w:rsidRDefault="000353B2" w:rsidP="000353B2">
      <w:pPr>
        <w:pStyle w:val="RKnormal"/>
        <w:rPr>
          <w:rFonts w:eastAsia="MS Mincho"/>
          <w:szCs w:val="24"/>
          <w:lang w:eastAsia="ja-JP"/>
        </w:rPr>
      </w:pPr>
      <w:r w:rsidRPr="00A3067D">
        <w:rPr>
          <w:rFonts w:eastAsia="MS Mincho"/>
          <w:szCs w:val="24"/>
          <w:lang w:eastAsia="ja-JP"/>
        </w:rPr>
        <w:t xml:space="preserve">Från och med 2012 omfattas luftfart av EU:s system för handel med utsläppsrätter. Flygningar såväl inom som till och från EU omfattas av systemet oberoende av i vilket land bolaget som genomför en flygning har sin hemvist. För att undvika dubbelreglering finns en möjlighet att undanta flygningar från länder som vidtagit motsvarande åtgärder som EU för att begränsa flygets utsläpp. </w:t>
      </w:r>
    </w:p>
    <w:p w:rsidR="000353B2" w:rsidRPr="00A3067D" w:rsidRDefault="000353B2" w:rsidP="000353B2">
      <w:pPr>
        <w:pStyle w:val="RKnormal"/>
        <w:rPr>
          <w:rFonts w:eastAsia="MS Mincho"/>
          <w:szCs w:val="24"/>
          <w:lang w:eastAsia="ja-JP"/>
        </w:rPr>
      </w:pPr>
    </w:p>
    <w:p w:rsidR="000353B2" w:rsidRPr="00A3067D" w:rsidRDefault="000353B2" w:rsidP="000353B2">
      <w:pPr>
        <w:pStyle w:val="RKnormal"/>
        <w:rPr>
          <w:rFonts w:eastAsia="MS Mincho"/>
          <w:szCs w:val="24"/>
          <w:lang w:eastAsia="ja-JP"/>
        </w:rPr>
      </w:pPr>
      <w:r w:rsidRPr="00A3067D">
        <w:rPr>
          <w:rFonts w:eastAsia="MS Mincho"/>
          <w:szCs w:val="24"/>
          <w:lang w:eastAsia="ja-JP"/>
        </w:rPr>
        <w:t>Tidigt stod det klart att flera amerikanska flygbolag inte accepter</w:t>
      </w:r>
      <w:r w:rsidR="000A49C9" w:rsidRPr="00A3067D">
        <w:rPr>
          <w:rFonts w:eastAsia="MS Mincho"/>
          <w:szCs w:val="24"/>
          <w:lang w:eastAsia="ja-JP"/>
        </w:rPr>
        <w:t>ar</w:t>
      </w:r>
      <w:r w:rsidRPr="00A3067D">
        <w:rPr>
          <w:rFonts w:eastAsia="MS Mincho"/>
          <w:szCs w:val="24"/>
          <w:lang w:eastAsia="ja-JP"/>
        </w:rPr>
        <w:t xml:space="preserve"> att ingå i EU:s system för handel med utsläppsrätter. Bolagen och deras branschorganisationer menar att de ändringar av EU:s direktiv om handel med utsläppsrätter som innebär att även luftfarten omfattas av handelssystemet strider mot Chicagokonventionen och folkrätten och dä</w:t>
      </w:r>
      <w:r w:rsidR="00DD291C" w:rsidRPr="00A3067D">
        <w:rPr>
          <w:rFonts w:eastAsia="MS Mincho"/>
          <w:szCs w:val="24"/>
          <w:lang w:eastAsia="ja-JP"/>
        </w:rPr>
        <w:t>rför är ogiltigt i stora delar.</w:t>
      </w:r>
      <w:r w:rsidRPr="00A3067D">
        <w:rPr>
          <w:rFonts w:eastAsia="MS Mincho"/>
          <w:szCs w:val="24"/>
          <w:lang w:eastAsia="ja-JP"/>
        </w:rPr>
        <w:t xml:space="preserve"> Talan väcktes under 2010 i nationell brittisk domstol och denna har begärt ett förhandsavgörande av EU-domstolen som för närvarande behandlar ärendet. </w:t>
      </w:r>
    </w:p>
    <w:p w:rsidR="000353B2" w:rsidRPr="00A3067D" w:rsidRDefault="000353B2" w:rsidP="000353B2">
      <w:pPr>
        <w:pStyle w:val="RKnormal"/>
        <w:rPr>
          <w:rFonts w:eastAsia="MS Mincho"/>
          <w:szCs w:val="24"/>
          <w:lang w:eastAsia="ja-JP"/>
        </w:rPr>
      </w:pPr>
    </w:p>
    <w:p w:rsidR="000353B2" w:rsidRPr="00A3067D" w:rsidRDefault="000353B2" w:rsidP="000353B2">
      <w:pPr>
        <w:pStyle w:val="RKnormal"/>
        <w:rPr>
          <w:rFonts w:eastAsia="MS Mincho"/>
          <w:szCs w:val="24"/>
          <w:lang w:eastAsia="ja-JP"/>
        </w:rPr>
      </w:pPr>
      <w:r w:rsidRPr="00A3067D">
        <w:rPr>
          <w:rFonts w:eastAsia="MS Mincho"/>
          <w:szCs w:val="24"/>
          <w:lang w:eastAsia="ja-JP"/>
        </w:rPr>
        <w:t>Under 2011 har kinesiska flygbolag uttryckt stort missnöje över att de kommer att omfattas av EU:s handelssystem och de har bland annat hotat med motåtgärder som skulle drabba europeiska flygbolag och flygplanstillverkare. Kina har även från statligt håll kritiserat EU i frågan.</w:t>
      </w:r>
    </w:p>
    <w:p w:rsidR="000353B2" w:rsidRPr="00A3067D" w:rsidRDefault="000353B2" w:rsidP="000353B2">
      <w:pPr>
        <w:pStyle w:val="RKnormal"/>
        <w:rPr>
          <w:rFonts w:eastAsia="MS Mincho"/>
          <w:szCs w:val="24"/>
          <w:lang w:eastAsia="ja-JP"/>
        </w:rPr>
      </w:pPr>
    </w:p>
    <w:p w:rsidR="000353B2" w:rsidRPr="00A3067D" w:rsidRDefault="000353B2" w:rsidP="000353B2">
      <w:pPr>
        <w:pStyle w:val="RKnormal"/>
        <w:rPr>
          <w:rFonts w:eastAsia="MS Mincho"/>
          <w:szCs w:val="24"/>
          <w:lang w:eastAsia="ja-JP"/>
        </w:rPr>
      </w:pPr>
      <w:r w:rsidRPr="00A3067D">
        <w:rPr>
          <w:rFonts w:eastAsia="MS Mincho"/>
          <w:szCs w:val="24"/>
          <w:lang w:eastAsia="ja-JP"/>
        </w:rPr>
        <w:t>Kommissionär Hedegaard har vid flera tillfällen manat till politisk uppslutning bakom EU:s beslut om att inkludera flyget i systemet för handel med utsläppsrätter mot bakgrund av den upptrappade lobbyingen i frågan.</w:t>
      </w:r>
    </w:p>
    <w:p w:rsidR="00406EBE" w:rsidRPr="00A3067D" w:rsidRDefault="00406EBE" w:rsidP="000353B2">
      <w:pPr>
        <w:pStyle w:val="RKnormal"/>
        <w:rPr>
          <w:rFonts w:eastAsia="MS Mincho"/>
          <w:szCs w:val="24"/>
          <w:lang w:eastAsia="ja-JP"/>
        </w:rPr>
      </w:pPr>
    </w:p>
    <w:p w:rsidR="000353B2" w:rsidRPr="00A3067D" w:rsidRDefault="000353B2" w:rsidP="00406EBE">
      <w:pPr>
        <w:rPr>
          <w:rFonts w:eastAsia="MS Mincho"/>
          <w:i/>
          <w:szCs w:val="24"/>
          <w:lang w:eastAsia="ja-JP"/>
        </w:rPr>
      </w:pPr>
      <w:r w:rsidRPr="00A3067D">
        <w:t xml:space="preserve">Regeringen står fullt ut bakom ändringarna i handelsdirektivet som innebär att  EU:s utsläppshandelssystem utvidgats till att även omfatta luftfart, inklusive flygningar till och från EU </w:t>
      </w:r>
      <w:r w:rsidRPr="00A3067D">
        <w:rPr>
          <w:rFonts w:eastAsia="MS Mincho"/>
          <w:lang w:eastAsia="ja-JP"/>
        </w:rPr>
        <w:t>oberoende av i vilket land bolaget som genomför en flygning har sin hemvist</w:t>
      </w:r>
      <w:r w:rsidRPr="00A3067D">
        <w:t>. Regeringen har lämnat in ett skriftlig yttrande till EU-domstolen till stöd för direktivet och även muntligt framlagt detta för domstolen.</w:t>
      </w:r>
    </w:p>
    <w:p w:rsidR="000353B2" w:rsidRPr="00A3067D" w:rsidRDefault="000353B2" w:rsidP="007024B2">
      <w:pPr>
        <w:pStyle w:val="Prrafodelista"/>
        <w:spacing w:line="240" w:lineRule="auto"/>
        <w:ind w:left="1134"/>
        <w:jc w:val="both"/>
        <w:rPr>
          <w:rFonts w:ascii="TradeGothic" w:hAnsi="TradeGothic"/>
          <w:sz w:val="22"/>
          <w:szCs w:val="22"/>
          <w:lang w:val="sv-SE"/>
        </w:rPr>
      </w:pPr>
    </w:p>
    <w:p w:rsidR="000353B2" w:rsidRPr="00A3067D" w:rsidRDefault="000353B2" w:rsidP="007024B2">
      <w:pPr>
        <w:pStyle w:val="Prrafodelista"/>
        <w:spacing w:line="240" w:lineRule="auto"/>
        <w:ind w:left="1134"/>
        <w:jc w:val="both"/>
        <w:rPr>
          <w:rFonts w:ascii="TradeGothic" w:hAnsi="TradeGothic"/>
          <w:sz w:val="22"/>
          <w:szCs w:val="22"/>
          <w:lang w:val="sv-SE"/>
        </w:rPr>
      </w:pPr>
    </w:p>
    <w:p w:rsidR="007024B2" w:rsidRPr="00A3067D" w:rsidRDefault="007024B2" w:rsidP="007024B2">
      <w:pPr>
        <w:pStyle w:val="Normalwebb"/>
        <w:spacing w:before="0" w:beforeAutospacing="0" w:after="0" w:afterAutospacing="0"/>
        <w:ind w:left="1134" w:hanging="567"/>
        <w:rPr>
          <w:rFonts w:ascii="TradeGothic" w:hAnsi="TradeGothic"/>
          <w:b/>
          <w:bCs/>
          <w:sz w:val="22"/>
          <w:szCs w:val="22"/>
          <w:lang w:val="sv-SE"/>
        </w:rPr>
      </w:pPr>
      <w:r w:rsidRPr="00A3067D">
        <w:rPr>
          <w:rFonts w:ascii="TradeGothic" w:hAnsi="TradeGothic"/>
          <w:b/>
          <w:sz w:val="22"/>
          <w:szCs w:val="22"/>
          <w:lang w:val="sv-SE"/>
        </w:rPr>
        <w:t>g)</w:t>
      </w:r>
      <w:r w:rsidRPr="00A3067D">
        <w:rPr>
          <w:rFonts w:ascii="TradeGothic" w:hAnsi="TradeGothic"/>
          <w:b/>
          <w:sz w:val="22"/>
          <w:szCs w:val="22"/>
          <w:lang w:val="sv-SE"/>
        </w:rPr>
        <w:tab/>
      </w:r>
      <w:r w:rsidRPr="00A3067D">
        <w:rPr>
          <w:rFonts w:ascii="TradeGothic" w:hAnsi="TradeGothic"/>
          <w:b/>
          <w:bCs/>
          <w:sz w:val="22"/>
          <w:szCs w:val="22"/>
          <w:lang w:val="sv-SE"/>
        </w:rPr>
        <w:t>Framsteg mot Kyotomålen (i enlighet med artikel 5 i Europaparlamentets och rådets beslut nr 280/2004/EG om en mekanism för övervakning av utsläpp av växthusgaser inom gemenskapen och för genomförande av Kyotoprotokollet</w:t>
      </w:r>
    </w:p>
    <w:p w:rsidR="007024B2" w:rsidRPr="00A3067D" w:rsidRDefault="007024B2" w:rsidP="007024B2">
      <w:pPr>
        <w:pStyle w:val="Normalwebb"/>
        <w:spacing w:before="0" w:beforeAutospacing="0" w:after="0" w:afterAutospacing="0"/>
        <w:ind w:left="1701" w:hanging="567"/>
        <w:rPr>
          <w:rFonts w:ascii="TradeGothic" w:hAnsi="TradeGothic"/>
          <w:bCs/>
          <w:i/>
          <w:sz w:val="22"/>
          <w:szCs w:val="22"/>
          <w:lang w:val="sv-SE"/>
        </w:rPr>
      </w:pPr>
      <w:r w:rsidRPr="00A3067D">
        <w:rPr>
          <w:rFonts w:ascii="TradeGothic" w:hAnsi="TradeGothic"/>
          <w:bCs/>
          <w:i/>
          <w:sz w:val="22"/>
          <w:szCs w:val="22"/>
          <w:lang w:val="sv-SE"/>
        </w:rPr>
        <w:t>–</w:t>
      </w:r>
      <w:r w:rsidRPr="00A3067D">
        <w:rPr>
          <w:rFonts w:ascii="TradeGothic" w:hAnsi="TradeGothic"/>
          <w:bCs/>
          <w:i/>
          <w:sz w:val="22"/>
          <w:szCs w:val="22"/>
          <w:lang w:val="sv-SE"/>
        </w:rPr>
        <w:tab/>
        <w:t>Information från kommission</w:t>
      </w:r>
    </w:p>
    <w:p w:rsidR="00605C08" w:rsidRPr="00A3067D" w:rsidRDefault="00605C08" w:rsidP="007024B2">
      <w:pPr>
        <w:pStyle w:val="Normalwebb"/>
        <w:spacing w:before="0" w:beforeAutospacing="0" w:after="0" w:afterAutospacing="0"/>
        <w:ind w:left="1701" w:hanging="567"/>
        <w:rPr>
          <w:rFonts w:ascii="TradeGothic" w:hAnsi="TradeGothic"/>
          <w:bCs/>
          <w:i/>
          <w:sz w:val="22"/>
          <w:szCs w:val="22"/>
          <w:lang w:val="sv-SE"/>
        </w:rPr>
      </w:pPr>
    </w:p>
    <w:p w:rsidR="00605C08" w:rsidRPr="00A3067D" w:rsidRDefault="00605C08" w:rsidP="00406EBE">
      <w:pPr>
        <w:rPr>
          <w:bCs/>
        </w:rPr>
      </w:pPr>
      <w:r w:rsidRPr="00A3067D">
        <w:rPr>
          <w:rFonts w:eastAsia="MS Mincho"/>
          <w:lang w:eastAsia="ja-JP"/>
        </w:rPr>
        <w:t xml:space="preserve">Rådets </w:t>
      </w:r>
      <w:r w:rsidR="00A17EC2" w:rsidRPr="00A3067D">
        <w:rPr>
          <w:rStyle w:val="Stark"/>
          <w:b w:val="0"/>
          <w:szCs w:val="24"/>
        </w:rPr>
        <w:t>och Europap</w:t>
      </w:r>
      <w:r w:rsidRPr="00A3067D">
        <w:rPr>
          <w:rStyle w:val="Stark"/>
          <w:b w:val="0"/>
          <w:szCs w:val="24"/>
        </w:rPr>
        <w:t xml:space="preserve">arlamentets beslut om övervakning av utsläpp och upptag av växthusgaser, fortsatt kallat MMD, innehåller krav på klimatrapportering inom EU. Enligt MMD ska medlemsländerna årligen rapportera utsläpp och upptag av växthusgaser från 1990 och framåt samt vartannat år rapportera information om åtgärder för att minska utsläppen och prognoser. MMD ska nu revideras </w:t>
      </w:r>
      <w:r w:rsidR="00B344CA" w:rsidRPr="00A3067D">
        <w:rPr>
          <w:rStyle w:val="Stark"/>
          <w:b w:val="0"/>
          <w:szCs w:val="24"/>
        </w:rPr>
        <w:t xml:space="preserve">bl.a. för att den </w:t>
      </w:r>
      <w:r w:rsidRPr="00A3067D">
        <w:rPr>
          <w:rStyle w:val="Stark"/>
          <w:b w:val="0"/>
        </w:rPr>
        <w:t>befintliga rapporteringen behöver förbättras och uppdateras</w:t>
      </w:r>
      <w:r w:rsidR="00B344CA" w:rsidRPr="00A3067D">
        <w:rPr>
          <w:rStyle w:val="Stark"/>
          <w:b w:val="0"/>
        </w:rPr>
        <w:t xml:space="preserve">. </w:t>
      </w:r>
      <w:r w:rsidRPr="00A3067D">
        <w:rPr>
          <w:rStyle w:val="Stark"/>
          <w:b w:val="0"/>
        </w:rPr>
        <w:t xml:space="preserve">Målen med det nya MMD är att det ska stödja EU för att kunna uppfylla internationella åtaganden, åtaganden under klimat- och energipaketet och bidra till en effektiv </w:t>
      </w:r>
      <w:r w:rsidR="00DD291C" w:rsidRPr="00A3067D">
        <w:rPr>
          <w:rStyle w:val="Stark"/>
          <w:b w:val="0"/>
        </w:rPr>
        <w:t>implementering av ”Europe 2020 S</w:t>
      </w:r>
      <w:r w:rsidRPr="00A3067D">
        <w:rPr>
          <w:rStyle w:val="Stark"/>
          <w:b w:val="0"/>
        </w:rPr>
        <w:t xml:space="preserve">trategy”. </w:t>
      </w:r>
    </w:p>
    <w:p w:rsidR="00605C08" w:rsidRPr="00A3067D" w:rsidRDefault="00605C08" w:rsidP="00605C08">
      <w:pPr>
        <w:pStyle w:val="RKnormal"/>
      </w:pPr>
    </w:p>
    <w:p w:rsidR="007024B2" w:rsidRPr="00A3067D" w:rsidRDefault="007024B2" w:rsidP="007024B2">
      <w:pPr>
        <w:pStyle w:val="Prrafodelista"/>
        <w:spacing w:line="240" w:lineRule="auto"/>
        <w:ind w:left="567"/>
        <w:jc w:val="both"/>
        <w:rPr>
          <w:rFonts w:ascii="TradeGothic" w:hAnsi="TradeGothic"/>
          <w:sz w:val="22"/>
          <w:szCs w:val="22"/>
          <w:lang w:val="sv-SE"/>
        </w:rPr>
      </w:pPr>
    </w:p>
    <w:p w:rsidR="007024B2" w:rsidRPr="00A3067D" w:rsidRDefault="007024B2" w:rsidP="007024B2">
      <w:pPr>
        <w:pStyle w:val="Prrafodelista"/>
        <w:spacing w:line="240" w:lineRule="auto"/>
        <w:ind w:left="1134" w:hanging="567"/>
        <w:rPr>
          <w:rFonts w:ascii="TradeGothic" w:hAnsi="TradeGothic"/>
          <w:b/>
          <w:bCs/>
          <w:color w:val="000000"/>
          <w:sz w:val="22"/>
          <w:szCs w:val="22"/>
          <w:lang w:val="sv-SE"/>
        </w:rPr>
      </w:pPr>
      <w:r w:rsidRPr="00A3067D">
        <w:rPr>
          <w:rFonts w:ascii="TradeGothic" w:hAnsi="TradeGothic"/>
          <w:b/>
          <w:sz w:val="22"/>
          <w:szCs w:val="22"/>
          <w:lang w:val="sv-SE"/>
        </w:rPr>
        <w:t>h)</w:t>
      </w:r>
      <w:r w:rsidRPr="00A3067D">
        <w:rPr>
          <w:rFonts w:ascii="TradeGothic" w:hAnsi="TradeGothic"/>
          <w:b/>
          <w:sz w:val="22"/>
          <w:szCs w:val="22"/>
          <w:lang w:val="sv-SE"/>
        </w:rPr>
        <w:tab/>
        <w:t>R</w:t>
      </w:r>
      <w:r w:rsidRPr="00A3067D">
        <w:rPr>
          <w:rFonts w:ascii="TradeGothic" w:hAnsi="TradeGothic"/>
          <w:b/>
          <w:bCs/>
          <w:color w:val="000000"/>
          <w:sz w:val="22"/>
          <w:szCs w:val="22"/>
          <w:lang w:val="sv-SE"/>
        </w:rPr>
        <w:t xml:space="preserve">apportering om nationella genomförandeåtgärder för fri tilldelning av utsläppsrätter till industrianläggningar som omfattas av EU:s utsläppshandelssystem </w:t>
      </w:r>
    </w:p>
    <w:p w:rsidR="007024B2" w:rsidRPr="00A3067D" w:rsidRDefault="007024B2" w:rsidP="007024B2">
      <w:pPr>
        <w:pStyle w:val="Prrafodelista"/>
        <w:spacing w:line="240" w:lineRule="auto"/>
        <w:ind w:left="1134"/>
        <w:jc w:val="both"/>
        <w:rPr>
          <w:rFonts w:ascii="TradeGothic" w:hAnsi="TradeGothic"/>
          <w:bCs/>
          <w:i/>
          <w:color w:val="000000"/>
          <w:sz w:val="22"/>
          <w:szCs w:val="22"/>
          <w:lang w:val="sv-SE"/>
        </w:rPr>
      </w:pPr>
      <w:r w:rsidRPr="00A3067D">
        <w:rPr>
          <w:rFonts w:ascii="TradeGothic" w:hAnsi="TradeGothic"/>
          <w:bCs/>
          <w:i/>
          <w:color w:val="000000"/>
          <w:sz w:val="22"/>
          <w:szCs w:val="22"/>
          <w:lang w:val="sv-SE"/>
        </w:rPr>
        <w:t>–</w:t>
      </w:r>
      <w:r w:rsidRPr="00A3067D">
        <w:rPr>
          <w:rFonts w:ascii="TradeGothic" w:hAnsi="TradeGothic"/>
          <w:bCs/>
          <w:i/>
          <w:color w:val="000000"/>
          <w:sz w:val="22"/>
          <w:szCs w:val="22"/>
          <w:lang w:val="sv-SE"/>
        </w:rPr>
        <w:tab/>
        <w:t>Information från kommissionen</w:t>
      </w:r>
    </w:p>
    <w:p w:rsidR="000353B2" w:rsidRPr="00A3067D" w:rsidRDefault="000353B2" w:rsidP="007024B2">
      <w:pPr>
        <w:pStyle w:val="Prrafodelista"/>
        <w:spacing w:line="240" w:lineRule="auto"/>
        <w:ind w:left="1134"/>
        <w:jc w:val="both"/>
        <w:rPr>
          <w:rFonts w:ascii="TradeGothic" w:hAnsi="TradeGothic"/>
          <w:bCs/>
          <w:i/>
          <w:color w:val="000000"/>
          <w:sz w:val="22"/>
          <w:szCs w:val="22"/>
          <w:lang w:val="sv-SE"/>
        </w:rPr>
      </w:pPr>
    </w:p>
    <w:p w:rsidR="000353B2" w:rsidRPr="00A3067D" w:rsidRDefault="000353B2" w:rsidP="00406EBE">
      <w:pPr>
        <w:rPr>
          <w:rFonts w:eastAsia="MS Mincho"/>
          <w:lang w:eastAsia="ja-JP"/>
        </w:rPr>
      </w:pPr>
      <w:r w:rsidRPr="00A3067D">
        <w:rPr>
          <w:rFonts w:eastAsia="MS Mincho"/>
          <w:lang w:eastAsia="ja-JP"/>
        </w:rPr>
        <w:t xml:space="preserve">Klimat- och energipaketet innebär att utsläppen som omfattas av EU:s system för handel med utsläppsrätter ska minska med 21% mellan 2005 och 2020. Auktionering kommer att vara den huvudsakliga tilldelningsmetoden från 2013 men EU:s internationellt konkurrensutsatta industri kommer även fortsättningsvis att få viss gratis tilldelning av utsläppsrätter med utgångspunkt i EU-gemensamma riktmärken. </w:t>
      </w:r>
    </w:p>
    <w:p w:rsidR="000353B2" w:rsidRPr="00A3067D" w:rsidRDefault="000353B2" w:rsidP="00406EBE">
      <w:pPr>
        <w:rPr>
          <w:rFonts w:eastAsia="MS Mincho"/>
          <w:lang w:eastAsia="ja-JP"/>
        </w:rPr>
      </w:pPr>
    </w:p>
    <w:p w:rsidR="000353B2" w:rsidRPr="00A3067D" w:rsidRDefault="000353B2" w:rsidP="00406EBE">
      <w:pPr>
        <w:rPr>
          <w:rFonts w:eastAsia="MS Mincho"/>
          <w:lang w:eastAsia="ja-JP"/>
        </w:rPr>
      </w:pPr>
      <w:r w:rsidRPr="00A3067D">
        <w:rPr>
          <w:rFonts w:eastAsia="MS Mincho"/>
          <w:lang w:eastAsia="ja-JP"/>
        </w:rPr>
        <w:t xml:space="preserve">Varje medlemsstat ska under hösten 2011 lämna in en lista till kommissionen med beräknad gratis tilldelning av utsläppsrätter på anläggningsnivå med utgångspunkt i de EU-gemensamma riktmärkena. </w:t>
      </w:r>
      <w:r w:rsidRPr="00A3067D">
        <w:t>Regeringen står fullt ut bakom EU:s utsläppshandelssystem och en EU-harmoniserad tillämpning av detta.</w:t>
      </w:r>
    </w:p>
    <w:p w:rsidR="000353B2" w:rsidRPr="00A3067D" w:rsidRDefault="000353B2" w:rsidP="00406EBE"/>
    <w:p w:rsidR="007024B2" w:rsidRPr="00A3067D" w:rsidRDefault="007024B2" w:rsidP="007024B2">
      <w:pPr>
        <w:pStyle w:val="Prrafodelista"/>
        <w:spacing w:line="240" w:lineRule="auto"/>
        <w:ind w:left="567"/>
        <w:jc w:val="both"/>
        <w:rPr>
          <w:rFonts w:ascii="TradeGothic" w:hAnsi="TradeGothic"/>
          <w:sz w:val="22"/>
          <w:szCs w:val="22"/>
          <w:lang w:val="sv-SE"/>
        </w:rPr>
      </w:pPr>
    </w:p>
    <w:p w:rsidR="007024B2" w:rsidRPr="00A3067D" w:rsidRDefault="007024B2" w:rsidP="00406EBE">
      <w:pPr>
        <w:pStyle w:val="Prrafodelista"/>
        <w:spacing w:line="240" w:lineRule="auto"/>
        <w:ind w:left="0"/>
        <w:rPr>
          <w:rFonts w:ascii="TradeGothic" w:hAnsi="TradeGothic"/>
          <w:b/>
          <w:sz w:val="22"/>
          <w:szCs w:val="22"/>
          <w:lang w:val="sv-SE"/>
        </w:rPr>
      </w:pPr>
      <w:r w:rsidRPr="00A3067D">
        <w:rPr>
          <w:rFonts w:ascii="TradeGothic" w:hAnsi="TradeGothic"/>
          <w:b/>
          <w:sz w:val="22"/>
          <w:szCs w:val="22"/>
          <w:lang w:val="sv-SE"/>
        </w:rPr>
        <w:t>i)</w:t>
      </w:r>
      <w:r w:rsidRPr="00A3067D">
        <w:rPr>
          <w:rFonts w:ascii="TradeGothic" w:hAnsi="TradeGothic"/>
          <w:b/>
          <w:sz w:val="22"/>
          <w:szCs w:val="22"/>
          <w:lang w:val="sv-SE"/>
        </w:rPr>
        <w:tab/>
        <w:t xml:space="preserve">Förberedelser inför världsforumet för vatten (Marseille den 12–17 </w:t>
      </w:r>
      <w:r w:rsidR="00406EBE" w:rsidRPr="00A3067D">
        <w:rPr>
          <w:rFonts w:ascii="TradeGothic" w:hAnsi="TradeGothic"/>
          <w:b/>
          <w:sz w:val="22"/>
          <w:szCs w:val="22"/>
          <w:lang w:val="sv-SE"/>
        </w:rPr>
        <w:tab/>
      </w:r>
      <w:r w:rsidRPr="00A3067D">
        <w:rPr>
          <w:rFonts w:ascii="TradeGothic" w:hAnsi="TradeGothic"/>
          <w:b/>
          <w:sz w:val="22"/>
          <w:szCs w:val="22"/>
          <w:lang w:val="sv-SE"/>
        </w:rPr>
        <w:t>mars 2012)</w:t>
      </w:r>
    </w:p>
    <w:p w:rsidR="007024B2" w:rsidRPr="00A3067D" w:rsidRDefault="007024B2" w:rsidP="007024B2">
      <w:pPr>
        <w:pStyle w:val="Prrafodelista"/>
        <w:spacing w:line="240" w:lineRule="auto"/>
        <w:ind w:left="1134"/>
        <w:jc w:val="both"/>
        <w:rPr>
          <w:rFonts w:ascii="TradeGothic" w:hAnsi="TradeGothic"/>
          <w:i/>
          <w:sz w:val="22"/>
          <w:szCs w:val="22"/>
          <w:lang w:val="sv-SE"/>
        </w:rPr>
      </w:pPr>
      <w:r w:rsidRPr="00A3067D">
        <w:rPr>
          <w:rFonts w:ascii="TradeGothic" w:hAnsi="TradeGothic"/>
          <w:i/>
          <w:sz w:val="22"/>
          <w:szCs w:val="22"/>
          <w:lang w:val="sv-SE"/>
        </w:rPr>
        <w:t>–</w:t>
      </w:r>
      <w:r w:rsidRPr="00A3067D">
        <w:rPr>
          <w:rFonts w:ascii="TradeGothic" w:hAnsi="TradeGothic"/>
          <w:i/>
          <w:sz w:val="22"/>
          <w:szCs w:val="22"/>
          <w:lang w:val="sv-SE"/>
        </w:rPr>
        <w:tab/>
        <w:t>Information från den franska delegationen</w:t>
      </w:r>
    </w:p>
    <w:p w:rsidR="000353B2" w:rsidRPr="00A3067D" w:rsidRDefault="000353B2" w:rsidP="007024B2">
      <w:pPr>
        <w:pStyle w:val="Prrafodelista"/>
        <w:spacing w:line="240" w:lineRule="auto"/>
        <w:ind w:left="1134"/>
        <w:jc w:val="both"/>
        <w:rPr>
          <w:rFonts w:ascii="TradeGothic" w:hAnsi="TradeGothic"/>
          <w:sz w:val="22"/>
          <w:szCs w:val="22"/>
          <w:lang w:val="sv-SE"/>
        </w:rPr>
      </w:pPr>
    </w:p>
    <w:p w:rsidR="006263CE" w:rsidRPr="00A3067D" w:rsidRDefault="006263CE" w:rsidP="00DD291C">
      <w:pPr>
        <w:pStyle w:val="Prrafodelista"/>
        <w:spacing w:line="240" w:lineRule="auto"/>
        <w:ind w:left="0"/>
        <w:rPr>
          <w:rFonts w:ascii="OrigGarmnd BT" w:hAnsi="OrigGarmnd BT"/>
          <w:szCs w:val="24"/>
          <w:lang w:val="sv-SE"/>
        </w:rPr>
      </w:pPr>
      <w:r w:rsidRPr="00A3067D">
        <w:rPr>
          <w:rFonts w:ascii="OrigGarmnd BT" w:hAnsi="OrigGarmnd BT"/>
          <w:szCs w:val="24"/>
          <w:lang w:val="sv-SE"/>
        </w:rPr>
        <w:t xml:space="preserve">Världsforumet för vatten </w:t>
      </w:r>
      <w:r w:rsidR="002205C8" w:rsidRPr="00A3067D">
        <w:rPr>
          <w:rFonts w:ascii="OrigGarmnd BT" w:hAnsi="OrigGarmnd BT"/>
          <w:szCs w:val="24"/>
          <w:lang w:val="sv-SE"/>
        </w:rPr>
        <w:t>arrangeras var tredje år</w:t>
      </w:r>
      <w:r w:rsidR="00A60DE2" w:rsidRPr="00A3067D">
        <w:rPr>
          <w:rFonts w:ascii="OrigGarmnd BT" w:hAnsi="OrigGarmnd BT"/>
          <w:szCs w:val="24"/>
          <w:lang w:val="sv-SE"/>
        </w:rPr>
        <w:t xml:space="preserve"> </w:t>
      </w:r>
      <w:r w:rsidR="002205C8" w:rsidRPr="00A3067D">
        <w:rPr>
          <w:rFonts w:ascii="OrigGarmnd BT" w:hAnsi="OrigGarmnd BT"/>
          <w:szCs w:val="24"/>
          <w:lang w:val="sv-SE"/>
        </w:rPr>
        <w:t>och äger</w:t>
      </w:r>
      <w:r w:rsidR="000A49C9" w:rsidRPr="00A3067D">
        <w:rPr>
          <w:rFonts w:ascii="OrigGarmnd BT" w:hAnsi="OrigGarmnd BT"/>
          <w:szCs w:val="24"/>
          <w:lang w:val="sv-SE"/>
        </w:rPr>
        <w:t xml:space="preserve"> rum </w:t>
      </w:r>
      <w:r w:rsidR="00DD291C" w:rsidRPr="00A3067D">
        <w:rPr>
          <w:rFonts w:ascii="OrigGarmnd BT" w:hAnsi="OrigGarmnd BT"/>
          <w:szCs w:val="24"/>
          <w:lang w:val="sv-SE"/>
        </w:rPr>
        <w:t xml:space="preserve">den 12-17 mars 2012 </w:t>
      </w:r>
      <w:r w:rsidR="000A49C9" w:rsidRPr="00A3067D">
        <w:rPr>
          <w:rFonts w:ascii="OrigGarmnd BT" w:hAnsi="OrigGarmnd BT"/>
          <w:szCs w:val="24"/>
          <w:lang w:val="sv-SE"/>
        </w:rPr>
        <w:t xml:space="preserve"> i Marseille</w:t>
      </w:r>
      <w:r w:rsidR="002205C8" w:rsidRPr="00A3067D">
        <w:rPr>
          <w:rFonts w:ascii="OrigGarmnd BT" w:hAnsi="OrigGarmnd BT"/>
          <w:szCs w:val="24"/>
          <w:lang w:val="sv-SE"/>
        </w:rPr>
        <w:t xml:space="preserve">. Mötet syftar till att </w:t>
      </w:r>
      <w:r w:rsidR="00A60DE2" w:rsidRPr="00A3067D">
        <w:rPr>
          <w:rFonts w:ascii="OrigGarmnd BT" w:hAnsi="OrigGarmnd BT"/>
          <w:szCs w:val="24"/>
          <w:lang w:val="sv-SE"/>
        </w:rPr>
        <w:t xml:space="preserve">samla </w:t>
      </w:r>
      <w:r w:rsidR="002205C8" w:rsidRPr="00A3067D">
        <w:rPr>
          <w:rFonts w:ascii="OrigGarmnd BT" w:hAnsi="OrigGarmnd BT"/>
          <w:szCs w:val="24"/>
          <w:lang w:val="sv-SE"/>
        </w:rPr>
        <w:t xml:space="preserve"> stakeholders från den politiska arenan och </w:t>
      </w:r>
      <w:r w:rsidR="00A60DE2" w:rsidRPr="00A3067D">
        <w:rPr>
          <w:rFonts w:ascii="OrigGarmnd BT" w:hAnsi="OrigGarmnd BT"/>
          <w:szCs w:val="24"/>
          <w:lang w:val="sv-SE"/>
        </w:rPr>
        <w:t xml:space="preserve">det </w:t>
      </w:r>
      <w:r w:rsidR="002205C8" w:rsidRPr="00A3067D">
        <w:rPr>
          <w:rFonts w:ascii="OrigGarmnd BT" w:hAnsi="OrigGarmnd BT"/>
          <w:szCs w:val="24"/>
          <w:lang w:val="sv-SE"/>
        </w:rPr>
        <w:t xml:space="preserve">civila samhället </w:t>
      </w:r>
      <w:r w:rsidR="00A60DE2" w:rsidRPr="00A3067D">
        <w:rPr>
          <w:rFonts w:ascii="OrigGarmnd BT" w:hAnsi="OrigGarmnd BT"/>
          <w:szCs w:val="24"/>
          <w:lang w:val="sv-SE"/>
        </w:rPr>
        <w:t xml:space="preserve">för </w:t>
      </w:r>
      <w:r w:rsidR="002205C8" w:rsidRPr="00A3067D">
        <w:rPr>
          <w:rFonts w:ascii="OrigGarmnd BT" w:hAnsi="OrigGarmnd BT"/>
          <w:szCs w:val="24"/>
          <w:lang w:val="sv-SE"/>
        </w:rPr>
        <w:t xml:space="preserve">att </w:t>
      </w:r>
      <w:r w:rsidR="00DD291C" w:rsidRPr="00A3067D">
        <w:rPr>
          <w:rFonts w:ascii="OrigGarmnd BT" w:hAnsi="OrigGarmnd BT"/>
          <w:szCs w:val="24"/>
          <w:lang w:val="sv-SE"/>
        </w:rPr>
        <w:t xml:space="preserve">gemensamt </w:t>
      </w:r>
      <w:r w:rsidR="002205C8" w:rsidRPr="00A3067D">
        <w:rPr>
          <w:rFonts w:ascii="OrigGarmnd BT" w:hAnsi="OrigGarmnd BT"/>
          <w:szCs w:val="24"/>
          <w:lang w:val="sv-SE"/>
        </w:rPr>
        <w:t>diskutera globala vattenfrågor.</w:t>
      </w:r>
    </w:p>
    <w:p w:rsidR="000353B2" w:rsidRPr="00A3067D" w:rsidRDefault="000353B2" w:rsidP="007024B2">
      <w:pPr>
        <w:pStyle w:val="Prrafodelista"/>
        <w:spacing w:line="240" w:lineRule="auto"/>
        <w:ind w:left="1134"/>
        <w:jc w:val="both"/>
        <w:rPr>
          <w:rFonts w:ascii="TradeGothic" w:hAnsi="TradeGothic"/>
          <w:sz w:val="22"/>
          <w:szCs w:val="22"/>
          <w:lang w:val="sv-SE"/>
        </w:rPr>
      </w:pPr>
    </w:p>
    <w:p w:rsidR="00406EBE" w:rsidRPr="00A3067D" w:rsidRDefault="00406EBE" w:rsidP="007024B2">
      <w:pPr>
        <w:pStyle w:val="Prrafodelista"/>
        <w:spacing w:line="240" w:lineRule="auto"/>
        <w:ind w:left="1134"/>
        <w:jc w:val="both"/>
        <w:rPr>
          <w:rFonts w:ascii="TradeGothic" w:hAnsi="TradeGothic"/>
          <w:sz w:val="22"/>
          <w:szCs w:val="22"/>
          <w:lang w:val="sv-SE"/>
        </w:rPr>
      </w:pPr>
    </w:p>
    <w:p w:rsidR="007024B2" w:rsidRPr="00A3067D" w:rsidRDefault="007024B2" w:rsidP="00406EBE">
      <w:pPr>
        <w:pStyle w:val="Prrafodelista"/>
        <w:spacing w:line="240" w:lineRule="auto"/>
        <w:ind w:left="0"/>
        <w:jc w:val="both"/>
        <w:rPr>
          <w:rFonts w:ascii="TradeGothic" w:hAnsi="TradeGothic"/>
          <w:b/>
          <w:sz w:val="22"/>
          <w:szCs w:val="22"/>
          <w:lang w:val="sv-SE"/>
        </w:rPr>
      </w:pPr>
      <w:r w:rsidRPr="00A3067D">
        <w:rPr>
          <w:rFonts w:ascii="TradeGothic" w:hAnsi="TradeGothic"/>
          <w:b/>
          <w:sz w:val="22"/>
          <w:szCs w:val="22"/>
          <w:lang w:val="sv-SE"/>
        </w:rPr>
        <w:t>j)</w:t>
      </w:r>
      <w:r w:rsidRPr="00A3067D">
        <w:rPr>
          <w:rFonts w:ascii="TradeGothic" w:hAnsi="TradeGothic"/>
          <w:b/>
          <w:sz w:val="22"/>
          <w:szCs w:val="22"/>
          <w:lang w:val="sv-SE"/>
        </w:rPr>
        <w:tab/>
        <w:t>EU-arbete med endokrinstörande kemikalier</w:t>
      </w:r>
    </w:p>
    <w:p w:rsidR="007024B2" w:rsidRPr="00A3067D" w:rsidRDefault="007024B2" w:rsidP="007024B2">
      <w:pPr>
        <w:pStyle w:val="Prrafodelista"/>
        <w:spacing w:line="240" w:lineRule="auto"/>
        <w:ind w:left="1134"/>
        <w:jc w:val="both"/>
        <w:rPr>
          <w:rFonts w:ascii="TradeGothic" w:hAnsi="TradeGothic"/>
          <w:i/>
          <w:sz w:val="22"/>
          <w:szCs w:val="22"/>
          <w:lang w:val="sv-SE"/>
        </w:rPr>
      </w:pPr>
      <w:r w:rsidRPr="00A3067D">
        <w:rPr>
          <w:rFonts w:ascii="TradeGothic" w:hAnsi="TradeGothic"/>
          <w:i/>
          <w:sz w:val="22"/>
          <w:szCs w:val="22"/>
          <w:lang w:val="sv-SE"/>
        </w:rPr>
        <w:t>–</w:t>
      </w:r>
      <w:r w:rsidRPr="00A3067D">
        <w:rPr>
          <w:rFonts w:ascii="TradeGothic" w:hAnsi="TradeGothic"/>
          <w:i/>
          <w:sz w:val="22"/>
          <w:szCs w:val="22"/>
          <w:lang w:val="sv-SE"/>
        </w:rPr>
        <w:tab/>
        <w:t>Information från den svenska delegationen</w:t>
      </w:r>
    </w:p>
    <w:p w:rsidR="00052587" w:rsidRPr="00A3067D" w:rsidRDefault="00052587" w:rsidP="007024B2">
      <w:pPr>
        <w:pStyle w:val="Prrafodelista"/>
        <w:spacing w:line="240" w:lineRule="auto"/>
        <w:ind w:left="1134"/>
        <w:jc w:val="both"/>
        <w:rPr>
          <w:rFonts w:ascii="TradeGothic" w:hAnsi="TradeGothic"/>
          <w:i/>
          <w:sz w:val="22"/>
          <w:szCs w:val="22"/>
          <w:lang w:val="sv-SE"/>
        </w:rPr>
      </w:pPr>
    </w:p>
    <w:p w:rsidR="00052587" w:rsidRPr="00A3067D" w:rsidRDefault="00052587" w:rsidP="00052587">
      <w:pPr>
        <w:pStyle w:val="RKnormal"/>
      </w:pPr>
      <w:r w:rsidRPr="00A3067D">
        <w:t xml:space="preserve">Under det svenska ordförandeskapet 2009 antogs rådsslutsatser om kombinationseffekter av kemikalier. Slutsatserna lyfter fram att barn utsätts för en mängd olika hormonstörande ämnen i sin vardag, vilka tillsammans skulle kunna ha många negativa effekter på deras hälsa och utveckling. EU-kommissionen uppmanas att senast i början av år 2012 rapportera till rådet om hur kemikaliereglerna skulle kunna förbättras.  </w:t>
      </w:r>
    </w:p>
    <w:p w:rsidR="00052587" w:rsidRPr="00A3067D" w:rsidRDefault="00052587" w:rsidP="00052587">
      <w:pPr>
        <w:pStyle w:val="RKnormal"/>
      </w:pPr>
    </w:p>
    <w:p w:rsidR="00052587" w:rsidRPr="00A3067D" w:rsidRDefault="00052587" w:rsidP="00052587">
      <w:pPr>
        <w:pStyle w:val="RKnormal"/>
        <w:rPr>
          <w:rFonts w:cs="OrigGarmnd BT"/>
          <w:color w:val="000000"/>
          <w:szCs w:val="24"/>
          <w:lang w:eastAsia="sv-SE"/>
        </w:rPr>
      </w:pPr>
      <w:r w:rsidRPr="00A3067D">
        <w:rPr>
          <w:rFonts w:cs="OrigGarmnd BT"/>
          <w:color w:val="000000"/>
          <w:szCs w:val="24"/>
          <w:lang w:eastAsia="sv-SE"/>
        </w:rPr>
        <w:t xml:space="preserve">EU-kommissionen har i augusti 2011 lämnat sin </w:t>
      </w:r>
      <w:r w:rsidR="009A6309" w:rsidRPr="00A3067D">
        <w:rPr>
          <w:rFonts w:cs="OrigGarmnd BT"/>
          <w:color w:val="000000"/>
          <w:szCs w:val="24"/>
          <w:lang w:eastAsia="sv-SE"/>
        </w:rPr>
        <w:t>fjärde</w:t>
      </w:r>
      <w:r w:rsidRPr="00A3067D">
        <w:rPr>
          <w:rFonts w:cs="OrigGarmnd BT"/>
          <w:color w:val="000000"/>
          <w:szCs w:val="24"/>
          <w:lang w:eastAsia="sv-SE"/>
        </w:rPr>
        <w:t xml:space="preserve"> rapport om genomförandet av gemenskapens strategi för endokrinstörande ämnen.</w:t>
      </w:r>
    </w:p>
    <w:p w:rsidR="00052587" w:rsidRPr="00A3067D" w:rsidRDefault="00052587" w:rsidP="00052587">
      <w:pPr>
        <w:pStyle w:val="RKnormal"/>
      </w:pPr>
      <w:r w:rsidRPr="00A3067D">
        <w:t xml:space="preserve">Sverige avser att be kommissionen utveckla förslagen i rapporten samt påminna om vikten av att kommissionen följer upp rådsslutsatserna från 2009. </w:t>
      </w:r>
    </w:p>
    <w:p w:rsidR="006E4E11" w:rsidRPr="00A3067D" w:rsidRDefault="006E4E11" w:rsidP="007024B2">
      <w:pPr>
        <w:spacing w:line="240" w:lineRule="auto"/>
        <w:rPr>
          <w:rFonts w:ascii="TradeGothic" w:hAnsi="TradeGothic"/>
          <w:sz w:val="22"/>
          <w:szCs w:val="22"/>
        </w:rPr>
      </w:pPr>
    </w:p>
    <w:sectPr w:rsidR="006E4E11" w:rsidRPr="00A3067D" w:rsidSect="007024B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1C56" w:rsidRPr="00A3067D" w:rsidRDefault="00201C56">
      <w:r w:rsidRPr="00A3067D">
        <w:separator/>
      </w:r>
    </w:p>
  </w:endnote>
  <w:endnote w:type="continuationSeparator" w:id="0">
    <w:p w:rsidR="00201C56" w:rsidRPr="00A3067D" w:rsidRDefault="00201C56">
      <w:r w:rsidRPr="00A306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1C56" w:rsidRPr="00A3067D" w:rsidRDefault="00201C56">
      <w:r w:rsidRPr="00A3067D">
        <w:separator/>
      </w:r>
    </w:p>
  </w:footnote>
  <w:footnote w:type="continuationSeparator" w:id="0">
    <w:p w:rsidR="00201C56" w:rsidRPr="00A3067D" w:rsidRDefault="00201C56">
      <w:r w:rsidRPr="00A3067D">
        <w:continuationSeparator/>
      </w:r>
    </w:p>
  </w:footnote>
  <w:footnote w:id="1">
    <w:p w:rsidR="00616F4F" w:rsidRPr="00A3067D" w:rsidRDefault="00616F4F" w:rsidP="002F72EE">
      <w:pPr>
        <w:pStyle w:val="Fotnotstext"/>
      </w:pPr>
      <w:r w:rsidRPr="00A3067D">
        <w:rPr>
          <w:rStyle w:val="Fotnotsreferens"/>
        </w:rPr>
        <w:footnoteRef/>
      </w:r>
      <w:r w:rsidRPr="00A3067D">
        <w:tab/>
        <w:t>http://ec.europa.eu/environment/newprg/final.htm.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F4F" w:rsidRPr="00A3067D" w:rsidRDefault="00616F4F" w:rsidP="007024B2">
    <w:pPr>
      <w:pStyle w:val="Sidhuvud"/>
      <w:framePr w:wrap="around" w:vAnchor="text" w:hAnchor="margin" w:xAlign="outside" w:y="1"/>
      <w:rPr>
        <w:rStyle w:val="Sidnummer"/>
      </w:rPr>
    </w:pPr>
    <w:r w:rsidRPr="00A3067D">
      <w:rPr>
        <w:rStyle w:val="Sidnummer"/>
      </w:rPr>
      <w:fldChar w:fldCharType="begin" w:fldLock="1"/>
    </w:r>
    <w:r w:rsidRPr="00A3067D">
      <w:rPr>
        <w:rStyle w:val="Sidnummer"/>
      </w:rPr>
      <w:instrText xml:space="preserve">PAGE  </w:instrText>
    </w:r>
    <w:r w:rsidRPr="00A3067D">
      <w:rPr>
        <w:rStyle w:val="Sidnummer"/>
      </w:rPr>
      <w:fldChar w:fldCharType="separate"/>
    </w:r>
    <w:r w:rsidR="00F03158" w:rsidRPr="00A3067D">
      <w:rPr>
        <w:rStyle w:val="Sidnummer"/>
      </w:rPr>
      <w:t>10</w:t>
    </w:r>
    <w:r w:rsidRPr="00A3067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16F4F" w:rsidRPr="00A3067D">
      <w:tblPrEx>
        <w:tblCellMar>
          <w:top w:w="0" w:type="dxa"/>
          <w:bottom w:w="0" w:type="dxa"/>
        </w:tblCellMar>
      </w:tblPrEx>
      <w:trPr>
        <w:cantSplit/>
      </w:trPr>
      <w:tc>
        <w:tcPr>
          <w:tcW w:w="3119" w:type="dxa"/>
        </w:tcPr>
        <w:p w:rsidR="00616F4F" w:rsidRPr="00A3067D" w:rsidRDefault="00616F4F" w:rsidP="007024B2">
          <w:pPr>
            <w:pStyle w:val="Sidhuvud"/>
            <w:spacing w:line="200" w:lineRule="atLeast"/>
            <w:ind w:right="360" w:firstLine="360"/>
            <w:rPr>
              <w:rFonts w:ascii="TradeGothic" w:hAnsi="TradeGothic"/>
              <w:b/>
              <w:bCs/>
              <w:sz w:val="16"/>
            </w:rPr>
          </w:pPr>
        </w:p>
      </w:tc>
      <w:tc>
        <w:tcPr>
          <w:tcW w:w="4111" w:type="dxa"/>
          <w:tcMar>
            <w:left w:w="567" w:type="dxa"/>
          </w:tcMar>
        </w:tcPr>
        <w:p w:rsidR="00616F4F" w:rsidRPr="00A3067D" w:rsidRDefault="00616F4F">
          <w:pPr>
            <w:pStyle w:val="Sidhuvud"/>
            <w:ind w:right="360"/>
          </w:pPr>
        </w:p>
      </w:tc>
      <w:tc>
        <w:tcPr>
          <w:tcW w:w="1525" w:type="dxa"/>
        </w:tcPr>
        <w:p w:rsidR="00616F4F" w:rsidRPr="00A3067D" w:rsidRDefault="00616F4F">
          <w:pPr>
            <w:pStyle w:val="Sidhuvud"/>
            <w:ind w:right="360"/>
          </w:pPr>
        </w:p>
      </w:tc>
    </w:tr>
  </w:tbl>
  <w:p w:rsidR="00616F4F" w:rsidRPr="00A3067D" w:rsidRDefault="00616F4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F4F" w:rsidRPr="00A3067D" w:rsidRDefault="00616F4F" w:rsidP="007024B2">
    <w:pPr>
      <w:pStyle w:val="Sidhuvud"/>
      <w:framePr w:wrap="around" w:vAnchor="text" w:hAnchor="margin" w:xAlign="outside" w:y="1"/>
      <w:rPr>
        <w:rStyle w:val="Sidnummer"/>
      </w:rPr>
    </w:pPr>
    <w:r w:rsidRPr="00A3067D">
      <w:rPr>
        <w:rStyle w:val="Sidnummer"/>
      </w:rPr>
      <w:fldChar w:fldCharType="begin" w:fldLock="1"/>
    </w:r>
    <w:r w:rsidRPr="00A3067D">
      <w:rPr>
        <w:rStyle w:val="Sidnummer"/>
      </w:rPr>
      <w:instrText xml:space="preserve">PAGE  </w:instrText>
    </w:r>
    <w:r w:rsidRPr="00A3067D">
      <w:rPr>
        <w:rStyle w:val="Sidnummer"/>
      </w:rPr>
      <w:fldChar w:fldCharType="separate"/>
    </w:r>
    <w:r w:rsidR="00F03158" w:rsidRPr="00A3067D">
      <w:rPr>
        <w:rStyle w:val="Sidnummer"/>
      </w:rPr>
      <w:t>9</w:t>
    </w:r>
    <w:r w:rsidRPr="00A3067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16F4F" w:rsidRPr="00A3067D">
      <w:tblPrEx>
        <w:tblCellMar>
          <w:top w:w="0" w:type="dxa"/>
          <w:bottom w:w="0" w:type="dxa"/>
        </w:tblCellMar>
      </w:tblPrEx>
      <w:trPr>
        <w:cantSplit/>
      </w:trPr>
      <w:tc>
        <w:tcPr>
          <w:tcW w:w="3119" w:type="dxa"/>
        </w:tcPr>
        <w:p w:rsidR="00616F4F" w:rsidRPr="00A3067D" w:rsidRDefault="00616F4F" w:rsidP="007024B2">
          <w:pPr>
            <w:pStyle w:val="Sidhuvud"/>
            <w:spacing w:line="200" w:lineRule="atLeast"/>
            <w:ind w:right="360" w:firstLine="360"/>
            <w:rPr>
              <w:rFonts w:ascii="TradeGothic" w:hAnsi="TradeGothic"/>
              <w:b/>
              <w:bCs/>
              <w:sz w:val="16"/>
            </w:rPr>
          </w:pPr>
        </w:p>
      </w:tc>
      <w:tc>
        <w:tcPr>
          <w:tcW w:w="4111" w:type="dxa"/>
          <w:tcMar>
            <w:left w:w="567" w:type="dxa"/>
          </w:tcMar>
        </w:tcPr>
        <w:p w:rsidR="00616F4F" w:rsidRPr="00A3067D" w:rsidRDefault="00616F4F">
          <w:pPr>
            <w:pStyle w:val="Sidhuvud"/>
            <w:ind w:right="360"/>
          </w:pPr>
        </w:p>
      </w:tc>
      <w:tc>
        <w:tcPr>
          <w:tcW w:w="1525" w:type="dxa"/>
        </w:tcPr>
        <w:p w:rsidR="00616F4F" w:rsidRPr="00A3067D" w:rsidRDefault="00616F4F">
          <w:pPr>
            <w:pStyle w:val="Sidhuvud"/>
            <w:ind w:right="360"/>
          </w:pPr>
        </w:p>
      </w:tc>
    </w:tr>
  </w:tbl>
  <w:p w:rsidR="00616F4F" w:rsidRPr="00A3067D" w:rsidRDefault="00616F4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F4F" w:rsidRPr="00A3067D" w:rsidRDefault="00A3067D">
    <w:pPr>
      <w:framePr w:w="2948" w:h="1321" w:hRule="exact" w:wrap="notBeside" w:vAnchor="page" w:hAnchor="page" w:x="1362" w:y="653"/>
    </w:pPr>
    <w:r w:rsidRPr="00A3067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616F4F" w:rsidRPr="00A3067D" w:rsidRDefault="00616F4F">
    <w:pPr>
      <w:pStyle w:val="RKrubrik"/>
      <w:keepNext w:val="0"/>
      <w:tabs>
        <w:tab w:val="clear" w:pos="1134"/>
        <w:tab w:val="clear" w:pos="2835"/>
      </w:tabs>
      <w:spacing w:before="0" w:after="0" w:line="320" w:lineRule="atLeast"/>
      <w:rPr>
        <w:bCs/>
      </w:rPr>
    </w:pPr>
  </w:p>
  <w:p w:rsidR="00616F4F" w:rsidRPr="00A3067D" w:rsidRDefault="00616F4F">
    <w:pPr>
      <w:rPr>
        <w:rFonts w:ascii="TradeGothic" w:hAnsi="TradeGothic"/>
        <w:b/>
        <w:bCs/>
        <w:spacing w:val="12"/>
        <w:sz w:val="22"/>
      </w:rPr>
    </w:pPr>
  </w:p>
  <w:p w:rsidR="00616F4F" w:rsidRPr="00A3067D" w:rsidRDefault="00616F4F">
    <w:pPr>
      <w:pStyle w:val="RKrubrik"/>
      <w:keepNext w:val="0"/>
      <w:tabs>
        <w:tab w:val="clear" w:pos="1134"/>
        <w:tab w:val="clear" w:pos="2835"/>
      </w:tabs>
      <w:spacing w:before="0" w:after="0" w:line="320" w:lineRule="atLeast"/>
      <w:rPr>
        <w:bCs/>
      </w:rPr>
    </w:pPr>
  </w:p>
  <w:p w:rsidR="00616F4F" w:rsidRPr="00A3067D" w:rsidRDefault="00616F4F">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2AAF2C0"/>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7023DA5"/>
    <w:multiLevelType w:val="hybridMultilevel"/>
    <w:tmpl w:val="21B8E7C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55286D"/>
    <w:multiLevelType w:val="hybridMultilevel"/>
    <w:tmpl w:val="1574687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D12C87"/>
    <w:multiLevelType w:val="hybridMultilevel"/>
    <w:tmpl w:val="AB8827F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80455699">
    <w:abstractNumId w:val="1"/>
  </w:num>
  <w:num w:numId="2" w16cid:durableId="447168585">
    <w:abstractNumId w:val="0"/>
  </w:num>
  <w:num w:numId="3" w16cid:durableId="1915699169">
    <w:abstractNumId w:val="2"/>
  </w:num>
  <w:num w:numId="4" w16cid:durableId="1465923576">
    <w:abstractNumId w:val="3"/>
  </w:num>
  <w:num w:numId="5" w16cid:durableId="1467699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11"/>
    <w:docVar w:name="docSprak" w:val="0"/>
  </w:docVars>
  <w:rsids>
    <w:rsidRoot w:val="007024B2"/>
    <w:rsid w:val="0003350A"/>
    <w:rsid w:val="000353B2"/>
    <w:rsid w:val="00052587"/>
    <w:rsid w:val="00053347"/>
    <w:rsid w:val="00073435"/>
    <w:rsid w:val="0007536F"/>
    <w:rsid w:val="0008693B"/>
    <w:rsid w:val="000A49C9"/>
    <w:rsid w:val="0012431F"/>
    <w:rsid w:val="00141FF1"/>
    <w:rsid w:val="00150384"/>
    <w:rsid w:val="001805B7"/>
    <w:rsid w:val="001B1C67"/>
    <w:rsid w:val="001B75CF"/>
    <w:rsid w:val="00201C56"/>
    <w:rsid w:val="0021773E"/>
    <w:rsid w:val="002205C8"/>
    <w:rsid w:val="00276277"/>
    <w:rsid w:val="002F68DD"/>
    <w:rsid w:val="002F72EE"/>
    <w:rsid w:val="003512F6"/>
    <w:rsid w:val="003F11FB"/>
    <w:rsid w:val="00406EBE"/>
    <w:rsid w:val="00435476"/>
    <w:rsid w:val="00495459"/>
    <w:rsid w:val="004A328D"/>
    <w:rsid w:val="00534DFD"/>
    <w:rsid w:val="00563559"/>
    <w:rsid w:val="005847D6"/>
    <w:rsid w:val="0058762B"/>
    <w:rsid w:val="005C07B9"/>
    <w:rsid w:val="005C44F3"/>
    <w:rsid w:val="00605C08"/>
    <w:rsid w:val="00616F4F"/>
    <w:rsid w:val="006263CE"/>
    <w:rsid w:val="00657105"/>
    <w:rsid w:val="006B7248"/>
    <w:rsid w:val="006E4E11"/>
    <w:rsid w:val="007024B2"/>
    <w:rsid w:val="00702960"/>
    <w:rsid w:val="007242A3"/>
    <w:rsid w:val="00753CE8"/>
    <w:rsid w:val="007A6855"/>
    <w:rsid w:val="007B280A"/>
    <w:rsid w:val="007B3648"/>
    <w:rsid w:val="007C12B9"/>
    <w:rsid w:val="007F6B08"/>
    <w:rsid w:val="00864D70"/>
    <w:rsid w:val="00923ACA"/>
    <w:rsid w:val="009250E3"/>
    <w:rsid w:val="009452AE"/>
    <w:rsid w:val="00962D6F"/>
    <w:rsid w:val="0099658D"/>
    <w:rsid w:val="009A6309"/>
    <w:rsid w:val="009F5353"/>
    <w:rsid w:val="00A17EC2"/>
    <w:rsid w:val="00A3067D"/>
    <w:rsid w:val="00A5726A"/>
    <w:rsid w:val="00A60DE2"/>
    <w:rsid w:val="00A617A4"/>
    <w:rsid w:val="00AA5820"/>
    <w:rsid w:val="00AC551F"/>
    <w:rsid w:val="00B243C7"/>
    <w:rsid w:val="00B344CA"/>
    <w:rsid w:val="00BB36E7"/>
    <w:rsid w:val="00C41A14"/>
    <w:rsid w:val="00C80D2E"/>
    <w:rsid w:val="00CB5708"/>
    <w:rsid w:val="00CF7CF0"/>
    <w:rsid w:val="00D133D7"/>
    <w:rsid w:val="00D9201D"/>
    <w:rsid w:val="00DD291C"/>
    <w:rsid w:val="00DE2A33"/>
    <w:rsid w:val="00E35711"/>
    <w:rsid w:val="00E7738A"/>
    <w:rsid w:val="00EB66E7"/>
    <w:rsid w:val="00EC25F9"/>
    <w:rsid w:val="00ED583F"/>
    <w:rsid w:val="00ED66AB"/>
    <w:rsid w:val="00F03158"/>
    <w:rsid w:val="00F07472"/>
    <w:rsid w:val="00F53D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E304E8-0274-46A8-93FD-2C748E4D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7024B2"/>
    <w:rPr>
      <w:rFonts w:ascii="OrigGarmnd BT" w:hAnsi="OrigGarmnd BT"/>
      <w:sz w:val="24"/>
      <w:lang w:val="sv-SE" w:eastAsia="en-US" w:bidi="ar-SA"/>
    </w:rPr>
  </w:style>
  <w:style w:type="paragraph" w:customStyle="1" w:styleId="Par-dash">
    <w:name w:val="Par-dash"/>
    <w:basedOn w:val="Normal"/>
    <w:next w:val="Normal"/>
    <w:rsid w:val="007024B2"/>
    <w:pPr>
      <w:widowControl w:val="0"/>
      <w:numPr>
        <w:numId w:val="1"/>
      </w:numPr>
      <w:overflowPunct/>
      <w:autoSpaceDE/>
      <w:autoSpaceDN/>
      <w:adjustRightInd/>
      <w:spacing w:line="360" w:lineRule="auto"/>
      <w:textAlignment w:val="auto"/>
    </w:pPr>
    <w:rPr>
      <w:rFonts w:ascii="Times New Roman" w:hAnsi="Times New Roman"/>
      <w:lang w:eastAsia="fr-BE"/>
    </w:rPr>
  </w:style>
  <w:style w:type="paragraph" w:styleId="Punktlista">
    <w:name w:val="List Bullet"/>
    <w:basedOn w:val="Normal"/>
    <w:rsid w:val="007024B2"/>
    <w:pPr>
      <w:numPr>
        <w:numId w:val="2"/>
      </w:numPr>
    </w:pPr>
  </w:style>
  <w:style w:type="paragraph" w:styleId="Fotnotstext">
    <w:name w:val="footnote text"/>
    <w:basedOn w:val="Normal"/>
    <w:semiHidden/>
    <w:rsid w:val="007024B2"/>
    <w:rPr>
      <w:sz w:val="20"/>
    </w:rPr>
  </w:style>
  <w:style w:type="character" w:styleId="Fotnotsreferens">
    <w:name w:val="footnote reference"/>
    <w:basedOn w:val="Standardstycketeckensnitt"/>
    <w:semiHidden/>
    <w:rsid w:val="007024B2"/>
    <w:rPr>
      <w:vertAlign w:val="superscript"/>
    </w:rPr>
  </w:style>
  <w:style w:type="paragraph" w:customStyle="1" w:styleId="EntEmet">
    <w:name w:val="EntEmet"/>
    <w:basedOn w:val="Normal"/>
    <w:rsid w:val="007024B2"/>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customStyle="1" w:styleId="EntRefer">
    <w:name w:val="EntRefer"/>
    <w:basedOn w:val="Normal"/>
    <w:rsid w:val="007024B2"/>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Prrafodelista">
    <w:name w:val="Párrafo de lista"/>
    <w:basedOn w:val="Normal"/>
    <w:qFormat/>
    <w:rsid w:val="007024B2"/>
    <w:pPr>
      <w:widowControl w:val="0"/>
      <w:overflowPunct/>
      <w:autoSpaceDE/>
      <w:autoSpaceDN/>
      <w:adjustRightInd/>
      <w:spacing w:line="360" w:lineRule="auto"/>
      <w:ind w:left="708"/>
      <w:textAlignment w:val="auto"/>
    </w:pPr>
    <w:rPr>
      <w:rFonts w:ascii="Times New Roman" w:hAnsi="Times New Roman"/>
      <w:lang w:val="es-ES" w:eastAsia="fr-BE"/>
    </w:rPr>
  </w:style>
  <w:style w:type="paragraph" w:styleId="Normalwebb">
    <w:name w:val="Normal (Web)"/>
    <w:basedOn w:val="Normal"/>
    <w:rsid w:val="007024B2"/>
    <w:pPr>
      <w:overflowPunct/>
      <w:autoSpaceDE/>
      <w:autoSpaceDN/>
      <w:adjustRightInd/>
      <w:spacing w:before="100" w:beforeAutospacing="1" w:after="100" w:afterAutospacing="1" w:line="240" w:lineRule="auto"/>
      <w:textAlignment w:val="auto"/>
    </w:pPr>
    <w:rPr>
      <w:rFonts w:ascii="Times New Roman" w:hAnsi="Times New Roman"/>
      <w:szCs w:val="24"/>
      <w:lang w:val="en-GB" w:eastAsia="en-GB"/>
    </w:rPr>
  </w:style>
  <w:style w:type="character" w:styleId="Betoning">
    <w:name w:val="Emphasis"/>
    <w:basedOn w:val="Standardstycketeckensnitt"/>
    <w:qFormat/>
    <w:rsid w:val="007024B2"/>
    <w:rPr>
      <w:i/>
      <w:iCs/>
    </w:rPr>
  </w:style>
  <w:style w:type="character" w:styleId="Stark">
    <w:name w:val="Strong"/>
    <w:basedOn w:val="Standardstycketeckensnitt"/>
    <w:qFormat/>
    <w:rsid w:val="00605C08"/>
    <w:rPr>
      <w:b/>
      <w:bCs/>
    </w:rPr>
  </w:style>
  <w:style w:type="paragraph" w:customStyle="1" w:styleId="Brdtext1">
    <w:name w:val="Brödtext1"/>
    <w:basedOn w:val="Normal"/>
    <w:link w:val="Brdtext1Char"/>
    <w:rsid w:val="00EB66E7"/>
    <w:pPr>
      <w:overflowPunct/>
      <w:autoSpaceDE/>
      <w:autoSpaceDN/>
      <w:adjustRightInd/>
      <w:spacing w:line="320" w:lineRule="exact"/>
      <w:textAlignment w:val="auto"/>
    </w:pPr>
  </w:style>
  <w:style w:type="paragraph" w:styleId="Brdtext">
    <w:name w:val="Body Text"/>
    <w:basedOn w:val="Normal"/>
    <w:rsid w:val="00EB66E7"/>
    <w:pPr>
      <w:overflowPunct/>
      <w:autoSpaceDE/>
      <w:autoSpaceDN/>
      <w:adjustRightInd/>
      <w:spacing w:after="120" w:line="240" w:lineRule="auto"/>
      <w:textAlignment w:val="auto"/>
    </w:pPr>
  </w:style>
  <w:style w:type="paragraph" w:customStyle="1" w:styleId="UDrubrik">
    <w:name w:val="UDrubrik"/>
    <w:basedOn w:val="Normal"/>
    <w:next w:val="Brdtext1"/>
    <w:rsid w:val="00EB66E7"/>
    <w:pPr>
      <w:overflowPunct/>
      <w:autoSpaceDE/>
      <w:autoSpaceDN/>
      <w:adjustRightInd/>
      <w:spacing w:line="320" w:lineRule="exact"/>
      <w:textAlignment w:val="auto"/>
    </w:pPr>
    <w:rPr>
      <w:rFonts w:ascii="TradeGothic" w:hAnsi="TradeGothic"/>
      <w:b/>
      <w:sz w:val="22"/>
    </w:rPr>
  </w:style>
  <w:style w:type="paragraph" w:customStyle="1" w:styleId="Mellanrubrik">
    <w:name w:val="Mellanrubrik"/>
    <w:basedOn w:val="Brdtext1"/>
    <w:next w:val="Brdtext1"/>
    <w:rsid w:val="00EB66E7"/>
    <w:rPr>
      <w:rFonts w:ascii="TradeGothic" w:hAnsi="TradeGothic"/>
      <w:b/>
      <w:sz w:val="22"/>
    </w:rPr>
  </w:style>
  <w:style w:type="character" w:customStyle="1" w:styleId="Brdtext1Char">
    <w:name w:val="Brödtext1 Char"/>
    <w:basedOn w:val="Standardstycketeckensnitt"/>
    <w:link w:val="Brdtext1"/>
    <w:locked/>
    <w:rsid w:val="00EB66E7"/>
    <w:rPr>
      <w:rFonts w:ascii="OrigGarmnd BT" w:hAnsi="OrigGarmnd BT"/>
      <w:sz w:val="24"/>
      <w:lang w:val="sv-SE" w:eastAsia="en-US" w:bidi="ar-SA"/>
    </w:rPr>
  </w:style>
  <w:style w:type="character" w:styleId="Kommentarsreferens">
    <w:name w:val="annotation reference"/>
    <w:basedOn w:val="Standardstycketeckensnitt"/>
    <w:semiHidden/>
    <w:rsid w:val="00EB66E7"/>
    <w:rPr>
      <w:sz w:val="16"/>
      <w:szCs w:val="16"/>
    </w:rPr>
  </w:style>
  <w:style w:type="paragraph" w:styleId="Ballongtext">
    <w:name w:val="Balloon Text"/>
    <w:basedOn w:val="Normal"/>
    <w:semiHidden/>
    <w:rsid w:val="00F031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2743</Words>
  <Characters>17011</Characters>
  <Application>Microsoft Office Word</Application>
  <DocSecurity>4</DocSecurity>
  <Lines>425</Lines>
  <Paragraphs>127</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2011-10-03T13:01:00Z</cp:lastPrinted>
  <dcterms:created xsi:type="dcterms:W3CDTF">2025-12-17T21:36:00Z</dcterms:created>
  <dcterms:modified xsi:type="dcterms:W3CDTF">2025-12-17T21:36:00Z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y fmtid="{D5CDD505-2E9C-101B-9397-08002B2CF9AE}" pid="6" name="RKOrdnaDepartement">
    <vt:lpwstr>Miljödepartementet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