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8C5665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8C5665">
              <w:rPr>
                <w:szCs w:val="24"/>
              </w:rPr>
              <w:t>13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C5665" w:rsidP="0096348C">
            <w:pPr>
              <w:rPr>
                <w:szCs w:val="24"/>
              </w:rPr>
            </w:pPr>
            <w:r w:rsidRPr="002457E1">
              <w:rPr>
                <w:szCs w:val="24"/>
              </w:rPr>
              <w:t>11</w:t>
            </w:r>
            <w:r w:rsidR="00B22051" w:rsidRPr="002457E1">
              <w:rPr>
                <w:szCs w:val="24"/>
              </w:rPr>
              <w:t>.</w:t>
            </w:r>
            <w:r w:rsidR="009F579A" w:rsidRPr="002457E1">
              <w:rPr>
                <w:szCs w:val="24"/>
              </w:rPr>
              <w:t>0</w:t>
            </w:r>
            <w:r w:rsidR="001F1BB9" w:rsidRPr="002457E1">
              <w:rPr>
                <w:szCs w:val="24"/>
              </w:rPr>
              <w:t>0</w:t>
            </w:r>
            <w:r w:rsidR="00615E83" w:rsidRPr="002457E1">
              <w:rPr>
                <w:szCs w:val="24"/>
              </w:rPr>
              <w:t>–</w:t>
            </w:r>
            <w:r w:rsidR="002457E1">
              <w:rPr>
                <w:szCs w:val="24"/>
              </w:rPr>
              <w:t>11.25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2457E1" w:rsidRDefault="00570CB6" w:rsidP="009D2BC5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8C5665" w:rsidRPr="002457E1">
              <w:rPr>
                <w:snapToGrid w:val="0"/>
                <w:szCs w:val="24"/>
              </w:rPr>
              <w:t>Larry Söder</w:t>
            </w:r>
            <w:r w:rsidR="0030200D" w:rsidRPr="002457E1">
              <w:rPr>
                <w:snapToGrid w:val="0"/>
                <w:szCs w:val="24"/>
              </w:rPr>
              <w:t xml:space="preserve"> (</w:t>
            </w:r>
            <w:r w:rsidR="008C5665" w:rsidRPr="002457E1">
              <w:rPr>
                <w:snapToGrid w:val="0"/>
                <w:szCs w:val="24"/>
              </w:rPr>
              <w:t>KD</w:t>
            </w:r>
            <w:r w:rsidR="003E2EF3" w:rsidRPr="002457E1">
              <w:rPr>
                <w:snapToGrid w:val="0"/>
                <w:szCs w:val="24"/>
              </w:rPr>
              <w:t>)</w:t>
            </w:r>
            <w:r w:rsidR="00FA15AF" w:rsidRPr="002457E1">
              <w:rPr>
                <w:snapToGrid w:val="0"/>
                <w:szCs w:val="24"/>
              </w:rPr>
              <w:t xml:space="preserve">, </w:t>
            </w:r>
            <w:r w:rsidRPr="002457E1">
              <w:rPr>
                <w:snapToGrid w:val="0"/>
                <w:szCs w:val="24"/>
              </w:rPr>
              <w:t xml:space="preserve">Johan Löfstrand (S), </w:t>
            </w:r>
            <w:r w:rsidR="00E6630C" w:rsidRPr="002457E1">
              <w:rPr>
                <w:snapToGrid w:val="0"/>
                <w:szCs w:val="24"/>
              </w:rPr>
              <w:t>Carl-Oskar Bohlin</w:t>
            </w:r>
            <w:r w:rsidRPr="002457E1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2457E1">
              <w:rPr>
                <w:snapToGrid w:val="0"/>
                <w:szCs w:val="24"/>
              </w:rPr>
              <w:t xml:space="preserve">Roger Hedlund (SD), </w:t>
            </w:r>
            <w:r w:rsidRPr="002457E1">
              <w:rPr>
                <w:snapToGrid w:val="0"/>
                <w:szCs w:val="24"/>
              </w:rPr>
              <w:t xml:space="preserve">Sanne Lennström (S), </w:t>
            </w:r>
            <w:r w:rsidR="00054112" w:rsidRPr="002457E1">
              <w:rPr>
                <w:snapToGrid w:val="0"/>
                <w:szCs w:val="24"/>
              </w:rPr>
              <w:t xml:space="preserve">Robert Hannah (L), </w:t>
            </w:r>
            <w:r w:rsidRPr="002457E1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2457E1">
              <w:rPr>
                <w:snapToGrid w:val="0"/>
                <w:szCs w:val="24"/>
              </w:rPr>
              <w:t xml:space="preserve"> </w:t>
            </w:r>
            <w:r w:rsidR="008B3709" w:rsidRPr="002457E1">
              <w:rPr>
                <w:snapToGrid w:val="0"/>
                <w:szCs w:val="24"/>
              </w:rPr>
              <w:t>Catarina Deremar (C)</w:t>
            </w:r>
            <w:r w:rsidR="002457E1" w:rsidRPr="002457E1">
              <w:rPr>
                <w:snapToGrid w:val="0"/>
                <w:szCs w:val="24"/>
              </w:rPr>
              <w:t xml:space="preserve"> och </w:t>
            </w:r>
            <w:r w:rsidR="008A6A3A" w:rsidRPr="002457E1">
              <w:rPr>
                <w:snapToGrid w:val="0"/>
                <w:szCs w:val="24"/>
              </w:rPr>
              <w:t>Jon Thorbjörnson (V</w:t>
            </w:r>
            <w:r w:rsidR="002457E1" w:rsidRPr="002457E1">
              <w:rPr>
                <w:snapToGrid w:val="0"/>
                <w:szCs w:val="24"/>
              </w:rPr>
              <w:t>)</w:t>
            </w:r>
            <w:r w:rsidR="009B39DC">
              <w:rPr>
                <w:snapToGrid w:val="0"/>
                <w:szCs w:val="24"/>
              </w:rPr>
              <w:t xml:space="preserve"> och Malin Danielsson (L).</w:t>
            </w:r>
          </w:p>
          <w:p w:rsidR="00054112" w:rsidRPr="002457E1" w:rsidRDefault="00054112" w:rsidP="009D2BC5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</w:p>
          <w:p w:rsidR="00E6630C" w:rsidRDefault="00887639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57E1">
              <w:rPr>
                <w:snapToGrid w:val="0"/>
                <w:szCs w:val="24"/>
              </w:rPr>
              <w:t>Tre</w:t>
            </w:r>
            <w:r w:rsidR="00E6630C" w:rsidRPr="002457E1">
              <w:rPr>
                <w:snapToGrid w:val="0"/>
                <w:szCs w:val="24"/>
              </w:rPr>
              <w:t xml:space="preserve"> tjänstem</w:t>
            </w:r>
            <w:r w:rsidR="00E27850" w:rsidRPr="002457E1">
              <w:rPr>
                <w:snapToGrid w:val="0"/>
                <w:szCs w:val="24"/>
              </w:rPr>
              <w:t>ä</w:t>
            </w:r>
            <w:r w:rsidR="00E6630C" w:rsidRPr="002457E1">
              <w:rPr>
                <w:snapToGrid w:val="0"/>
                <w:szCs w:val="24"/>
              </w:rPr>
              <w:t>n från civilutskottets kansli var uppkopplad</w:t>
            </w:r>
            <w:r w:rsidR="00E958C8" w:rsidRPr="002457E1">
              <w:rPr>
                <w:snapToGrid w:val="0"/>
                <w:szCs w:val="24"/>
              </w:rPr>
              <w:t>e</w:t>
            </w:r>
            <w:r w:rsidR="0076145B" w:rsidRPr="002457E1">
              <w:rPr>
                <w:snapToGrid w:val="0"/>
                <w:szCs w:val="24"/>
              </w:rPr>
              <w:t xml:space="preserve"> </w:t>
            </w:r>
            <w:r w:rsidR="00E6630C" w:rsidRPr="002457E1">
              <w:rPr>
                <w:snapToGrid w:val="0"/>
                <w:szCs w:val="24"/>
              </w:rPr>
              <w:t>på distans.</w:t>
            </w:r>
            <w:r w:rsidR="00E6630C">
              <w:rPr>
                <w:snapToGrid w:val="0"/>
                <w:szCs w:val="24"/>
              </w:rPr>
              <w:t xml:space="preserve">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8C5665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57B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 (CU10)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8C5665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2020/21:CU10</w:t>
            </w:r>
            <w:r w:rsidR="002F31DA">
              <w:rPr>
                <w:bCs/>
                <w:szCs w:val="24"/>
              </w:rPr>
              <w:t>.</w:t>
            </w:r>
          </w:p>
          <w:p w:rsidR="008C5665" w:rsidRDefault="008C5665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5665" w:rsidRPr="00EA57BA" w:rsidRDefault="00661BB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A57BA">
              <w:rPr>
                <w:bCs/>
                <w:szCs w:val="24"/>
              </w:rPr>
              <w:t xml:space="preserve">S-, </w:t>
            </w:r>
            <w:r w:rsidR="008C5665" w:rsidRPr="00EA57BA">
              <w:rPr>
                <w:bCs/>
                <w:szCs w:val="24"/>
              </w:rPr>
              <w:t>M-, SD-</w:t>
            </w:r>
            <w:r w:rsidRPr="00EA57BA">
              <w:rPr>
                <w:bCs/>
                <w:szCs w:val="24"/>
              </w:rPr>
              <w:t xml:space="preserve">, C-, V-, </w:t>
            </w:r>
            <w:r w:rsidR="008C5665" w:rsidRPr="00EA57BA">
              <w:rPr>
                <w:bCs/>
                <w:szCs w:val="24"/>
              </w:rPr>
              <w:t>KD-</w:t>
            </w:r>
            <w:r w:rsidRPr="00EA57BA">
              <w:rPr>
                <w:bCs/>
                <w:szCs w:val="24"/>
              </w:rPr>
              <w:t>, L- och MP-</w:t>
            </w:r>
            <w:r w:rsidR="008C5665" w:rsidRPr="00EA57BA">
              <w:rPr>
                <w:bCs/>
                <w:szCs w:val="24"/>
              </w:rPr>
              <w:t xml:space="preserve">ledamöterna anmälde </w:t>
            </w:r>
            <w:proofErr w:type="spellStart"/>
            <w:r w:rsidR="008C5665" w:rsidRPr="00EA57BA">
              <w:rPr>
                <w:bCs/>
                <w:szCs w:val="24"/>
              </w:rPr>
              <w:t>reserva</w:t>
            </w:r>
            <w:r w:rsidRPr="00EA57BA">
              <w:rPr>
                <w:bCs/>
                <w:szCs w:val="24"/>
              </w:rPr>
              <w:t>-</w:t>
            </w:r>
            <w:r w:rsidR="008C5665" w:rsidRPr="00EA57BA">
              <w:rPr>
                <w:bCs/>
                <w:szCs w:val="24"/>
              </w:rPr>
              <w:t>tioner</w:t>
            </w:r>
            <w:proofErr w:type="spellEnd"/>
            <w:r w:rsidR="008C5665" w:rsidRPr="00EA57BA">
              <w:rPr>
                <w:bCs/>
                <w:szCs w:val="24"/>
              </w:rPr>
              <w:t>.</w:t>
            </w:r>
          </w:p>
          <w:p w:rsidR="002F31DA" w:rsidRDefault="002F31DA" w:rsidP="008147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F31DA" w:rsidRPr="008C36D8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Konsumenträtt (CU12)</w:t>
            </w:r>
          </w:p>
          <w:p w:rsidR="002F31DA" w:rsidRPr="006B08A7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 xml:space="preserve">Utskottet </w:t>
            </w:r>
            <w:r w:rsidR="008C5665">
              <w:rPr>
                <w:bCs/>
                <w:szCs w:val="24"/>
              </w:rPr>
              <w:t xml:space="preserve">fortsatte </w:t>
            </w:r>
            <w:r w:rsidRPr="003D11A2">
              <w:rPr>
                <w:bCs/>
                <w:szCs w:val="24"/>
              </w:rPr>
              <w:t>behandl</w:t>
            </w:r>
            <w:r w:rsidR="008C5665">
              <w:rPr>
                <w:bCs/>
                <w:szCs w:val="24"/>
              </w:rPr>
              <w:t>ingen av motioner.</w:t>
            </w:r>
          </w:p>
          <w:p w:rsidR="002F31DA" w:rsidRPr="001E6414" w:rsidRDefault="002F31DA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C5665">
              <w:rPr>
                <w:bCs/>
                <w:szCs w:val="24"/>
              </w:rPr>
              <w:t>Ärendet bordlades.</w:t>
            </w:r>
          </w:p>
          <w:p w:rsidR="002F31DA" w:rsidRPr="00370C65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C5665" w:rsidRPr="00BA38FB" w:rsidTr="00B7009B">
        <w:tc>
          <w:tcPr>
            <w:tcW w:w="567" w:type="dxa"/>
          </w:tcPr>
          <w:p w:rsidR="008C5665" w:rsidRDefault="008C566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(CU13)</w:t>
            </w:r>
          </w:p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C5665" w:rsidRDefault="008C5665" w:rsidP="008C566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D11A2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motioner.</w:t>
            </w:r>
          </w:p>
          <w:p w:rsidR="008C5665" w:rsidRPr="001E6414" w:rsidRDefault="008C5665" w:rsidP="008C566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C5665" w:rsidRDefault="008C5665" w:rsidP="008C56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C5665">
              <w:rPr>
                <w:bCs/>
                <w:szCs w:val="24"/>
              </w:rPr>
              <w:t>Ärendet bordlades.</w:t>
            </w:r>
          </w:p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C5665" w:rsidRPr="00BA38FB" w:rsidTr="00B7009B">
        <w:tc>
          <w:tcPr>
            <w:tcW w:w="567" w:type="dxa"/>
          </w:tcPr>
          <w:p w:rsidR="008C5665" w:rsidRDefault="008C566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 (CU14)</w:t>
            </w:r>
          </w:p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C5665" w:rsidRDefault="008C5665" w:rsidP="008C566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D11A2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motioner.</w:t>
            </w:r>
          </w:p>
          <w:p w:rsidR="008C5665" w:rsidRPr="001E6414" w:rsidRDefault="008C5665" w:rsidP="008C566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C5665" w:rsidRDefault="008C5665" w:rsidP="008C56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C5665">
              <w:rPr>
                <w:bCs/>
                <w:szCs w:val="24"/>
              </w:rPr>
              <w:lastRenderedPageBreak/>
              <w:t>Ärendet bordlades.</w:t>
            </w:r>
          </w:p>
          <w:p w:rsidR="008C5665" w:rsidRDefault="008C566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55307" w:rsidRPr="00BA38FB" w:rsidTr="00B7009B">
        <w:tc>
          <w:tcPr>
            <w:tcW w:w="567" w:type="dxa"/>
          </w:tcPr>
          <w:p w:rsidR="00E55307" w:rsidRDefault="00E55307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E55307" w:rsidRPr="003D2911" w:rsidRDefault="00E55307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D2911">
              <w:rPr>
                <w:b/>
                <w:snapToGrid w:val="0"/>
                <w:szCs w:val="24"/>
              </w:rPr>
              <w:t>Förslag till utskottsinitiativ</w:t>
            </w:r>
            <w:r w:rsidR="003D2911" w:rsidRPr="003D2911">
              <w:rPr>
                <w:b/>
                <w:snapToGrid w:val="0"/>
                <w:szCs w:val="24"/>
              </w:rPr>
              <w:t xml:space="preserve"> om att göra det enklare för </w:t>
            </w:r>
            <w:r w:rsidR="003D2911" w:rsidRPr="003D2911">
              <w:rPr>
                <w:b/>
                <w:bCs/>
                <w:szCs w:val="24"/>
              </w:rPr>
              <w:t>myndigheterna att kräva återbetalning vid felaktiga utbetalningar</w:t>
            </w:r>
          </w:p>
          <w:p w:rsidR="00E55307" w:rsidRDefault="00E55307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5307" w:rsidRPr="002457E1" w:rsidRDefault="00E55307" w:rsidP="00E553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57E1">
              <w:rPr>
                <w:bCs/>
                <w:szCs w:val="24"/>
              </w:rPr>
              <w:t>Utskottet fortsatte behandlingen av förslag</w:t>
            </w:r>
            <w:r w:rsidR="003D2911">
              <w:rPr>
                <w:bCs/>
                <w:szCs w:val="24"/>
              </w:rPr>
              <w:t xml:space="preserve">et till </w:t>
            </w:r>
            <w:r w:rsidRPr="002457E1">
              <w:rPr>
                <w:bCs/>
                <w:szCs w:val="24"/>
              </w:rPr>
              <w:t>utskottsinitiativ</w:t>
            </w:r>
            <w:r w:rsidR="002457E1" w:rsidRPr="002457E1">
              <w:rPr>
                <w:bCs/>
                <w:szCs w:val="24"/>
              </w:rPr>
              <w:t>.</w:t>
            </w:r>
          </w:p>
          <w:p w:rsidR="00E55307" w:rsidRPr="002457E1" w:rsidRDefault="00E55307" w:rsidP="00E5530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55307" w:rsidRPr="002457E1" w:rsidRDefault="00E55307" w:rsidP="00E553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57E1">
              <w:rPr>
                <w:bCs/>
                <w:szCs w:val="24"/>
              </w:rPr>
              <w:t>Förslaget bordlades.</w:t>
            </w:r>
          </w:p>
          <w:p w:rsidR="006C6E59" w:rsidRDefault="006C6E59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C6E59" w:rsidRPr="00BA38FB" w:rsidTr="00B7009B">
        <w:tc>
          <w:tcPr>
            <w:tcW w:w="56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arbetsgrupp för uppföljning och utvärdering samt</w:t>
            </w:r>
            <w:r>
              <w:rPr>
                <w:b/>
                <w:bCs/>
                <w:szCs w:val="24"/>
              </w:rPr>
              <w:br/>
              <w:t xml:space="preserve">forsknings- och framtidsfrågor </w:t>
            </w:r>
          </w:p>
          <w:p w:rsidR="006C6E59" w:rsidRDefault="006C6E59" w:rsidP="006C6E5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C6E59" w:rsidRDefault="006C6E59" w:rsidP="006C6E5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snapToGrid w:val="0"/>
              </w:rPr>
              <w:t xml:space="preserve">Utskottet entledigade Mikael Eskilandersson (SD) som ledamot i arbetsgruppen. Utskottet valde Angelica Lundberg (SD) till ledamot i arbetsgruppen. </w:t>
            </w:r>
          </w:p>
          <w:p w:rsidR="006C6E59" w:rsidRDefault="006C6E59" w:rsidP="006C6E5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C6E59" w:rsidRPr="00BA38FB" w:rsidTr="00B7009B">
        <w:tc>
          <w:tcPr>
            <w:tcW w:w="56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3D2911" w:rsidRDefault="003D2911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6E59" w:rsidRDefault="006C6E59" w:rsidP="006C6E5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8DB">
              <w:rPr>
                <w:snapToGrid w:val="0"/>
                <w:szCs w:val="24"/>
              </w:rPr>
              <w:t>Inkommen skrivelse anmäldes enligt förteckning.</w:t>
            </w:r>
          </w:p>
          <w:p w:rsidR="00DF6DE9" w:rsidRDefault="00DF6DE9" w:rsidP="006C6E5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DE9" w:rsidRDefault="00DF6DE9" w:rsidP="006C6E5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bjuda in Konsumentverket för information om verkets rapport 2021:1 Konsument på kredit. </w:t>
            </w:r>
          </w:p>
          <w:p w:rsidR="00F50A61" w:rsidRDefault="00F50A61" w:rsidP="006C6E5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50A61" w:rsidRPr="006058DB" w:rsidRDefault="00F50A61" w:rsidP="006C6E5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Fråga om ev. önskemål när det gäller utskottets tider för kammardebatter togs upp. </w:t>
            </w:r>
          </w:p>
          <w:p w:rsidR="006C6E59" w:rsidRDefault="006C6E59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C6E59" w:rsidRPr="00BA38FB" w:rsidTr="00B7009B">
        <w:tc>
          <w:tcPr>
            <w:tcW w:w="56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57E1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6C6E59" w:rsidRDefault="006C6E59" w:rsidP="006C6E5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C6E59" w:rsidRDefault="006C6E59" w:rsidP="006C6E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C6E59" w:rsidRDefault="006C6E59" w:rsidP="006C6E59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>
              <w:rPr>
                <w:bCs/>
                <w:szCs w:val="24"/>
              </w:rPr>
              <w:t>15</w:t>
            </w:r>
            <w:r w:rsidRPr="009371A8">
              <w:rPr>
                <w:bCs/>
                <w:szCs w:val="24"/>
              </w:rPr>
              <w:t xml:space="preserve"> april </w:t>
            </w:r>
            <w:r>
              <w:rPr>
                <w:bCs/>
                <w:szCs w:val="24"/>
              </w:rPr>
              <w:t>2021 kl. 9.30.</w:t>
            </w:r>
          </w:p>
          <w:p w:rsidR="006C6E59" w:rsidRPr="0003001F" w:rsidRDefault="006C6E59" w:rsidP="006C6E59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C73311">
              <w:rPr>
                <w:szCs w:val="24"/>
              </w:rPr>
              <w:t>1</w:t>
            </w:r>
            <w:r w:rsidR="001B0C22">
              <w:rPr>
                <w:szCs w:val="24"/>
              </w:rPr>
              <w:t>5</w:t>
            </w:r>
            <w:r w:rsidR="009371A8">
              <w:rPr>
                <w:szCs w:val="24"/>
              </w:rPr>
              <w:t xml:space="preserve"> april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73311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1B0C22">
              <w:rPr>
                <w:sz w:val="22"/>
                <w:szCs w:val="22"/>
              </w:rPr>
              <w:t>4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2457E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57E1">
              <w:rPr>
                <w:sz w:val="20"/>
              </w:rPr>
              <w:t xml:space="preserve">§ </w:t>
            </w:r>
            <w:r w:rsidR="001235C9" w:rsidRPr="002457E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2457E1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57E1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2457E1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57E1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2457E1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57E1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  <w:r w:rsidRPr="002457E1">
              <w:rPr>
                <w:sz w:val="20"/>
              </w:rPr>
              <w:t>–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2457E1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57E1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  <w:r w:rsidRPr="002457E1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3C286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F50A6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5124F8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57E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30387E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57E1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1830AB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57E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30387E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P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57E1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57E1" w:rsidRDefault="002457E1" w:rsidP="002457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7E1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2457E1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457E1" w:rsidRDefault="002457E1" w:rsidP="00245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1FB" w:rsidRDefault="008061FB" w:rsidP="00AD6647">
      <w:r>
        <w:separator/>
      </w:r>
    </w:p>
  </w:endnote>
  <w:endnote w:type="continuationSeparator" w:id="0">
    <w:p w:rsidR="008061FB" w:rsidRDefault="008061FB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1FB" w:rsidRDefault="008061FB" w:rsidP="00AD6647">
      <w:r>
        <w:separator/>
      </w:r>
    </w:p>
  </w:footnote>
  <w:footnote w:type="continuationSeparator" w:id="0">
    <w:p w:rsidR="008061FB" w:rsidRDefault="008061FB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2FDB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0C22"/>
    <w:rsid w:val="001B1AEC"/>
    <w:rsid w:val="001B334D"/>
    <w:rsid w:val="001B638C"/>
    <w:rsid w:val="001C3D38"/>
    <w:rsid w:val="001C72E1"/>
    <w:rsid w:val="001D2A2F"/>
    <w:rsid w:val="001D6700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1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2861"/>
    <w:rsid w:val="003C356F"/>
    <w:rsid w:val="003C7167"/>
    <w:rsid w:val="003D07F1"/>
    <w:rsid w:val="003D291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47F5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61BB4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6E59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1FB"/>
    <w:rsid w:val="008067DF"/>
    <w:rsid w:val="00811175"/>
    <w:rsid w:val="00812B29"/>
    <w:rsid w:val="00813916"/>
    <w:rsid w:val="008145FC"/>
    <w:rsid w:val="00814797"/>
    <w:rsid w:val="00816C5D"/>
    <w:rsid w:val="0083383F"/>
    <w:rsid w:val="00834B38"/>
    <w:rsid w:val="008366D8"/>
    <w:rsid w:val="00844336"/>
    <w:rsid w:val="008465D6"/>
    <w:rsid w:val="008502F7"/>
    <w:rsid w:val="00851AFD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87639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C5665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39DC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7009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4972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E54AF"/>
    <w:rsid w:val="00DE54DD"/>
    <w:rsid w:val="00DE5E6B"/>
    <w:rsid w:val="00DF10D2"/>
    <w:rsid w:val="00DF1362"/>
    <w:rsid w:val="00DF6DE9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55307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A57BA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EF289A"/>
    <w:rsid w:val="00F0161A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0A61"/>
    <w:rsid w:val="00F51BDC"/>
    <w:rsid w:val="00F57A1C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8F9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84F3-DDAA-4602-9650-77538E20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3625</Characters>
  <Application>Microsoft Office Word</Application>
  <DocSecurity>4</DocSecurity>
  <Lines>1208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2021-04-16T12:27:00Z</dcterms:created>
  <dcterms:modified xsi:type="dcterms:W3CDTF">2021-04-16T12:27:00Z</dcterms:modified>
</cp:coreProperties>
</file>