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6836" w:rsidRPr="000134A6" w:rsidRDefault="00DB6836">
      <w:pPr>
        <w:pStyle w:val="Hemstlrubrik"/>
        <w:shd w:val="clear" w:color="000000" w:fill="auto"/>
      </w:pPr>
      <w:bookmarkStart w:id="0" w:name="_Toc210768203"/>
      <w:r w:rsidRPr="000134A6">
        <w:t>Förslag till riksdagsbeslut</w:t>
      </w:r>
    </w:p>
    <w:p w:rsidR="00DB6836" w:rsidRPr="000134A6" w:rsidRDefault="00DB6836">
      <w:pPr>
        <w:pStyle w:val="Hemstlatt"/>
        <w:shd w:val="clear" w:color="000000" w:fill="auto"/>
        <w:ind w:left="0"/>
      </w:pPr>
      <w:r w:rsidRPr="000134A6">
        <w:t>Riksdagen anvisar med följande ändringar i förhålla</w:t>
      </w:r>
      <w:r w:rsidRPr="000134A6">
        <w:t>n</w:t>
      </w:r>
      <w:r w:rsidRPr="000134A6">
        <w:t>de till regeringens förslag anslagen under utgiftsområde 25 Allmänna bidrag till kommunerna enligt uppställning:</w:t>
      </w:r>
    </w:p>
    <w:tbl>
      <w:tblPr>
        <w:tblW w:w="5954" w:type="dxa"/>
        <w:tblLook w:val="01E0" w:firstRow="1" w:lastRow="1" w:firstColumn="1" w:lastColumn="1" w:noHBand="0" w:noVBand="0"/>
      </w:tblPr>
      <w:tblGrid>
        <w:gridCol w:w="840"/>
        <w:gridCol w:w="4279"/>
        <w:gridCol w:w="835"/>
      </w:tblGrid>
      <w:tr w:rsidR="00000000" w:rsidRPr="000134A6">
        <w:trPr>
          <w:trHeight w:val="404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rPr>
                <w:b/>
                <w:sz w:val="16"/>
                <w:szCs w:val="16"/>
              </w:rPr>
            </w:pPr>
            <w:r w:rsidRPr="000134A6">
              <w:rPr>
                <w:b/>
                <w:sz w:val="16"/>
                <w:szCs w:val="16"/>
              </w:rPr>
              <w:t>Anslag</w:t>
            </w:r>
          </w:p>
        </w:tc>
        <w:tc>
          <w:tcPr>
            <w:tcW w:w="5134" w:type="dxa"/>
            <w:tcBorders>
              <w:top w:val="single" w:sz="4" w:space="0" w:color="auto"/>
              <w:bottom w:val="single" w:sz="4" w:space="0" w:color="auto"/>
            </w:tcBorders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b/>
                <w:sz w:val="16"/>
                <w:szCs w:val="16"/>
              </w:rPr>
            </w:pPr>
            <w:r w:rsidRPr="000134A6">
              <w:rPr>
                <w:b/>
                <w:sz w:val="16"/>
                <w:szCs w:val="16"/>
              </w:rPr>
              <w:t>2009</w:t>
            </w:r>
          </w:p>
        </w:tc>
      </w:tr>
      <w:tr w:rsidR="00000000" w:rsidRPr="000134A6"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1:1</w:t>
            </w:r>
          </w:p>
        </w:tc>
        <w:tc>
          <w:tcPr>
            <w:tcW w:w="5134" w:type="dxa"/>
            <w:tcBorders>
              <w:top w:val="single" w:sz="4" w:space="0" w:color="auto"/>
              <w:bottom w:val="single" w:sz="4" w:space="0" w:color="auto"/>
            </w:tcBorders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Kommunalekonomisk utjämning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0134A6">
              <w:rPr>
                <w:b/>
                <w:bCs/>
                <w:sz w:val="16"/>
                <w:szCs w:val="16"/>
              </w:rPr>
              <w:t>10 595</w:t>
            </w:r>
          </w:p>
        </w:tc>
      </w:tr>
    </w:tbl>
    <w:p w:rsidR="00DB6836" w:rsidRPr="000134A6" w:rsidRDefault="00DB6836">
      <w:pPr>
        <w:shd w:val="clear" w:color="000000" w:fill="auto"/>
      </w:pPr>
    </w:p>
    <w:bookmarkEnd w:id="0"/>
    <w:p w:rsidR="00DB6836" w:rsidRPr="000134A6" w:rsidRDefault="00DB6836">
      <w:pPr>
        <w:pStyle w:val="Rubrik1"/>
        <w:shd w:val="clear" w:color="000000" w:fill="auto"/>
      </w:pPr>
      <w:r w:rsidRPr="000134A6">
        <w:t>Motivering</w:t>
      </w:r>
    </w:p>
    <w:p w:rsidR="00DB6836" w:rsidRPr="000134A6" w:rsidRDefault="00DB6836">
      <w:pPr>
        <w:pStyle w:val="Normaltindrag"/>
        <w:shd w:val="clear" w:color="000000" w:fill="auto"/>
        <w:spacing w:before="125"/>
        <w:ind w:firstLine="0"/>
        <w:rPr>
          <w:color w:val="000000"/>
          <w:szCs w:val="24"/>
        </w:rPr>
      </w:pPr>
      <w:r w:rsidRPr="000134A6">
        <w:rPr>
          <w:color w:val="000000"/>
          <w:szCs w:val="24"/>
        </w:rPr>
        <w:t>Kommunerna står inför en svagare ekonomisk utveckling än tidigare. De stora överskotten från 2006 och 2007 är på väg att minska kraftigt. Framtid</w:t>
      </w:r>
      <w:r w:rsidRPr="000134A6">
        <w:rPr>
          <w:color w:val="000000"/>
          <w:szCs w:val="24"/>
        </w:rPr>
        <w:t>s</w:t>
      </w:r>
      <w:r w:rsidRPr="000134A6">
        <w:rPr>
          <w:color w:val="000000"/>
          <w:szCs w:val="24"/>
        </w:rPr>
        <w:t>utsikterna är dystrare: De prognoser som regeringen gjorde i budgetpropos</w:t>
      </w:r>
      <w:r w:rsidRPr="000134A6">
        <w:rPr>
          <w:color w:val="000000"/>
          <w:szCs w:val="24"/>
        </w:rPr>
        <w:t>i</w:t>
      </w:r>
      <w:r w:rsidRPr="000134A6">
        <w:rPr>
          <w:color w:val="000000"/>
          <w:szCs w:val="24"/>
        </w:rPr>
        <w:t>tionen 2008 har reviderats ned. Samtidigt ökar socialbidragen. Regeringens egna prognoser visar att antalet personer som uppbär socialbidrag kommer att öka år för år fram till 2011.</w:t>
      </w:r>
    </w:p>
    <w:p w:rsidR="00DB6836" w:rsidRPr="000134A6" w:rsidRDefault="00DB6836">
      <w:pPr>
        <w:pStyle w:val="Normaltindrag"/>
        <w:shd w:val="clear" w:color="000000" w:fill="auto"/>
      </w:pPr>
      <w:r w:rsidRPr="000134A6">
        <w:t>Vi socialdemokrater ser med stor oro på kommunernas ekonomiska u</w:t>
      </w:r>
      <w:r w:rsidRPr="000134A6">
        <w:t>t</w:t>
      </w:r>
      <w:r w:rsidRPr="000134A6">
        <w:t>veckling. Kommunerna står för en central del av den svenska välfärden: sk</w:t>
      </w:r>
      <w:r w:rsidRPr="000134A6">
        <w:t>o</w:t>
      </w:r>
      <w:r w:rsidRPr="000134A6">
        <w:t>lan, sjukvården äldreomsorgen, barnomsorgen, biblioteken med mera. När kommunerna får dålig ekonomi går det därför ut över välfärdens kärna.</w:t>
      </w:r>
    </w:p>
    <w:p w:rsidR="00DB6836" w:rsidRPr="000134A6" w:rsidRDefault="00DB6836">
      <w:pPr>
        <w:pStyle w:val="Normaltindrag"/>
        <w:shd w:val="clear" w:color="000000" w:fill="auto"/>
      </w:pPr>
      <w:r w:rsidRPr="000134A6">
        <w:t>Den moderatstyrda regeringen bär ett stort ansvar för kommunernas svaga ekonomi. Genom att prioritera skattesänkningar framför välfärd står välfärd</w:t>
      </w:r>
      <w:r w:rsidRPr="000134A6">
        <w:t>s</w:t>
      </w:r>
      <w:r w:rsidRPr="000134A6">
        <w:t xml:space="preserve">verksamheterna sämre rustade för konjunkturnedgången än vad de annars hade gjort. Dessutom har kostnadstrycket ökat på kommunsektorn genom regeringens övervältring av kostnader. Nedskärningarna i a-kassan innebär exempelvis att fler personer måste söka socialbidrag för att klara sin ekonomi, </w:t>
      </w:r>
      <w:r w:rsidRPr="000134A6">
        <w:lastRenderedPageBreak/>
        <w:t>och det är en kostnad som hamnar på kommunerna. Detsamma gäller alla de som under 2010 och framåt kommer att utförsäkras från sjukpenningen och aktivitets- och sjukersättningen. I budgetpropositionen redovisas ingen ko</w:t>
      </w:r>
      <w:r w:rsidRPr="000134A6">
        <w:t>n</w:t>
      </w:r>
      <w:r w:rsidRPr="000134A6">
        <w:t>sekvensanalys för kommunsektorn av dessa förändringar. Vi socialdemokr</w:t>
      </w:r>
      <w:r w:rsidRPr="000134A6">
        <w:t>a</w:t>
      </w:r>
      <w:r w:rsidRPr="000134A6">
        <w:t>ter kräver att regeringen redovisar hur stora dessa övervältringskostnader beräknas bli.</w:t>
      </w:r>
    </w:p>
    <w:p w:rsidR="00DB6836" w:rsidRPr="000134A6" w:rsidRDefault="00DB6836">
      <w:pPr>
        <w:pStyle w:val="Normaltindrag"/>
        <w:shd w:val="clear" w:color="000000" w:fill="auto"/>
      </w:pPr>
      <w:r w:rsidRPr="000134A6">
        <w:t>Vi kan inte se stillasittande på denna utveckling. En bra välfärd är ett grundläggande mål för oss. Därför investerar vi nästa år närmare 5 miljarder kronor i särskilda investeringar i kommunsektorn. En del av dessa satsningar bokförs och beskrivs på andra utgiftsområden än utgiftsområde 25: Det han</w:t>
      </w:r>
      <w:r w:rsidRPr="000134A6">
        <w:t>d</w:t>
      </w:r>
      <w:r w:rsidRPr="000134A6">
        <w:t>lar om kvalitetsinvesteringar i sjukvården, fler platser på komvux, kollekti</w:t>
      </w:r>
      <w:r w:rsidRPr="000134A6">
        <w:t>v</w:t>
      </w:r>
      <w:r w:rsidRPr="000134A6">
        <w:t>trafikinvesteringar med mera. De övriga satsningarna återfinns i texten nedan. I tabell 2 återfinns en samlad tabell med våra kommunsatsningar.</w:t>
      </w:r>
    </w:p>
    <w:p w:rsidR="00DB6836" w:rsidRPr="000134A6" w:rsidRDefault="00DB6836">
      <w:pPr>
        <w:pStyle w:val="Normaltindrag"/>
        <w:shd w:val="clear" w:color="000000" w:fill="auto"/>
        <w:rPr>
          <w:szCs w:val="24"/>
        </w:rPr>
      </w:pPr>
      <w:r w:rsidRPr="000134A6">
        <w:rPr>
          <w:i/>
          <w:color w:val="000000"/>
        </w:rPr>
        <w:t>Allmän förskola för 3-åringar.</w:t>
      </w:r>
      <w:r w:rsidRPr="000134A6">
        <w:rPr>
          <w:color w:val="000000"/>
        </w:rPr>
        <w:t xml:space="preserve"> </w:t>
      </w:r>
      <w:r w:rsidRPr="000134A6">
        <w:t>Förskolan är samhällets första instans i det organiserade livslånga lärandet, och vår långsiktiga målsättning är att den ska vara avgiftsfri. Därför föreslår vi allmän förskola för alla 3-åringar, avgift</w:t>
      </w:r>
      <w:r w:rsidRPr="000134A6">
        <w:t>s</w:t>
      </w:r>
      <w:r w:rsidRPr="000134A6">
        <w:t>fritt tre timmar per dag från och med 2009. Regeringen föreslår allmän fö</w:t>
      </w:r>
      <w:r w:rsidRPr="000134A6">
        <w:t>r</w:t>
      </w:r>
      <w:r w:rsidRPr="000134A6">
        <w:t>skola för 3-åringar först 2010 men vill införa barnomsorgspeng så snart som möjligt 2009. Regeringen saknar trovärdighet när det gäller att investera i förskolans kvalitet.</w:t>
      </w:r>
    </w:p>
    <w:p w:rsidR="00DB6836" w:rsidRPr="000134A6" w:rsidRDefault="00DB6836">
      <w:pPr>
        <w:pStyle w:val="Normaltindrag"/>
        <w:shd w:val="clear" w:color="000000" w:fill="auto"/>
        <w:rPr>
          <w:szCs w:val="24"/>
        </w:rPr>
      </w:pPr>
      <w:r w:rsidRPr="000134A6">
        <w:rPr>
          <w:i/>
          <w:color w:val="000000"/>
          <w:szCs w:val="24"/>
        </w:rPr>
        <w:t xml:space="preserve">Höjt statsbidrag för mer personal i förskolan. </w:t>
      </w:r>
      <w:r w:rsidRPr="000134A6">
        <w:rPr>
          <w:szCs w:val="24"/>
        </w:rPr>
        <w:t>Förskolan är grunden för det livslånga lärandet. Barnen tar där ofta sina första steg i att lära sig läsa och räkna och de tränar sin sociala förmåga. Ju mer personal det finns i förskolan desto större blir stödet till det enskilda barnet, och förmågan att senare göra bra ifrån sig i grundskolan ökar. För att hjälpa barnen till en bättre skolstart föreslår vi socialdemokrater i denna budgetmotion 200 miljoner kronor per år de kommande tre åren till mer personal i förskolan.</w:t>
      </w:r>
    </w:p>
    <w:p w:rsidR="00DB6836" w:rsidRPr="000134A6" w:rsidRDefault="00DB6836">
      <w:pPr>
        <w:pStyle w:val="Normaltindrag"/>
        <w:shd w:val="clear" w:color="000000" w:fill="auto"/>
        <w:rPr>
          <w:color w:val="000000"/>
          <w:szCs w:val="24"/>
        </w:rPr>
      </w:pPr>
      <w:r w:rsidRPr="000134A6">
        <w:rPr>
          <w:i/>
          <w:iCs/>
        </w:rPr>
        <w:t xml:space="preserve">Nej till barnomsorgspeng. </w:t>
      </w:r>
      <w:r w:rsidRPr="000134A6">
        <w:t>Den svenska förskolan är unik och ett intern</w:t>
      </w:r>
      <w:r w:rsidRPr="000134A6">
        <w:t>a</w:t>
      </w:r>
      <w:r w:rsidRPr="000134A6">
        <w:t>tionellt föredöme. Men regeringen tar nu ytterligare ett steg som riskerar att urholka förskolans kvalitet; efter vårdnadsbidrag följer barnomsorgspeng. Barnomsorgspeng innebär att kommunerna tvingas använda resurser till ver</w:t>
      </w:r>
      <w:r w:rsidRPr="000134A6">
        <w:t>k</w:t>
      </w:r>
      <w:r w:rsidRPr="000134A6">
        <w:t>samhet som inte har någon som helst pedagogisk inriktning eller utbildad personal. Det handlar om barnpassning utan krav på att läroplanen för försk</w:t>
      </w:r>
      <w:r w:rsidRPr="000134A6">
        <w:t>o</w:t>
      </w:r>
      <w:r w:rsidRPr="000134A6">
        <w:t>lan ska följas. Vi socialdemokrater motsätter oss en sådan utveckling.</w:t>
      </w:r>
    </w:p>
    <w:p w:rsidR="00DB6836" w:rsidRPr="000134A6" w:rsidRDefault="00DB6836">
      <w:pPr>
        <w:pStyle w:val="Normaltindrag"/>
        <w:shd w:val="clear" w:color="000000" w:fill="auto"/>
        <w:rPr>
          <w:szCs w:val="24"/>
        </w:rPr>
      </w:pPr>
      <w:r w:rsidRPr="000134A6">
        <w:rPr>
          <w:i/>
          <w:color w:val="000000"/>
          <w:szCs w:val="24"/>
        </w:rPr>
        <w:t>Investera i miljonpro</w:t>
      </w:r>
      <w:r w:rsidRPr="000134A6">
        <w:rPr>
          <w:i/>
          <w:color w:val="000000"/>
          <w:szCs w:val="24"/>
        </w:rPr>
        <w:t>grammens ungdomar.</w:t>
      </w:r>
      <w:r w:rsidRPr="000134A6">
        <w:rPr>
          <w:color w:val="000000"/>
          <w:szCs w:val="24"/>
        </w:rPr>
        <w:t xml:space="preserve"> </w:t>
      </w:r>
      <w:r w:rsidRPr="000134A6">
        <w:rPr>
          <w:szCs w:val="24"/>
        </w:rPr>
        <w:t>Under år 2011 ska ett flertal olika satsningar inom ramen för investeringen i miljonprogrammen påbörjas. En del handlar om att investerar i ungdomars fritidsaktiviteter i miljonpr</w:t>
      </w:r>
      <w:r w:rsidRPr="000134A6">
        <w:rPr>
          <w:szCs w:val="24"/>
        </w:rPr>
        <w:t>o</w:t>
      </w:r>
      <w:r w:rsidRPr="000134A6">
        <w:rPr>
          <w:szCs w:val="24"/>
        </w:rPr>
        <w:t>gramsområdena.</w:t>
      </w:r>
    </w:p>
    <w:p w:rsidR="00DB6836" w:rsidRPr="000134A6" w:rsidRDefault="00DB6836">
      <w:pPr>
        <w:pStyle w:val="Normaltindrag"/>
        <w:shd w:val="clear" w:color="000000" w:fill="auto"/>
        <w:rPr>
          <w:color w:val="000000"/>
        </w:rPr>
      </w:pPr>
      <w:r w:rsidRPr="000134A6">
        <w:rPr>
          <w:i/>
          <w:color w:val="000000"/>
        </w:rPr>
        <w:t xml:space="preserve">Investera i miljonprogrammens äldre. </w:t>
      </w:r>
      <w:r w:rsidRPr="000134A6">
        <w:t xml:space="preserve">Under år 2011 ska ett flertal olika satsningar inom ramen för investeringen i miljonprogrammen påbörjas. En av delarna är en satsning på äldreomsorgen i miljonprogramsområdena. </w:t>
      </w:r>
      <w:r w:rsidRPr="000134A6">
        <w:rPr>
          <w:color w:val="000000"/>
        </w:rPr>
        <w:t>Det gäller till exempel möjligheterna att få omsorg på sitt förstaspråk.</w:t>
      </w:r>
    </w:p>
    <w:p w:rsidR="00DB6836" w:rsidRPr="000134A6" w:rsidRDefault="00DB6836">
      <w:pPr>
        <w:pStyle w:val="Normaltindrag"/>
        <w:shd w:val="clear" w:color="000000" w:fill="auto"/>
        <w:rPr>
          <w:szCs w:val="24"/>
        </w:rPr>
      </w:pPr>
      <w:r w:rsidRPr="000134A6">
        <w:rPr>
          <w:i/>
        </w:rPr>
        <w:t>Kvalitetskontor</w:t>
      </w:r>
      <w:r w:rsidRPr="000134A6">
        <w:t>. Medborgarna måste kunna få hjälp för att hitta rätt bland välfärdens stora utbud och för att hantera eventuella brister i den offentliga verksamhetens kvalitet. Vi vill i ett antal kommuner pröva möjligheten att inrätta kvalitetskontor dit medborgarna kan vända sig för att klara dessa up</w:t>
      </w:r>
      <w:r w:rsidRPr="000134A6">
        <w:t>p</w:t>
      </w:r>
      <w:r w:rsidRPr="000134A6">
        <w:t>gifter.</w:t>
      </w:r>
    </w:p>
    <w:p w:rsidR="00DB6836" w:rsidRPr="000134A6" w:rsidRDefault="00DB6836">
      <w:pPr>
        <w:pStyle w:val="Normaltindrag"/>
        <w:shd w:val="clear" w:color="000000" w:fill="auto"/>
        <w:rPr>
          <w:szCs w:val="24"/>
        </w:rPr>
      </w:pPr>
      <w:r w:rsidRPr="000134A6">
        <w:rPr>
          <w:i/>
        </w:rPr>
        <w:t>Personalstyrda enheter</w:t>
      </w:r>
      <w:r w:rsidRPr="000134A6">
        <w:t>. Offentliga skolor, förskolor, vårdcentraler, he</w:t>
      </w:r>
      <w:r w:rsidRPr="000134A6">
        <w:t>m</w:t>
      </w:r>
      <w:r w:rsidRPr="000134A6">
        <w:t>tjänstenheter och äldreboenden bör kunna ge ett stort utrymme för person</w:t>
      </w:r>
      <w:r w:rsidRPr="000134A6">
        <w:t>a</w:t>
      </w:r>
      <w:r w:rsidRPr="000134A6">
        <w:t>lens ansvar och inflytande. Vi vill i ett antal kommuner stimulera försök</w:t>
      </w:r>
      <w:r w:rsidRPr="000134A6">
        <w:t>s</w:t>
      </w:r>
      <w:r w:rsidRPr="000134A6">
        <w:t>verksamhet med intraprenader eller självförvaltande enheter.</w:t>
      </w:r>
    </w:p>
    <w:p w:rsidR="00DB6836" w:rsidRPr="000134A6" w:rsidRDefault="00DB6836">
      <w:pPr>
        <w:pStyle w:val="Normaltindrag"/>
        <w:shd w:val="clear" w:color="000000" w:fill="auto"/>
      </w:pPr>
      <w:r w:rsidRPr="000134A6">
        <w:t>Därutöver gör vi tekniska justeringar av det generella statsbidraget till kommunerna med anledning av vårt förslag om statlig fastighetsskatt m.m.</w:t>
      </w:r>
    </w:p>
    <w:p w:rsidR="00DB6836" w:rsidRPr="000134A6" w:rsidRDefault="00DB6836">
      <w:pPr>
        <w:shd w:val="clear" w:color="000000" w:fill="auto"/>
        <w:rPr>
          <w:b/>
          <w:bCs/>
          <w:color w:val="000000"/>
          <w:szCs w:val="24"/>
        </w:rPr>
      </w:pPr>
      <w:bookmarkStart w:id="1" w:name="_Toc210768204"/>
      <w:r w:rsidRPr="000134A6">
        <w:rPr>
          <w:b/>
          <w:bCs/>
          <w:color w:val="000000"/>
          <w:szCs w:val="24"/>
        </w:rPr>
        <w:t>Tabell 2. Socialdemokraternas totala kommunsatsningar jämfört med regeringens</w:t>
      </w:r>
      <w:bookmarkEnd w:id="1"/>
    </w:p>
    <w:tbl>
      <w:tblPr>
        <w:tblW w:w="6023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2"/>
        <w:gridCol w:w="697"/>
        <w:gridCol w:w="697"/>
        <w:gridCol w:w="697"/>
      </w:tblGrid>
      <w:tr w:rsidR="00000000" w:rsidRPr="000134A6">
        <w:trPr>
          <w:trHeight w:val="255"/>
        </w:trPr>
        <w:tc>
          <w:tcPr>
            <w:tcW w:w="393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0134A6">
              <w:rPr>
                <w:b/>
                <w:bCs/>
                <w:sz w:val="16"/>
                <w:szCs w:val="16"/>
              </w:rPr>
              <w:t>2009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0134A6">
              <w:rPr>
                <w:b/>
                <w:bCs/>
                <w:sz w:val="16"/>
                <w:szCs w:val="16"/>
              </w:rPr>
              <w:t>2010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0134A6">
              <w:rPr>
                <w:b/>
                <w:bCs/>
                <w:sz w:val="16"/>
                <w:szCs w:val="16"/>
              </w:rPr>
              <w:t>2011</w:t>
            </w:r>
          </w:p>
        </w:tc>
      </w:tr>
      <w:tr w:rsidR="00000000" w:rsidRPr="000134A6">
        <w:trPr>
          <w:trHeight w:val="255"/>
        </w:trPr>
        <w:tc>
          <w:tcPr>
            <w:tcW w:w="3932" w:type="dxa"/>
            <w:tcBorders>
              <w:top w:val="single" w:sz="4" w:space="0" w:color="auto"/>
            </w:tcBorders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rPr>
                <w:b/>
                <w:bCs/>
                <w:sz w:val="16"/>
                <w:szCs w:val="16"/>
              </w:rPr>
            </w:pPr>
            <w:r w:rsidRPr="000134A6">
              <w:rPr>
                <w:b/>
                <w:bCs/>
                <w:sz w:val="16"/>
                <w:szCs w:val="16"/>
              </w:rPr>
              <w:t>(miljoner kronor)</w:t>
            </w:r>
          </w:p>
        </w:tc>
        <w:tc>
          <w:tcPr>
            <w:tcW w:w="697" w:type="dxa"/>
            <w:tcBorders>
              <w:top w:val="single" w:sz="4" w:space="0" w:color="auto"/>
            </w:tcBorders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0134A6">
              <w:rPr>
                <w:b/>
                <w:bCs/>
                <w:sz w:val="16"/>
                <w:szCs w:val="16"/>
              </w:rPr>
              <w:t>4 889</w:t>
            </w:r>
          </w:p>
        </w:tc>
        <w:tc>
          <w:tcPr>
            <w:tcW w:w="697" w:type="dxa"/>
            <w:tcBorders>
              <w:top w:val="single" w:sz="4" w:space="0" w:color="auto"/>
            </w:tcBorders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0134A6">
              <w:rPr>
                <w:b/>
                <w:bCs/>
                <w:sz w:val="16"/>
                <w:szCs w:val="16"/>
              </w:rPr>
              <w:t>3 984</w:t>
            </w:r>
          </w:p>
        </w:tc>
        <w:tc>
          <w:tcPr>
            <w:tcW w:w="697" w:type="dxa"/>
            <w:tcBorders>
              <w:top w:val="single" w:sz="4" w:space="0" w:color="auto"/>
            </w:tcBorders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0134A6">
              <w:rPr>
                <w:b/>
                <w:bCs/>
                <w:sz w:val="16"/>
                <w:szCs w:val="16"/>
              </w:rPr>
              <w:t>3 630</w:t>
            </w:r>
          </w:p>
        </w:tc>
      </w:tr>
      <w:tr w:rsidR="00000000" w:rsidRPr="000134A6">
        <w:trPr>
          <w:trHeight w:val="255"/>
        </w:trPr>
        <w:tc>
          <w:tcPr>
            <w:tcW w:w="3932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Tillgänglighet i sjukvården</w:t>
            </w: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200</w:t>
            </w: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</w:p>
        </w:tc>
      </w:tr>
      <w:tr w:rsidR="00000000" w:rsidRPr="000134A6">
        <w:trPr>
          <w:trHeight w:val="255"/>
        </w:trPr>
        <w:tc>
          <w:tcPr>
            <w:tcW w:w="3932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Kvalitetsinvestering i sjukvården</w:t>
            </w: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800</w:t>
            </w: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1 000</w:t>
            </w: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1 000</w:t>
            </w:r>
          </w:p>
        </w:tc>
      </w:tr>
      <w:tr w:rsidR="00000000" w:rsidRPr="000134A6">
        <w:trPr>
          <w:trHeight w:val="255"/>
        </w:trPr>
        <w:tc>
          <w:tcPr>
            <w:tcW w:w="3932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Kompetensstege</w:t>
            </w: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100</w:t>
            </w: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100</w:t>
            </w: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100</w:t>
            </w:r>
          </w:p>
        </w:tc>
      </w:tr>
      <w:tr w:rsidR="00000000" w:rsidRPr="000134A6">
        <w:trPr>
          <w:trHeight w:val="255"/>
        </w:trPr>
        <w:tc>
          <w:tcPr>
            <w:tcW w:w="3932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Kvalitetskontor</w:t>
            </w: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50</w:t>
            </w: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50</w:t>
            </w: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50</w:t>
            </w:r>
          </w:p>
        </w:tc>
      </w:tr>
      <w:tr w:rsidR="00000000" w:rsidRPr="000134A6">
        <w:trPr>
          <w:trHeight w:val="255"/>
        </w:trPr>
        <w:tc>
          <w:tcPr>
            <w:tcW w:w="3932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Försök med personalstyrda enheter</w:t>
            </w: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50</w:t>
            </w: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50</w:t>
            </w: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50</w:t>
            </w:r>
          </w:p>
        </w:tc>
      </w:tr>
      <w:tr w:rsidR="00000000" w:rsidRPr="000134A6">
        <w:trPr>
          <w:trHeight w:val="255"/>
        </w:trPr>
        <w:tc>
          <w:tcPr>
            <w:tcW w:w="3932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Statsbidrag för kollektivtrafik</w:t>
            </w: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649</w:t>
            </w: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234</w:t>
            </w: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</w:p>
        </w:tc>
      </w:tr>
      <w:tr w:rsidR="00000000" w:rsidRPr="000134A6">
        <w:trPr>
          <w:trHeight w:val="255"/>
        </w:trPr>
        <w:tc>
          <w:tcPr>
            <w:tcW w:w="3932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Lärlingsutbildningar för arbetssökande ungdomar</w:t>
            </w: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300</w:t>
            </w: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550</w:t>
            </w: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550</w:t>
            </w:r>
          </w:p>
        </w:tc>
      </w:tr>
      <w:tr w:rsidR="00000000" w:rsidRPr="000134A6">
        <w:trPr>
          <w:trHeight w:val="255"/>
        </w:trPr>
        <w:tc>
          <w:tcPr>
            <w:tcW w:w="3932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Sommarjobb</w:t>
            </w: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100</w:t>
            </w: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100</w:t>
            </w: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100</w:t>
            </w:r>
          </w:p>
        </w:tc>
      </w:tr>
      <w:tr w:rsidR="00000000" w:rsidRPr="000134A6">
        <w:trPr>
          <w:trHeight w:val="255"/>
        </w:trPr>
        <w:tc>
          <w:tcPr>
            <w:tcW w:w="3932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Engångsinsats: Solidaritetsbonus i avvaktan på nytt system</w:t>
            </w: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500</w:t>
            </w: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</w:p>
        </w:tc>
      </w:tr>
      <w:tr w:rsidR="00000000" w:rsidRPr="000134A6">
        <w:trPr>
          <w:trHeight w:val="255"/>
        </w:trPr>
        <w:tc>
          <w:tcPr>
            <w:tcW w:w="3932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Kvalitetsprogram i grundskolan</w:t>
            </w: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1 000</w:t>
            </w: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1 000</w:t>
            </w: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1 000</w:t>
            </w:r>
          </w:p>
        </w:tc>
      </w:tr>
      <w:tr w:rsidR="00000000" w:rsidRPr="000134A6">
        <w:trPr>
          <w:trHeight w:val="255"/>
        </w:trPr>
        <w:tc>
          <w:tcPr>
            <w:tcW w:w="3932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7 000 fler platser på komvux, varav 4 500 yrkesvux, su</w:t>
            </w:r>
            <w:r w:rsidRPr="000134A6">
              <w:rPr>
                <w:sz w:val="16"/>
                <w:szCs w:val="16"/>
              </w:rPr>
              <w:t>c</w:t>
            </w:r>
            <w:r w:rsidRPr="000134A6">
              <w:rPr>
                <w:sz w:val="16"/>
                <w:szCs w:val="16"/>
              </w:rPr>
              <w:t>cessiv utbyggnad</w:t>
            </w: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235</w:t>
            </w: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350</w:t>
            </w: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350</w:t>
            </w:r>
          </w:p>
        </w:tc>
      </w:tr>
      <w:tr w:rsidR="00000000" w:rsidRPr="000134A6">
        <w:trPr>
          <w:trHeight w:val="255"/>
        </w:trPr>
        <w:tc>
          <w:tcPr>
            <w:tcW w:w="3932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Klimp</w:t>
            </w: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350</w:t>
            </w: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300</w:t>
            </w: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300</w:t>
            </w:r>
          </w:p>
        </w:tc>
      </w:tr>
      <w:tr w:rsidR="00000000" w:rsidRPr="000134A6">
        <w:trPr>
          <w:trHeight w:val="255"/>
        </w:trPr>
        <w:tc>
          <w:tcPr>
            <w:tcW w:w="3932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Statsbidrag för särskilda insatser i kommuner och land</w:t>
            </w:r>
            <w:r w:rsidRPr="000134A6">
              <w:rPr>
                <w:sz w:val="16"/>
                <w:szCs w:val="16"/>
              </w:rPr>
              <w:t>s</w:t>
            </w:r>
            <w:r w:rsidRPr="000134A6">
              <w:rPr>
                <w:sz w:val="16"/>
                <w:szCs w:val="16"/>
              </w:rPr>
              <w:t>ting t.ex. vid naturkatastrofer</w:t>
            </w: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50</w:t>
            </w: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50</w:t>
            </w: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50</w:t>
            </w:r>
          </w:p>
        </w:tc>
      </w:tr>
      <w:tr w:rsidR="00000000" w:rsidRPr="000134A6">
        <w:trPr>
          <w:trHeight w:val="255"/>
        </w:trPr>
        <w:tc>
          <w:tcPr>
            <w:tcW w:w="3932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Allmän förskola för 3-åringar</w:t>
            </w: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440</w:t>
            </w: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220</w:t>
            </w: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0</w:t>
            </w:r>
          </w:p>
        </w:tc>
      </w:tr>
      <w:tr w:rsidR="00000000" w:rsidRPr="000134A6">
        <w:trPr>
          <w:trHeight w:val="255"/>
        </w:trPr>
        <w:tc>
          <w:tcPr>
            <w:tcW w:w="3932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Nej till barnomsorgspeng</w:t>
            </w: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pStyle w:val="PunktlistaTankstreck"/>
              <w:numPr>
                <w:ilvl w:val="0"/>
                <w:numId w:val="0"/>
              </w:num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–135</w:t>
            </w: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pStyle w:val="PunktlistaTankstreck"/>
              <w:numPr>
                <w:ilvl w:val="0"/>
                <w:numId w:val="0"/>
              </w:num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–220</w:t>
            </w: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pStyle w:val="PunktlistaTankstreck"/>
              <w:numPr>
                <w:ilvl w:val="0"/>
                <w:numId w:val="0"/>
              </w:num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–220</w:t>
            </w:r>
          </w:p>
        </w:tc>
      </w:tr>
      <w:tr w:rsidR="00000000" w:rsidRPr="000134A6">
        <w:trPr>
          <w:trHeight w:val="255"/>
        </w:trPr>
        <w:tc>
          <w:tcPr>
            <w:tcW w:w="3932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Höjt statbidrag till kommunerna för mer personal i försk</w:t>
            </w:r>
            <w:r w:rsidRPr="000134A6">
              <w:rPr>
                <w:sz w:val="16"/>
                <w:szCs w:val="16"/>
              </w:rPr>
              <w:t>o</w:t>
            </w:r>
            <w:r w:rsidRPr="000134A6">
              <w:rPr>
                <w:sz w:val="16"/>
                <w:szCs w:val="16"/>
              </w:rPr>
              <w:t>lan</w:t>
            </w: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200</w:t>
            </w: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200</w:t>
            </w: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200</w:t>
            </w:r>
          </w:p>
        </w:tc>
      </w:tr>
      <w:tr w:rsidR="00000000" w:rsidRPr="000134A6">
        <w:trPr>
          <w:trHeight w:val="255"/>
        </w:trPr>
        <w:tc>
          <w:tcPr>
            <w:tcW w:w="3932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Investera i miljonprogram: ungdomar</w:t>
            </w: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50</w:t>
            </w:r>
          </w:p>
        </w:tc>
      </w:tr>
      <w:tr w:rsidR="00000000" w:rsidRPr="000134A6">
        <w:trPr>
          <w:trHeight w:val="255"/>
        </w:trPr>
        <w:tc>
          <w:tcPr>
            <w:tcW w:w="3932" w:type="dxa"/>
            <w:tcBorders>
              <w:bottom w:val="single" w:sz="4" w:space="0" w:color="auto"/>
            </w:tcBorders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Investera i miljonprogram: äldre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noWrap/>
            <w:vAlign w:val="bottom"/>
          </w:tcPr>
          <w:p w:rsidR="00DB6836" w:rsidRPr="000134A6" w:rsidRDefault="00DB6836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0134A6">
              <w:rPr>
                <w:sz w:val="16"/>
                <w:szCs w:val="16"/>
              </w:rPr>
              <w:t>50</w:t>
            </w:r>
          </w:p>
        </w:tc>
      </w:tr>
    </w:tbl>
    <w:p w:rsidR="00DB6836" w:rsidRPr="000134A6" w:rsidRDefault="00DB6836">
      <w:pPr>
        <w:pStyle w:val="Normaltindrag"/>
        <w:shd w:val="clear" w:color="000000" w:fill="auto"/>
        <w:ind w:firstLine="0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134A6">
        <w:trPr>
          <w:cantSplit/>
        </w:trPr>
        <w:tc>
          <w:tcPr>
            <w:tcW w:w="3046" w:type="dxa"/>
          </w:tcPr>
          <w:p w:rsidR="00DB6836" w:rsidRPr="000134A6" w:rsidRDefault="00DB6836">
            <w:pPr>
              <w:pStyle w:val="UnderskriftDatum"/>
              <w:shd w:val="clear" w:color="000000" w:fill="auto"/>
              <w:spacing w:before="240"/>
            </w:pPr>
            <w:r w:rsidRPr="000134A6">
              <w:t>Stockholm den 7 oktober 2008</w:t>
            </w:r>
          </w:p>
        </w:tc>
        <w:tc>
          <w:tcPr>
            <w:tcW w:w="3047" w:type="dxa"/>
          </w:tcPr>
          <w:p w:rsidR="00DB6836" w:rsidRPr="000134A6" w:rsidRDefault="00DB6836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0134A6">
        <w:trPr>
          <w:cantSplit/>
        </w:trPr>
        <w:tc>
          <w:tcPr>
            <w:tcW w:w="3046" w:type="dxa"/>
          </w:tcPr>
          <w:p w:rsidR="00DB6836" w:rsidRPr="000134A6" w:rsidRDefault="00DB6836">
            <w:pPr>
              <w:pStyle w:val="Underskrifter"/>
              <w:shd w:val="clear" w:color="000000" w:fill="auto"/>
            </w:pPr>
            <w:r w:rsidRPr="000134A6">
              <w:t>Thomas Östros (s)</w:t>
            </w:r>
          </w:p>
        </w:tc>
        <w:tc>
          <w:tcPr>
            <w:tcW w:w="3046" w:type="dxa"/>
          </w:tcPr>
          <w:p w:rsidR="00DB6836" w:rsidRPr="000134A6" w:rsidRDefault="00DB6836">
            <w:pPr>
              <w:pStyle w:val="Underskrifter"/>
              <w:shd w:val="clear" w:color="000000" w:fill="auto"/>
            </w:pPr>
          </w:p>
        </w:tc>
      </w:tr>
      <w:tr w:rsidR="00000000" w:rsidRPr="000134A6">
        <w:trPr>
          <w:cantSplit/>
        </w:trPr>
        <w:tc>
          <w:tcPr>
            <w:tcW w:w="3046" w:type="dxa"/>
          </w:tcPr>
          <w:p w:rsidR="00DB6836" w:rsidRPr="000134A6" w:rsidRDefault="00DB6836">
            <w:pPr>
              <w:pStyle w:val="Underskrifter"/>
              <w:shd w:val="clear" w:color="000000" w:fill="auto"/>
            </w:pPr>
            <w:r w:rsidRPr="000134A6">
              <w:t>Sonia Karlsson (s)</w:t>
            </w:r>
          </w:p>
        </w:tc>
        <w:tc>
          <w:tcPr>
            <w:tcW w:w="3046" w:type="dxa"/>
          </w:tcPr>
          <w:p w:rsidR="00DB6836" w:rsidRPr="000134A6" w:rsidRDefault="00DB6836">
            <w:pPr>
              <w:pStyle w:val="Underskrifter"/>
              <w:shd w:val="clear" w:color="000000" w:fill="auto"/>
            </w:pPr>
            <w:r w:rsidRPr="000134A6">
              <w:t>Monica Green (s)</w:t>
            </w:r>
          </w:p>
        </w:tc>
      </w:tr>
      <w:tr w:rsidR="00000000" w:rsidRPr="000134A6">
        <w:trPr>
          <w:cantSplit/>
        </w:trPr>
        <w:tc>
          <w:tcPr>
            <w:tcW w:w="3046" w:type="dxa"/>
          </w:tcPr>
          <w:p w:rsidR="00DB6836" w:rsidRPr="000134A6" w:rsidRDefault="00DB6836">
            <w:pPr>
              <w:pStyle w:val="Underskrifter"/>
              <w:shd w:val="clear" w:color="000000" w:fill="auto"/>
            </w:pPr>
            <w:r w:rsidRPr="000134A6">
              <w:t>Hans Hoff (s)</w:t>
            </w:r>
          </w:p>
        </w:tc>
        <w:tc>
          <w:tcPr>
            <w:tcW w:w="3046" w:type="dxa"/>
          </w:tcPr>
          <w:p w:rsidR="00DB6836" w:rsidRPr="000134A6" w:rsidRDefault="00DB6836">
            <w:pPr>
              <w:pStyle w:val="Underskrifter"/>
              <w:shd w:val="clear" w:color="000000" w:fill="auto"/>
            </w:pPr>
            <w:r w:rsidRPr="000134A6">
              <w:t>Agneta Gille (s)</w:t>
            </w:r>
          </w:p>
        </w:tc>
      </w:tr>
      <w:tr w:rsidR="00000000" w:rsidRPr="000134A6">
        <w:trPr>
          <w:cantSplit/>
        </w:trPr>
        <w:tc>
          <w:tcPr>
            <w:tcW w:w="3046" w:type="dxa"/>
          </w:tcPr>
          <w:p w:rsidR="00DB6836" w:rsidRPr="000134A6" w:rsidRDefault="00DB6836">
            <w:pPr>
              <w:pStyle w:val="Underskrifter"/>
              <w:shd w:val="clear" w:color="000000" w:fill="auto"/>
            </w:pPr>
            <w:r w:rsidRPr="000134A6">
              <w:t>Tommy Ternemar (s)</w:t>
            </w:r>
          </w:p>
        </w:tc>
        <w:tc>
          <w:tcPr>
            <w:tcW w:w="3046" w:type="dxa"/>
          </w:tcPr>
          <w:p w:rsidR="00DB6836" w:rsidRPr="000134A6" w:rsidRDefault="00DB6836">
            <w:pPr>
              <w:pStyle w:val="Underskrifter"/>
              <w:shd w:val="clear" w:color="000000" w:fill="auto"/>
            </w:pPr>
            <w:r w:rsidRPr="000134A6">
              <w:t>Jörgen Hellman (s)</w:t>
            </w:r>
          </w:p>
        </w:tc>
      </w:tr>
      <w:tr w:rsidR="00000000" w:rsidRPr="000134A6">
        <w:trPr>
          <w:cantSplit/>
        </w:trPr>
        <w:tc>
          <w:tcPr>
            <w:tcW w:w="3046" w:type="dxa"/>
          </w:tcPr>
          <w:p w:rsidR="00DB6836" w:rsidRPr="000134A6" w:rsidRDefault="00DB6836">
            <w:pPr>
              <w:pStyle w:val="Underskrifter"/>
              <w:shd w:val="clear" w:color="000000" w:fill="auto"/>
            </w:pPr>
            <w:r w:rsidRPr="000134A6">
              <w:t>Christina Zedell (s)</w:t>
            </w:r>
          </w:p>
        </w:tc>
        <w:tc>
          <w:tcPr>
            <w:tcW w:w="3046" w:type="dxa"/>
          </w:tcPr>
          <w:p w:rsidR="00DB6836" w:rsidRPr="000134A6" w:rsidRDefault="00DB6836">
            <w:pPr>
              <w:pStyle w:val="Underskrifter"/>
              <w:shd w:val="clear" w:color="000000" w:fill="auto"/>
            </w:pPr>
          </w:p>
        </w:tc>
      </w:tr>
    </w:tbl>
    <w:p w:rsidR="00DB6836" w:rsidRPr="000134A6" w:rsidRDefault="00DB6836">
      <w:pPr>
        <w:pStyle w:val="Normaltindrag"/>
        <w:shd w:val="clear" w:color="000000" w:fill="auto"/>
      </w:pPr>
    </w:p>
    <w:sectPr w:rsidR="00DB6836" w:rsidRPr="000134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6836" w:rsidRPr="000134A6" w:rsidRDefault="00DB6836">
      <w:r w:rsidRPr="000134A6">
        <w:separator/>
      </w:r>
    </w:p>
  </w:endnote>
  <w:endnote w:type="continuationSeparator" w:id="0">
    <w:p w:rsidR="00DB6836" w:rsidRPr="000134A6" w:rsidRDefault="00DB6836">
      <w:r w:rsidRPr="000134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6836" w:rsidRPr="000134A6" w:rsidRDefault="000134A6">
    <w:pPr>
      <w:pStyle w:val="Sidfot"/>
    </w:pPr>
    <w:r w:rsidRPr="000134A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7556545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6836" w:rsidRDefault="00DB683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B6836" w:rsidRDefault="00DB683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6836" w:rsidRPr="000134A6" w:rsidRDefault="000134A6">
    <w:pPr>
      <w:pStyle w:val="Sidfot"/>
    </w:pPr>
    <w:r w:rsidRPr="000134A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063295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6836" w:rsidRDefault="00DB683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B6836" w:rsidRDefault="00DB683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6836" w:rsidRPr="000134A6" w:rsidRDefault="000134A6">
    <w:pPr>
      <w:pStyle w:val="Sidfot"/>
    </w:pPr>
    <w:r w:rsidRPr="000134A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60699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6836" w:rsidRDefault="00DB683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B6836" w:rsidRDefault="00DB683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6836" w:rsidRPr="000134A6" w:rsidRDefault="00DB6836">
      <w:r w:rsidRPr="000134A6">
        <w:separator/>
      </w:r>
    </w:p>
  </w:footnote>
  <w:footnote w:type="continuationSeparator" w:id="0">
    <w:p w:rsidR="00DB6836" w:rsidRPr="000134A6" w:rsidRDefault="00DB6836">
      <w:r w:rsidRPr="000134A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6836" w:rsidRPr="000134A6" w:rsidRDefault="000134A6">
    <w:pPr>
      <w:pStyle w:val="Sidhuvud"/>
    </w:pPr>
    <w:r w:rsidRPr="000134A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780014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6836" w:rsidRDefault="00DB683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B6836" w:rsidRDefault="00DB683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6836" w:rsidRPr="000134A6" w:rsidRDefault="000134A6">
    <w:pPr>
      <w:pStyle w:val="Sidhuvud"/>
    </w:pPr>
    <w:r w:rsidRPr="000134A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367382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6836" w:rsidRDefault="00DB683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B6836" w:rsidRDefault="00DB683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6836" w:rsidRPr="000134A6" w:rsidRDefault="00DB6836">
    <w:pPr>
      <w:pStyle w:val="FSHNormal"/>
      <w:tabs>
        <w:tab w:val="right" w:pos="5840"/>
      </w:tabs>
    </w:pPr>
    <w:r w:rsidRPr="000134A6">
      <w:br/>
    </w:r>
    <w:r w:rsidRPr="000134A6">
      <w:fldChar w:fldCharType="begin" w:fldLock="1"/>
    </w:r>
    <w:r w:rsidRPr="000134A6">
      <w:instrText xml:space="preserve"> DOCPROPERTY</w:instrText>
    </w:r>
    <w:r w:rsidRPr="000134A6">
      <w:rPr>
        <w:sz w:val="18"/>
      </w:rPr>
      <w:instrText xml:space="preserve"> "YearUser" *\charformat </w:instrText>
    </w:r>
    <w:r w:rsidRPr="000134A6">
      <w:fldChar w:fldCharType="separate"/>
    </w:r>
    <w:r w:rsidRPr="000134A6">
      <w:t>2008/09</w:t>
    </w:r>
    <w:r w:rsidRPr="000134A6">
      <w:fldChar w:fldCharType="end"/>
    </w:r>
    <w:r w:rsidRPr="000134A6">
      <w:t xml:space="preserve"> </w:t>
    </w:r>
    <w:r w:rsidRPr="000134A6">
      <w:tab/>
      <w:t xml:space="preserve">mnr: </w:t>
    </w:r>
    <w:r w:rsidRPr="000134A6">
      <w:fldChar w:fldCharType="begin" w:fldLock="1"/>
    </w:r>
    <w:r w:rsidRPr="000134A6">
      <w:instrText xml:space="preserve"> DOCPROPERTY</w:instrText>
    </w:r>
    <w:r w:rsidRPr="000134A6">
      <w:rPr>
        <w:sz w:val="18"/>
      </w:rPr>
      <w:instrText xml:space="preserve"> "Motionsnummer" *\charformat </w:instrText>
    </w:r>
    <w:r w:rsidRPr="000134A6">
      <w:fldChar w:fldCharType="separate"/>
    </w:r>
    <w:r w:rsidRPr="000134A6">
      <w:t>Fi294</w:t>
    </w:r>
    <w:r w:rsidRPr="000134A6">
      <w:fldChar w:fldCharType="end"/>
    </w:r>
    <w:r w:rsidRPr="000134A6">
      <w:br/>
    </w:r>
    <w:r w:rsidRPr="000134A6">
      <w:fldChar w:fldCharType="begin" w:fldLock="1"/>
    </w:r>
    <w:r w:rsidRPr="000134A6">
      <w:instrText xml:space="preserve"> DOCPROPERTY</w:instrText>
    </w:r>
    <w:r w:rsidRPr="000134A6">
      <w:rPr>
        <w:sz w:val="18"/>
      </w:rPr>
      <w:instrText xml:space="preserve"> "Samling" *\charformat </w:instrText>
    </w:r>
    <w:r w:rsidRPr="000134A6">
      <w:fldChar w:fldCharType="end"/>
    </w:r>
    <w:r w:rsidRPr="000134A6">
      <w:tab/>
      <w:t xml:space="preserve">pnr: </w:t>
    </w:r>
    <w:r w:rsidRPr="000134A6">
      <w:fldChar w:fldCharType="begin" w:fldLock="1"/>
    </w:r>
    <w:r w:rsidRPr="000134A6">
      <w:instrText xml:space="preserve"> DOCPROPERTY</w:instrText>
    </w:r>
    <w:r w:rsidRPr="000134A6">
      <w:rPr>
        <w:sz w:val="18"/>
      </w:rPr>
      <w:instrText xml:space="preserve"> "Partinummer" *\charformat </w:instrText>
    </w:r>
    <w:r w:rsidRPr="000134A6">
      <w:fldChar w:fldCharType="separate"/>
    </w:r>
    <w:r w:rsidRPr="000134A6">
      <w:t>s33011</w:t>
    </w:r>
    <w:r w:rsidRPr="000134A6">
      <w:fldChar w:fldCharType="end"/>
    </w:r>
  </w:p>
  <w:p w:rsidR="00DB6836" w:rsidRPr="000134A6" w:rsidRDefault="00DB6836">
    <w:pPr>
      <w:pStyle w:val="FSHRub1"/>
    </w:pPr>
    <w:r w:rsidRPr="000134A6">
      <w:t>Motion till riksdagen</w:t>
    </w:r>
    <w:r w:rsidRPr="000134A6">
      <w:br/>
    </w:r>
    <w:r w:rsidRPr="000134A6">
      <w:fldChar w:fldCharType="begin" w:fldLock="1"/>
    </w:r>
    <w:r w:rsidRPr="000134A6">
      <w:instrText xml:space="preserve"> DOCPROPERTY "YearUser" *\charformat </w:instrText>
    </w:r>
    <w:r w:rsidRPr="000134A6">
      <w:fldChar w:fldCharType="separate"/>
    </w:r>
    <w:r w:rsidRPr="000134A6">
      <w:t>2008/09</w:t>
    </w:r>
    <w:r w:rsidRPr="000134A6">
      <w:fldChar w:fldCharType="end"/>
    </w:r>
    <w:r w:rsidRPr="000134A6">
      <w:t>:</w:t>
    </w:r>
    <w:r w:rsidRPr="000134A6">
      <w:fldChar w:fldCharType="begin" w:fldLock="1"/>
    </w:r>
    <w:r w:rsidRPr="000134A6">
      <w:instrText xml:space="preserve"> DOCPROPERTY "Motionsnummer" *\charformat </w:instrText>
    </w:r>
    <w:r w:rsidRPr="000134A6">
      <w:fldChar w:fldCharType="separate"/>
    </w:r>
    <w:r w:rsidRPr="000134A6">
      <w:t>Fi294</w:t>
    </w:r>
    <w:r w:rsidRPr="000134A6">
      <w:fldChar w:fldCharType="end"/>
    </w:r>
  </w:p>
  <w:p w:rsidR="00DB6836" w:rsidRPr="000134A6" w:rsidRDefault="00DB6836">
    <w:pPr>
      <w:pStyle w:val="FSHNormalS5"/>
    </w:pPr>
    <w:r w:rsidRPr="000134A6">
      <w:fldChar w:fldCharType="begin" w:fldLock="1"/>
    </w:r>
    <w:r w:rsidRPr="000134A6">
      <w:instrText xml:space="preserve"> DOCPROPERTY "MotionarText" *\charformat </w:instrText>
    </w:r>
    <w:r w:rsidRPr="000134A6">
      <w:fldChar w:fldCharType="separate"/>
    </w:r>
    <w:r w:rsidRPr="000134A6">
      <w:t>av Thomas Östros m.fl. (s)</w:t>
    </w:r>
    <w:r w:rsidRPr="000134A6">
      <w:fldChar w:fldCharType="end"/>
    </w:r>
    <w:r w:rsidRPr="000134A6">
      <w:br/>
    </w:r>
    <w:r w:rsidRPr="000134A6">
      <w:fldChar w:fldCharType="begin" w:fldLock="1"/>
    </w:r>
    <w:r w:rsidRPr="000134A6">
      <w:instrText xml:space="preserve"> DOCPROPERTY "SvarFrasKort" *\charformat </w:instrText>
    </w:r>
    <w:r w:rsidRPr="000134A6">
      <w:fldChar w:fldCharType="end"/>
    </w:r>
  </w:p>
  <w:p w:rsidR="00DB6836" w:rsidRPr="000134A6" w:rsidRDefault="00DB6836">
    <w:pPr>
      <w:pStyle w:val="FSHTitel"/>
    </w:pPr>
    <w:r w:rsidRPr="000134A6">
      <w:fldChar w:fldCharType="begin" w:fldLock="1"/>
    </w:r>
    <w:r w:rsidRPr="000134A6">
      <w:instrText xml:space="preserve"> DOCPROPERTY</w:instrText>
    </w:r>
    <w:r w:rsidRPr="000134A6">
      <w:rPr>
        <w:sz w:val="18"/>
      </w:rPr>
      <w:instrText xml:space="preserve"> "RubrikSvar" *\charformat </w:instrText>
    </w:r>
    <w:r w:rsidRPr="000134A6">
      <w:fldChar w:fldCharType="separate"/>
    </w:r>
    <w:r w:rsidRPr="000134A6">
      <w:t>Utgiftsområde 25 Allmänna bidrag till kommunerna</w:t>
    </w:r>
    <w:r w:rsidRPr="000134A6">
      <w:fldChar w:fldCharType="end"/>
    </w:r>
  </w:p>
  <w:p w:rsidR="00DB6836" w:rsidRPr="000134A6" w:rsidRDefault="00DB6836">
    <w:pPr>
      <w:pStyle w:val="Normal00"/>
    </w:pPr>
  </w:p>
  <w:p w:rsidR="00DB6836" w:rsidRPr="000134A6" w:rsidRDefault="00DB683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30324136">
    <w:abstractNumId w:val="8"/>
  </w:num>
  <w:num w:numId="2" w16cid:durableId="858662803">
    <w:abstractNumId w:val="9"/>
  </w:num>
  <w:num w:numId="3" w16cid:durableId="1670987312">
    <w:abstractNumId w:val="8"/>
  </w:num>
  <w:num w:numId="4" w16cid:durableId="1789933780">
    <w:abstractNumId w:val="9"/>
  </w:num>
  <w:num w:numId="5" w16cid:durableId="1345784512">
    <w:abstractNumId w:val="13"/>
  </w:num>
  <w:num w:numId="6" w16cid:durableId="685864680">
    <w:abstractNumId w:val="10"/>
  </w:num>
  <w:num w:numId="7" w16cid:durableId="1733890416">
    <w:abstractNumId w:val="11"/>
  </w:num>
  <w:num w:numId="8" w16cid:durableId="873226427">
    <w:abstractNumId w:val="12"/>
  </w:num>
  <w:num w:numId="9" w16cid:durableId="664480817">
    <w:abstractNumId w:val="8"/>
  </w:num>
  <w:num w:numId="10" w16cid:durableId="420223974">
    <w:abstractNumId w:val="3"/>
  </w:num>
  <w:num w:numId="11" w16cid:durableId="210655438">
    <w:abstractNumId w:val="2"/>
  </w:num>
  <w:num w:numId="12" w16cid:durableId="401637072">
    <w:abstractNumId w:val="1"/>
  </w:num>
  <w:num w:numId="13" w16cid:durableId="1194079903">
    <w:abstractNumId w:val="0"/>
  </w:num>
  <w:num w:numId="14" w16cid:durableId="888222025">
    <w:abstractNumId w:val="9"/>
  </w:num>
  <w:num w:numId="15" w16cid:durableId="1908956528">
    <w:abstractNumId w:val="7"/>
  </w:num>
  <w:num w:numId="16" w16cid:durableId="1511026008">
    <w:abstractNumId w:val="6"/>
  </w:num>
  <w:num w:numId="17" w16cid:durableId="661932020">
    <w:abstractNumId w:val="5"/>
  </w:num>
  <w:num w:numId="18" w16cid:durableId="215163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3"/>
    <w:docVar w:name="PersonGUIDs" w:val="{8174F5EC-2C19-47A7-8116-E29AECD635DD},{F0F46440-DF61-4518-B0DB-CFE2EC079DF9},{1BC77BF2-1434-48AB-A11D-A22928463538},{DC6FF83B-20A2-436F-B4AD-3DC357958031},{4FF5EAB4-A55C-44C2-A9F4-CBC0FF005A1C},{65B7BAB0-9E4C-4D05-8016-3C0296CE1E45},{845665B1-8219-47B8-B35A-78D0563B89A8},{7B1181B9-0938-47D5-A0C4-C49B64785AB8}"/>
  </w:docVars>
  <w:rsids>
    <w:rsidRoot w:val="00120675"/>
    <w:rsid w:val="000134A6"/>
    <w:rsid w:val="00120675"/>
    <w:rsid w:val="00DB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C2CB647-0FC1-4222-80DD-A39382F1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Fotnotstext">
    <w:name w:val="footnote text"/>
    <w:basedOn w:val="Normal"/>
    <w:link w:val="FotnotstextChar"/>
    <w:semiHidden/>
    <w:pPr>
      <w:spacing w:line="240" w:lineRule="auto"/>
    </w:pPr>
    <w:rPr>
      <w:sz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locked/>
    <w:rPr>
      <w:sz w:val="19"/>
      <w:lang w:val="sv-SE" w:eastAsia="sv-SE" w:bidi="ar-SA"/>
    </w:rPr>
  </w:style>
  <w:style w:type="character" w:customStyle="1" w:styleId="FotnotstextChar">
    <w:name w:val="Fotnotstext Char"/>
    <w:basedOn w:val="Standardstycketeckensnitt"/>
    <w:link w:val="Fotnotstext"/>
    <w:locked/>
    <w:rPr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3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889</Words>
  <Characters>5367</Characters>
  <Application>Microsoft Office Word</Application>
  <DocSecurity>4</DocSecurity>
  <Lines>185</Lines>
  <Paragraphs>120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s33011</vt:lpstr>
    </vt:vector>
  </TitlesOfParts>
  <Company>Riksdagen</Company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s33011</dc:title>
  <dc:subject>s33011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2009-02-27T08:34:00Z</cp:lastPrinted>
  <dcterms:created xsi:type="dcterms:W3CDTF">2025-12-17T15:14:00Z</dcterms:created>
  <dcterms:modified xsi:type="dcterms:W3CDTF">2025-12-17T15:14:00Z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mot2000_495_2008-10-03</vt:lpwstr>
  </property>
  <property fmtid="{D5CDD505-2E9C-101B-9397-08002B2CF9AE}" pid="3" name="version">
    <vt:lpwstr>mot2000_495_2008-10-03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Utgiftsområde 25 Allmänna bidrag till kommunerna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25 Allmänna bidrag till kommunerna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s33011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Thomas Östros m.fl. (s)</vt:lpwstr>
  </property>
  <property fmtid="{D5CDD505-2E9C-101B-9397-08002B2CF9AE}" pid="26" name="MotionarLista">
    <vt:lpwstr>Östros, Thomas (s)\Karlsson, Sonia (s)\Green, Monica (s)\Hoff, Hans (s)\Gille, Agneta (s)\Ternemar, Tommy (s)\Hellman, Jörgen (s)\Zedell, Christina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Östros (s), Sonia Karlsson (s), Monica Green (s), Hans Hoff (s), Agneta Gille (s), Tommy Ternemar (s), Jörgen Hellman (s), Christina Zedell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Fi294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7 oktober 2008</vt:lpwstr>
  </property>
  <property fmtid="{D5CDD505-2E9C-101B-9397-08002B2CF9AE}" pid="44" name="NotesUID">
    <vt:lpwstr>kata.hansson@riksdagen.se</vt:lpwstr>
  </property>
  <property fmtid="{D5CDD505-2E9C-101B-9397-08002B2CF9AE}" pid="45" name="ReservUID">
    <vt:lpwstr>ka0323aa</vt:lpwstr>
  </property>
  <property fmtid="{D5CDD505-2E9C-101B-9397-08002B2CF9AE}" pid="46" name="MotionID">
    <vt:lpwstr>20082009000000000115000330110075</vt:lpwstr>
  </property>
  <property fmtid="{D5CDD505-2E9C-101B-9397-08002B2CF9AE}" pid="47" name="datum">
    <vt:lpwstr>081007</vt:lpwstr>
  </property>
  <property fmtid="{D5CDD505-2E9C-101B-9397-08002B2CF9AE}" pid="48" name="avsändar-e-post">
    <vt:lpwstr>kata.hansson@riksdagen.se</vt:lpwstr>
  </property>
  <property fmtid="{D5CDD505-2E9C-101B-9397-08002B2CF9AE}" pid="49" name="id">
    <vt:lpwstr>20082009000000000115000330110075</vt:lpwstr>
  </property>
  <property fmtid="{D5CDD505-2E9C-101B-9397-08002B2CF9AE}" pid="50" name="nummer">
    <vt:lpwstr>294</vt:lpwstr>
  </property>
  <property fmtid="{D5CDD505-2E9C-101B-9397-08002B2CF9AE}" pid="51" name="utskottsbeteckning">
    <vt:lpwstr>Fi</vt:lpwstr>
  </property>
  <property fmtid="{D5CDD505-2E9C-101B-9397-08002B2CF9AE}" pid="52" name="GlobalUID">
    <vt:lpwstr>{35901371-8A07-4AA7-A93E-EF48B4F5BD8D}</vt:lpwstr>
  </property>
  <property fmtid="{D5CDD505-2E9C-101B-9397-08002B2CF9AE}" pid="53" name="Överföringar">
    <vt:i4>0</vt:i4>
  </property>
  <property fmtid="{D5CDD505-2E9C-101B-9397-08002B2CF9AE}" pid="54" name="Checksum">
    <vt:lpwstr>*0017589809894*</vt:lpwstr>
  </property>
  <property fmtid="{D5CDD505-2E9C-101B-9397-08002B2CF9AE}" pid="55" name="skuggnummer">
    <vt:lpwstr>3612</vt:lpwstr>
  </property>
  <property fmtid="{D5CDD505-2E9C-101B-9397-08002B2CF9AE}" pid="56" name="urixVersion">
    <vt:lpwstr>3.2.0.8</vt:lpwstr>
  </property>
  <property fmtid="{D5CDD505-2E9C-101B-9397-08002B2CF9AE}" pid="57" name="urixOrigin">
    <vt:lpwstr>090402 20:04:35.097</vt:lpwstr>
  </property>
  <property fmtid="{D5CDD505-2E9C-101B-9397-08002B2CF9AE}" pid="58" name="urixGuid">
    <vt:lpwstr>{6C202192-68D6-4A3C-A944-9991FD094251}</vt:lpwstr>
  </property>
</Properties>
</file>