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A52F91" w:rsidRPr="00E4548D">
        <w:tblPrEx>
          <w:tblCellMar>
            <w:top w:w="0" w:type="dxa"/>
            <w:bottom w:w="0" w:type="dxa"/>
          </w:tblCellMar>
        </w:tblPrEx>
        <w:tc>
          <w:tcPr>
            <w:tcW w:w="2268" w:type="dxa"/>
          </w:tcPr>
          <w:p w:rsidR="00A52F91" w:rsidRPr="00E4548D" w:rsidRDefault="00A52F91">
            <w:pPr>
              <w:framePr w:w="4400" w:h="1644" w:wrap="notBeside" w:vAnchor="page" w:hAnchor="page" w:x="6573" w:y="721"/>
              <w:rPr>
                <w:rFonts w:ascii="TradeGothic" w:hAnsi="TradeGothic"/>
                <w:i/>
                <w:sz w:val="18"/>
              </w:rPr>
            </w:pPr>
          </w:p>
        </w:tc>
        <w:tc>
          <w:tcPr>
            <w:tcW w:w="2347" w:type="dxa"/>
            <w:gridSpan w:val="2"/>
          </w:tcPr>
          <w:p w:rsidR="00A52F91" w:rsidRPr="00E4548D" w:rsidRDefault="00A52F91">
            <w:pPr>
              <w:framePr w:w="4400" w:h="1644" w:wrap="notBeside" w:vAnchor="page" w:hAnchor="page" w:x="6573" w:y="721"/>
              <w:rPr>
                <w:rFonts w:ascii="TradeGothic" w:hAnsi="TradeGothic"/>
                <w:i/>
                <w:sz w:val="18"/>
              </w:rPr>
            </w:pPr>
          </w:p>
        </w:tc>
      </w:tr>
      <w:tr w:rsidR="00A52F91" w:rsidRPr="00E4548D">
        <w:tblPrEx>
          <w:tblCellMar>
            <w:top w:w="0" w:type="dxa"/>
            <w:bottom w:w="0" w:type="dxa"/>
          </w:tblCellMar>
        </w:tblPrEx>
        <w:tc>
          <w:tcPr>
            <w:tcW w:w="2268" w:type="dxa"/>
          </w:tcPr>
          <w:p w:rsidR="00A52F91" w:rsidRPr="00E4548D" w:rsidRDefault="00A52F91">
            <w:pPr>
              <w:framePr w:w="4400" w:h="1644" w:wrap="notBeside" w:vAnchor="page" w:hAnchor="page" w:x="6573" w:y="721"/>
              <w:rPr>
                <w:rFonts w:ascii="TradeGothic" w:hAnsi="TradeGothic"/>
                <w:b/>
                <w:sz w:val="22"/>
              </w:rPr>
            </w:pPr>
            <w:r w:rsidRPr="00E4548D">
              <w:rPr>
                <w:rFonts w:ascii="TradeGothic" w:hAnsi="TradeGothic"/>
                <w:b/>
                <w:sz w:val="22"/>
              </w:rPr>
              <w:t>PM</w:t>
            </w:r>
          </w:p>
        </w:tc>
        <w:tc>
          <w:tcPr>
            <w:tcW w:w="2347" w:type="dxa"/>
            <w:gridSpan w:val="2"/>
          </w:tcPr>
          <w:p w:rsidR="00A52F91" w:rsidRPr="00E4548D" w:rsidRDefault="00E137FF">
            <w:pPr>
              <w:framePr w:w="4400" w:h="1644" w:wrap="notBeside" w:vAnchor="page" w:hAnchor="page" w:x="6573" w:y="721"/>
              <w:rPr>
                <w:rFonts w:ascii="TradeGothic" w:hAnsi="TradeGothic"/>
                <w:bCs/>
                <w:sz w:val="22"/>
              </w:rPr>
            </w:pPr>
            <w:r w:rsidRPr="00E4548D">
              <w:rPr>
                <w:rFonts w:ascii="TradeGothic" w:hAnsi="TradeGothic"/>
                <w:bCs/>
                <w:sz w:val="22"/>
              </w:rPr>
              <w:t>Fi200</w:t>
            </w:r>
            <w:r w:rsidR="008F111F" w:rsidRPr="00E4548D">
              <w:rPr>
                <w:rFonts w:ascii="TradeGothic" w:hAnsi="TradeGothic"/>
                <w:bCs/>
                <w:sz w:val="22"/>
              </w:rPr>
              <w:t>9/4229</w:t>
            </w:r>
          </w:p>
        </w:tc>
      </w:tr>
      <w:tr w:rsidR="00A52F91" w:rsidRPr="00E4548D">
        <w:tblPrEx>
          <w:tblCellMar>
            <w:top w:w="0" w:type="dxa"/>
            <w:bottom w:w="0" w:type="dxa"/>
          </w:tblCellMar>
        </w:tblPrEx>
        <w:tc>
          <w:tcPr>
            <w:tcW w:w="3402" w:type="dxa"/>
            <w:gridSpan w:val="2"/>
          </w:tcPr>
          <w:p w:rsidR="00A52F91" w:rsidRPr="00E4548D" w:rsidRDefault="00A52F91">
            <w:pPr>
              <w:framePr w:w="4400" w:h="1644" w:wrap="notBeside" w:vAnchor="page" w:hAnchor="page" w:x="6573" w:y="721"/>
            </w:pPr>
          </w:p>
        </w:tc>
        <w:tc>
          <w:tcPr>
            <w:tcW w:w="1213" w:type="dxa"/>
          </w:tcPr>
          <w:p w:rsidR="00A52F91" w:rsidRPr="00E4548D" w:rsidRDefault="00A52F91">
            <w:pPr>
              <w:framePr w:w="4400" w:h="1644" w:wrap="notBeside" w:vAnchor="page" w:hAnchor="page" w:x="6573" w:y="721"/>
            </w:pPr>
          </w:p>
        </w:tc>
      </w:tr>
      <w:tr w:rsidR="00A52F91" w:rsidRPr="00E4548D">
        <w:tblPrEx>
          <w:tblCellMar>
            <w:top w:w="0" w:type="dxa"/>
            <w:bottom w:w="0" w:type="dxa"/>
          </w:tblCellMar>
        </w:tblPrEx>
        <w:tc>
          <w:tcPr>
            <w:tcW w:w="2268" w:type="dxa"/>
          </w:tcPr>
          <w:p w:rsidR="00A52F91" w:rsidRPr="00E4548D" w:rsidRDefault="00E137FF">
            <w:pPr>
              <w:framePr w:w="4400" w:h="1644" w:wrap="notBeside" w:vAnchor="page" w:hAnchor="page" w:x="6573" w:y="721"/>
            </w:pPr>
            <w:r w:rsidRPr="00E4548D">
              <w:t>200</w:t>
            </w:r>
            <w:r w:rsidR="008F111F" w:rsidRPr="00E4548D">
              <w:t>9</w:t>
            </w:r>
            <w:r w:rsidRPr="00E4548D">
              <w:t>-11-</w:t>
            </w:r>
            <w:r w:rsidR="00C35AF2" w:rsidRPr="00E4548D">
              <w:t>09</w:t>
            </w:r>
          </w:p>
        </w:tc>
        <w:tc>
          <w:tcPr>
            <w:tcW w:w="2347" w:type="dxa"/>
            <w:gridSpan w:val="2"/>
          </w:tcPr>
          <w:p w:rsidR="00A52F91" w:rsidRPr="00E4548D" w:rsidRDefault="00A52F91">
            <w:pPr>
              <w:framePr w:w="4400" w:h="1644" w:wrap="notBeside" w:vAnchor="page" w:hAnchor="page" w:x="6573" w:y="721"/>
            </w:pPr>
          </w:p>
        </w:tc>
      </w:tr>
      <w:tr w:rsidR="00A52F91" w:rsidRPr="00E4548D">
        <w:tblPrEx>
          <w:tblCellMar>
            <w:top w:w="0" w:type="dxa"/>
            <w:bottom w:w="0" w:type="dxa"/>
          </w:tblCellMar>
        </w:tblPrEx>
        <w:tc>
          <w:tcPr>
            <w:tcW w:w="2268" w:type="dxa"/>
          </w:tcPr>
          <w:p w:rsidR="00A52F91" w:rsidRPr="00E4548D" w:rsidRDefault="00A52F91">
            <w:pPr>
              <w:framePr w:w="4400" w:h="1644" w:wrap="notBeside" w:vAnchor="page" w:hAnchor="page" w:x="6573" w:y="721"/>
            </w:pPr>
          </w:p>
        </w:tc>
        <w:tc>
          <w:tcPr>
            <w:tcW w:w="2347" w:type="dxa"/>
            <w:gridSpan w:val="2"/>
          </w:tcPr>
          <w:p w:rsidR="00A52F91" w:rsidRPr="00E4548D" w:rsidRDefault="00A52F9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A52F91" w:rsidRPr="00E4548D">
        <w:tblPrEx>
          <w:tblCellMar>
            <w:top w:w="0" w:type="dxa"/>
            <w:bottom w:w="0" w:type="dxa"/>
          </w:tblCellMar>
        </w:tblPrEx>
        <w:trPr>
          <w:trHeight w:val="284"/>
        </w:trPr>
        <w:tc>
          <w:tcPr>
            <w:tcW w:w="4911" w:type="dxa"/>
          </w:tcPr>
          <w:p w:rsidR="00A52F91" w:rsidRPr="00E4548D" w:rsidRDefault="00A52F91">
            <w:pPr>
              <w:pStyle w:val="Avsndare"/>
              <w:framePr w:h="2483" w:wrap="notBeside" w:x="1504"/>
              <w:rPr>
                <w:b/>
                <w:i w:val="0"/>
                <w:sz w:val="22"/>
              </w:rPr>
            </w:pPr>
            <w:r w:rsidRPr="00E4548D">
              <w:rPr>
                <w:b/>
                <w:i w:val="0"/>
                <w:sz w:val="22"/>
              </w:rPr>
              <w:t>Finansdepartementet</w:t>
            </w:r>
          </w:p>
        </w:tc>
      </w:tr>
      <w:tr w:rsidR="00A52F91" w:rsidRPr="00E4548D">
        <w:tblPrEx>
          <w:tblCellMar>
            <w:top w:w="0" w:type="dxa"/>
            <w:bottom w:w="0" w:type="dxa"/>
          </w:tblCellMar>
        </w:tblPrEx>
        <w:trPr>
          <w:trHeight w:val="284"/>
        </w:trPr>
        <w:tc>
          <w:tcPr>
            <w:tcW w:w="4911" w:type="dxa"/>
          </w:tcPr>
          <w:p w:rsidR="00A52F91" w:rsidRPr="00E4548D" w:rsidRDefault="00A52F91">
            <w:pPr>
              <w:pStyle w:val="Avsndare"/>
              <w:framePr w:h="2483" w:wrap="notBeside" w:x="1504"/>
              <w:rPr>
                <w:bCs/>
                <w:iCs/>
              </w:rPr>
            </w:pPr>
          </w:p>
        </w:tc>
      </w:tr>
      <w:tr w:rsidR="00A52F91" w:rsidRPr="00E4548D">
        <w:tblPrEx>
          <w:tblCellMar>
            <w:top w:w="0" w:type="dxa"/>
            <w:bottom w:w="0" w:type="dxa"/>
          </w:tblCellMar>
        </w:tblPrEx>
        <w:trPr>
          <w:trHeight w:val="284"/>
        </w:trPr>
        <w:tc>
          <w:tcPr>
            <w:tcW w:w="4911" w:type="dxa"/>
          </w:tcPr>
          <w:p w:rsidR="00A52F91" w:rsidRPr="00E4548D" w:rsidRDefault="00A52F91">
            <w:pPr>
              <w:pStyle w:val="Avsndare"/>
              <w:framePr w:h="2483" w:wrap="notBeside" w:x="1504"/>
              <w:rPr>
                <w:bCs/>
                <w:iCs/>
              </w:rPr>
            </w:pPr>
            <w:r w:rsidRPr="00E4548D">
              <w:rPr>
                <w:bCs/>
                <w:iCs/>
              </w:rPr>
              <w:t>Budgetavdelningen</w:t>
            </w:r>
          </w:p>
        </w:tc>
      </w:tr>
      <w:tr w:rsidR="00A52F91" w:rsidRPr="00E4548D">
        <w:tblPrEx>
          <w:tblCellMar>
            <w:top w:w="0" w:type="dxa"/>
            <w:bottom w:w="0" w:type="dxa"/>
          </w:tblCellMar>
        </w:tblPrEx>
        <w:trPr>
          <w:trHeight w:val="284"/>
        </w:trPr>
        <w:tc>
          <w:tcPr>
            <w:tcW w:w="4911" w:type="dxa"/>
          </w:tcPr>
          <w:p w:rsidR="00A52F91" w:rsidRPr="00E4548D" w:rsidRDefault="00A52F91">
            <w:pPr>
              <w:pStyle w:val="Avsndare"/>
              <w:framePr w:h="2483" w:wrap="notBeside" w:x="1504"/>
              <w:rPr>
                <w:bCs/>
                <w:iCs/>
              </w:rPr>
            </w:pPr>
            <w:r w:rsidRPr="00E4548D">
              <w:rPr>
                <w:bCs/>
                <w:iCs/>
              </w:rPr>
              <w:t>EU-budgetenheten</w:t>
            </w:r>
          </w:p>
        </w:tc>
      </w:tr>
      <w:tr w:rsidR="00A52F91" w:rsidRPr="00E4548D">
        <w:tblPrEx>
          <w:tblCellMar>
            <w:top w:w="0" w:type="dxa"/>
            <w:bottom w:w="0" w:type="dxa"/>
          </w:tblCellMar>
        </w:tblPrEx>
        <w:trPr>
          <w:trHeight w:val="284"/>
        </w:trPr>
        <w:tc>
          <w:tcPr>
            <w:tcW w:w="4911" w:type="dxa"/>
          </w:tcPr>
          <w:p w:rsidR="00A52F91" w:rsidRPr="00E4548D" w:rsidRDefault="00A52F91">
            <w:pPr>
              <w:pStyle w:val="Avsndare"/>
              <w:framePr w:h="2483" w:wrap="notBeside" w:x="1504"/>
              <w:rPr>
                <w:bCs/>
                <w:iCs/>
              </w:rPr>
            </w:pPr>
          </w:p>
        </w:tc>
      </w:tr>
      <w:tr w:rsidR="00A52F91" w:rsidRPr="00E4548D">
        <w:tblPrEx>
          <w:tblCellMar>
            <w:top w:w="0" w:type="dxa"/>
            <w:bottom w:w="0" w:type="dxa"/>
          </w:tblCellMar>
        </w:tblPrEx>
        <w:trPr>
          <w:trHeight w:val="284"/>
        </w:trPr>
        <w:tc>
          <w:tcPr>
            <w:tcW w:w="4911" w:type="dxa"/>
          </w:tcPr>
          <w:p w:rsidR="00A52F91" w:rsidRPr="00E4548D" w:rsidRDefault="00A52F91">
            <w:pPr>
              <w:pStyle w:val="Avsndare"/>
              <w:framePr w:h="2483" w:wrap="notBeside" w:x="1504"/>
              <w:rPr>
                <w:bCs/>
                <w:iCs/>
              </w:rPr>
            </w:pPr>
          </w:p>
        </w:tc>
      </w:tr>
      <w:tr w:rsidR="00A52F91" w:rsidRPr="00E4548D">
        <w:tblPrEx>
          <w:tblCellMar>
            <w:top w:w="0" w:type="dxa"/>
            <w:bottom w:w="0" w:type="dxa"/>
          </w:tblCellMar>
        </w:tblPrEx>
        <w:trPr>
          <w:trHeight w:val="284"/>
        </w:trPr>
        <w:tc>
          <w:tcPr>
            <w:tcW w:w="4911" w:type="dxa"/>
          </w:tcPr>
          <w:p w:rsidR="00A52F91" w:rsidRPr="00E4548D" w:rsidRDefault="00A52F91">
            <w:pPr>
              <w:pStyle w:val="Avsndare"/>
              <w:framePr w:h="2483" w:wrap="notBeside" w:x="1504"/>
              <w:rPr>
                <w:bCs/>
                <w:iCs/>
              </w:rPr>
            </w:pPr>
          </w:p>
        </w:tc>
      </w:tr>
      <w:tr w:rsidR="00A52F91" w:rsidRPr="00E4548D">
        <w:tblPrEx>
          <w:tblCellMar>
            <w:top w:w="0" w:type="dxa"/>
            <w:bottom w:w="0" w:type="dxa"/>
          </w:tblCellMar>
        </w:tblPrEx>
        <w:trPr>
          <w:trHeight w:val="284"/>
        </w:trPr>
        <w:tc>
          <w:tcPr>
            <w:tcW w:w="4911" w:type="dxa"/>
          </w:tcPr>
          <w:p w:rsidR="00A52F91" w:rsidRPr="00E4548D" w:rsidRDefault="00A52F91">
            <w:pPr>
              <w:pStyle w:val="Avsndare"/>
              <w:framePr w:h="2483" w:wrap="notBeside" w:x="1504"/>
              <w:rPr>
                <w:bCs/>
                <w:iCs/>
              </w:rPr>
            </w:pPr>
          </w:p>
        </w:tc>
      </w:tr>
      <w:tr w:rsidR="00A52F91" w:rsidRPr="00E4548D">
        <w:tblPrEx>
          <w:tblCellMar>
            <w:top w:w="0" w:type="dxa"/>
            <w:bottom w:w="0" w:type="dxa"/>
          </w:tblCellMar>
        </w:tblPrEx>
        <w:trPr>
          <w:trHeight w:val="284"/>
        </w:trPr>
        <w:tc>
          <w:tcPr>
            <w:tcW w:w="4911" w:type="dxa"/>
          </w:tcPr>
          <w:p w:rsidR="00A52F91" w:rsidRPr="00E4548D" w:rsidRDefault="00A52F91">
            <w:pPr>
              <w:pStyle w:val="Avsndare"/>
              <w:framePr w:h="2483" w:wrap="notBeside" w:x="1504"/>
              <w:rPr>
                <w:bCs/>
                <w:iCs/>
              </w:rPr>
            </w:pPr>
          </w:p>
        </w:tc>
      </w:tr>
      <w:tr w:rsidR="00A52F91" w:rsidRPr="00E4548D">
        <w:tblPrEx>
          <w:tblCellMar>
            <w:top w:w="0" w:type="dxa"/>
            <w:bottom w:w="0" w:type="dxa"/>
          </w:tblCellMar>
        </w:tblPrEx>
        <w:trPr>
          <w:trHeight w:val="284"/>
        </w:trPr>
        <w:tc>
          <w:tcPr>
            <w:tcW w:w="4911" w:type="dxa"/>
          </w:tcPr>
          <w:p w:rsidR="00A52F91" w:rsidRPr="00E4548D" w:rsidRDefault="00A52F91">
            <w:pPr>
              <w:pStyle w:val="Avsndare"/>
              <w:framePr w:h="2483" w:wrap="notBeside" w:x="1504"/>
              <w:rPr>
                <w:bCs/>
                <w:iCs/>
              </w:rPr>
            </w:pPr>
          </w:p>
        </w:tc>
      </w:tr>
    </w:tbl>
    <w:p w:rsidR="00A52F91" w:rsidRPr="00E4548D" w:rsidRDefault="00C35AF2">
      <w:pPr>
        <w:framePr w:w="4400" w:h="2523" w:wrap="notBeside" w:vAnchor="page" w:hAnchor="page" w:x="6453" w:y="2445"/>
        <w:ind w:left="142"/>
      </w:pPr>
      <w:r w:rsidRPr="00E4548D">
        <w:t>EU-nämnden</w:t>
      </w:r>
    </w:p>
    <w:p w:rsidR="00A52F91" w:rsidRPr="00E4548D" w:rsidRDefault="00A52F91">
      <w:pPr>
        <w:framePr w:w="4400" w:h="2523" w:wrap="notBeside" w:vAnchor="page" w:hAnchor="page" w:x="6453" w:y="2445"/>
        <w:ind w:left="142"/>
      </w:pPr>
    </w:p>
    <w:p w:rsidR="00A52F91" w:rsidRPr="00E4548D" w:rsidRDefault="00A52F91">
      <w:pPr>
        <w:framePr w:w="4400" w:h="2523" w:wrap="notBeside" w:vAnchor="page" w:hAnchor="page" w:x="6453" w:y="2445"/>
        <w:ind w:left="142"/>
      </w:pPr>
      <w:r w:rsidRPr="00E4548D">
        <w:t xml:space="preserve">Inför </w:t>
      </w:r>
      <w:r w:rsidR="008F111F" w:rsidRPr="00E4548D">
        <w:t>Ekofinrådet den 19</w:t>
      </w:r>
      <w:r w:rsidR="00E137FF" w:rsidRPr="00E4548D">
        <w:t xml:space="preserve"> november 200</w:t>
      </w:r>
      <w:r w:rsidR="008F111F" w:rsidRPr="00E4548D">
        <w:t>9</w:t>
      </w:r>
    </w:p>
    <w:p w:rsidR="00A52F91" w:rsidRPr="00E4548D" w:rsidRDefault="00A52F91">
      <w:pPr>
        <w:framePr w:w="4400" w:h="2523" w:wrap="notBeside" w:vAnchor="page" w:hAnchor="page" w:x="6453" w:y="2445"/>
        <w:ind w:left="142"/>
      </w:pPr>
    </w:p>
    <w:p w:rsidR="00A52F91" w:rsidRPr="00E4548D" w:rsidRDefault="00A52F91">
      <w:pPr>
        <w:pStyle w:val="RKrubrik"/>
        <w:pBdr>
          <w:bottom w:val="single" w:sz="4" w:space="1" w:color="000000"/>
        </w:pBdr>
        <w:spacing w:before="0" w:after="0"/>
      </w:pPr>
      <w:r w:rsidRPr="00E4548D">
        <w:t>Rådets andra</w:t>
      </w:r>
      <w:r w:rsidR="00E137FF" w:rsidRPr="00E4548D">
        <w:t xml:space="preserve"> läsning av EU:s budget för 20</w:t>
      </w:r>
      <w:r w:rsidR="008F111F" w:rsidRPr="00E4548D">
        <w:t>10</w:t>
      </w:r>
    </w:p>
    <w:p w:rsidR="008F111F" w:rsidRPr="00E4548D" w:rsidRDefault="008F111F" w:rsidP="008F111F">
      <w:pPr>
        <w:pStyle w:val="RKrubrik"/>
      </w:pPr>
      <w:r w:rsidRPr="00E4548D">
        <w:t>EU:s budgetprocess</w:t>
      </w:r>
    </w:p>
    <w:p w:rsidR="008F111F" w:rsidRPr="00E4548D" w:rsidRDefault="00E73B95" w:rsidP="008F111F">
      <w:pPr>
        <w:pStyle w:val="RKnormal"/>
        <w:numPr>
          <w:ilvl w:val="0"/>
          <w:numId w:val="1"/>
        </w:numPr>
      </w:pPr>
      <w:r w:rsidRPr="00E4548D">
        <w:t xml:space="preserve">Kommissionen </w:t>
      </w:r>
      <w:r w:rsidR="008F111F" w:rsidRPr="00E4548D">
        <w:t>fattade beslut om sitt budgetförslag för 2010 den 29 april i år.</w:t>
      </w:r>
    </w:p>
    <w:p w:rsidR="008F111F" w:rsidRPr="00E4548D" w:rsidRDefault="005F6345" w:rsidP="008F111F">
      <w:pPr>
        <w:pStyle w:val="RKnormal"/>
        <w:numPr>
          <w:ilvl w:val="0"/>
          <w:numId w:val="1"/>
        </w:numPr>
      </w:pPr>
      <w:r w:rsidRPr="00E4548D">
        <w:t xml:space="preserve">Rådet </w:t>
      </w:r>
      <w:r w:rsidR="008F111F" w:rsidRPr="00E4548D">
        <w:t xml:space="preserve">genomförde sin första läsning av </w:t>
      </w:r>
      <w:r w:rsidR="00614554" w:rsidRPr="00E4548D">
        <w:t>k</w:t>
      </w:r>
      <w:r w:rsidR="008F111F" w:rsidRPr="00E4548D">
        <w:t xml:space="preserve">ommissionens budgetförslag </w:t>
      </w:r>
      <w:r w:rsidRPr="00E4548D">
        <w:t xml:space="preserve">vid Ekofinrådet </w:t>
      </w:r>
      <w:r w:rsidR="008F111F" w:rsidRPr="00E4548D">
        <w:t xml:space="preserve">den 10 juli. </w:t>
      </w:r>
    </w:p>
    <w:p w:rsidR="008F111F" w:rsidRPr="00E4548D" w:rsidRDefault="00E73B95" w:rsidP="008F111F">
      <w:pPr>
        <w:pStyle w:val="RKnormal"/>
        <w:numPr>
          <w:ilvl w:val="0"/>
          <w:numId w:val="1"/>
        </w:numPr>
      </w:pPr>
      <w:r w:rsidRPr="00E4548D">
        <w:t>Europaparlamentet</w:t>
      </w:r>
      <w:r w:rsidR="008F111F" w:rsidRPr="00E4548D">
        <w:t xml:space="preserve"> </w:t>
      </w:r>
      <w:r w:rsidR="00B066F8" w:rsidRPr="00E4548D">
        <w:t xml:space="preserve">genomförde </w:t>
      </w:r>
      <w:r w:rsidR="008F111F" w:rsidRPr="00E4548D">
        <w:t>sin första läsning av rådets förslag</w:t>
      </w:r>
      <w:r w:rsidR="00B066F8" w:rsidRPr="00E4548D">
        <w:t xml:space="preserve"> den 22 oktober.</w:t>
      </w:r>
    </w:p>
    <w:p w:rsidR="008F111F" w:rsidRPr="00E4548D" w:rsidRDefault="008F111F" w:rsidP="008F111F">
      <w:pPr>
        <w:pStyle w:val="RKnormal"/>
        <w:numPr>
          <w:ilvl w:val="0"/>
          <w:numId w:val="1"/>
        </w:numPr>
      </w:pPr>
      <w:r w:rsidRPr="00E4548D">
        <w:t>Ekofinrådet genomför sin andra läsning av budgetförslaget den 19 november</w:t>
      </w:r>
      <w:r w:rsidR="00B066F8" w:rsidRPr="00E4548D">
        <w:t>. I samband de</w:t>
      </w:r>
      <w:r w:rsidR="00614554" w:rsidRPr="00E4548D">
        <w:t>n</w:t>
      </w:r>
      <w:r w:rsidR="00B066F8" w:rsidRPr="00E4548D">
        <w:t xml:space="preserve"> hålls ett förlikningsmöte med Europaparlamentet.</w:t>
      </w:r>
    </w:p>
    <w:p w:rsidR="008F111F" w:rsidRPr="00E4548D" w:rsidRDefault="00E73B95" w:rsidP="008F111F">
      <w:pPr>
        <w:pStyle w:val="RKnormal"/>
        <w:numPr>
          <w:ilvl w:val="0"/>
          <w:numId w:val="1"/>
        </w:numPr>
      </w:pPr>
      <w:r w:rsidRPr="00E4548D">
        <w:t>Parlamentet</w:t>
      </w:r>
      <w:r w:rsidR="008F111F" w:rsidRPr="00E4548D">
        <w:t xml:space="preserve"> genomför sin andra läsning av budgeten den 17 december och fastställer därmed budgeten för 2010. </w:t>
      </w:r>
    </w:p>
    <w:p w:rsidR="008F111F" w:rsidRPr="00E4548D" w:rsidRDefault="008F111F" w:rsidP="008F111F">
      <w:pPr>
        <w:pStyle w:val="RKrubrik"/>
      </w:pPr>
      <w:r w:rsidRPr="00E4548D">
        <w:t>K</w:t>
      </w:r>
      <w:r w:rsidR="00B066F8" w:rsidRPr="00E4548D">
        <w:t>ommissionens p</w:t>
      </w:r>
      <w:r w:rsidRPr="00E4548D">
        <w:t>reliminära budgetutkast för 2010</w:t>
      </w:r>
    </w:p>
    <w:p w:rsidR="008F111F" w:rsidRPr="00E4548D" w:rsidRDefault="008F111F" w:rsidP="008F111F">
      <w:pPr>
        <w:pStyle w:val="RKnormal"/>
      </w:pPr>
      <w:r w:rsidRPr="00E4548D">
        <w:t>Kommissionen beslutade den 29 april om sitt preliminära förslag till budget (P</w:t>
      </w:r>
      <w:r w:rsidR="00614554" w:rsidRPr="00E4548D">
        <w:t>reliminary Draft Budget - P</w:t>
      </w:r>
      <w:r w:rsidRPr="00E4548D">
        <w:t xml:space="preserve">DB) för 2010. </w:t>
      </w:r>
      <w:r w:rsidR="00B066F8" w:rsidRPr="00E4548D">
        <w:t>F</w:t>
      </w:r>
      <w:r w:rsidRPr="00E4548D">
        <w:t>örslag</w:t>
      </w:r>
      <w:r w:rsidR="00B066F8" w:rsidRPr="00E4548D">
        <w:t>et</w:t>
      </w:r>
      <w:r w:rsidRPr="00E4548D">
        <w:t xml:space="preserve"> innebär en ökning av åtagandeanslagen med totalt 2</w:t>
      </w:r>
      <w:r w:rsidR="00873572" w:rsidRPr="00E4548D">
        <w:t>,</w:t>
      </w:r>
      <w:r w:rsidRPr="00E4548D">
        <w:t>1 milj</w:t>
      </w:r>
      <w:r w:rsidR="00873572" w:rsidRPr="00E4548D">
        <w:t>arder</w:t>
      </w:r>
      <w:r w:rsidRPr="00E4548D">
        <w:t xml:space="preserve"> euro till 138</w:t>
      </w:r>
      <w:r w:rsidR="00E73B95" w:rsidRPr="00E4548D">
        <w:t>,6 miljarder</w:t>
      </w:r>
      <w:r w:rsidRPr="00E4548D">
        <w:t xml:space="preserve"> euro, vilket motsvarar en ökning på 1,5% jämfört med budgeten för 2009. Åtagandenivån motsvarar 1,1</w:t>
      </w:r>
      <w:r w:rsidR="001D3B3C" w:rsidRPr="00E4548D">
        <w:t>7</w:t>
      </w:r>
      <w:r w:rsidRPr="00E4548D">
        <w:t xml:space="preserve">% av medlemsstaternas samlade BNI, vilket är </w:t>
      </w:r>
      <w:r w:rsidR="00114427" w:rsidRPr="00E4548D">
        <w:t xml:space="preserve">i princip </w:t>
      </w:r>
      <w:r w:rsidRPr="00E4548D">
        <w:t>oförändrat jämfört med budgeten för 2009. Betalningsanslagen föreslås öka med 5,3% till totalt 122</w:t>
      </w:r>
      <w:r w:rsidR="00E73B95" w:rsidRPr="00E4548D">
        <w:t>,</w:t>
      </w:r>
      <w:r w:rsidRPr="00E4548D">
        <w:t>3</w:t>
      </w:r>
      <w:r w:rsidR="00E73B95" w:rsidRPr="00E4548D">
        <w:t xml:space="preserve"> miljarder euro</w:t>
      </w:r>
      <w:r w:rsidRPr="00E4548D">
        <w:t xml:space="preserve"> jämfört med budgeten för 2009. Betalningsnivån motsvarar 1,0</w:t>
      </w:r>
      <w:r w:rsidR="001D3B3C" w:rsidRPr="00E4548D">
        <w:t>3</w:t>
      </w:r>
      <w:r w:rsidRPr="00E4548D">
        <w:t>% av medlemsstaternas samlade BNI, vilket kan jämföras med 1,00% för budgeten 2009.</w:t>
      </w:r>
    </w:p>
    <w:p w:rsidR="008F111F" w:rsidRPr="00E4548D" w:rsidRDefault="008F111F" w:rsidP="008F111F">
      <w:pPr>
        <w:pStyle w:val="RKnormal"/>
      </w:pPr>
    </w:p>
    <w:p w:rsidR="008F111F" w:rsidRPr="00E4548D" w:rsidRDefault="00E73B95" w:rsidP="008F111F">
      <w:pPr>
        <w:pStyle w:val="RKnormal"/>
      </w:pPr>
      <w:r w:rsidRPr="00E4548D">
        <w:t>Kommissionens</w:t>
      </w:r>
      <w:r w:rsidR="008F111F" w:rsidRPr="00E4548D">
        <w:t xml:space="preserve"> budgetförslag ligger inom de utgiftsramar som rådet, </w:t>
      </w:r>
      <w:r w:rsidRPr="00E4548D">
        <w:t xml:space="preserve">Parlamentet </w:t>
      </w:r>
      <w:r w:rsidR="008F111F" w:rsidRPr="00E4548D">
        <w:t xml:space="preserve">och </w:t>
      </w:r>
      <w:r w:rsidRPr="00E4548D">
        <w:t>Kommissionen</w:t>
      </w:r>
      <w:r w:rsidR="008F111F" w:rsidRPr="00E4548D">
        <w:t xml:space="preserve"> fastställt i den fleråriga budgetramen för 2007-2013. Taket för åtaganden i budgetramen för 2010 uppgår till 1,19% av medlemsstaternas BNI och betalningarna till 1,14% av medlemsstaternas BNI.</w:t>
      </w:r>
    </w:p>
    <w:p w:rsidR="008F111F" w:rsidRPr="00E4548D" w:rsidRDefault="008F111F" w:rsidP="008F111F">
      <w:pPr>
        <w:pStyle w:val="RKnormal"/>
      </w:pPr>
    </w:p>
    <w:p w:rsidR="008F111F" w:rsidRPr="00E4548D" w:rsidRDefault="008F111F" w:rsidP="00B066F8">
      <w:pPr>
        <w:pStyle w:val="RKnormal"/>
      </w:pPr>
      <w:r w:rsidRPr="00E4548D">
        <w:t xml:space="preserve">Budgeten ska, i enlighet med överenskommelsen mellan rådet, </w:t>
      </w:r>
      <w:r w:rsidR="00614554" w:rsidRPr="00E4548D">
        <w:t>p</w:t>
      </w:r>
      <w:r w:rsidR="00E73B95" w:rsidRPr="00E4548D">
        <w:t xml:space="preserve">arlamentet </w:t>
      </w:r>
      <w:r w:rsidRPr="00E4548D">
        <w:t xml:space="preserve">och </w:t>
      </w:r>
      <w:r w:rsidR="00614554" w:rsidRPr="00E4548D">
        <w:t>k</w:t>
      </w:r>
      <w:r w:rsidR="00E73B95" w:rsidRPr="00E4548D">
        <w:t xml:space="preserve">ommissionen </w:t>
      </w:r>
      <w:r w:rsidRPr="00E4548D">
        <w:t xml:space="preserve">den 2 april 2009, ökas med ytterligare </w:t>
      </w:r>
      <w:r w:rsidR="00B066F8" w:rsidRPr="00E4548D">
        <w:t>1</w:t>
      </w:r>
      <w:r w:rsidR="00E73B95" w:rsidRPr="00E4548D">
        <w:t>,</w:t>
      </w:r>
      <w:r w:rsidR="00B066F8" w:rsidRPr="00E4548D">
        <w:t>98</w:t>
      </w:r>
      <w:r w:rsidRPr="00E4548D">
        <w:t xml:space="preserve"> miljarder euro </w:t>
      </w:r>
      <w:r w:rsidR="00E73B95" w:rsidRPr="00E4548D">
        <w:t xml:space="preserve">år </w:t>
      </w:r>
      <w:r w:rsidRPr="00E4548D">
        <w:t xml:space="preserve">2010 för att finansiera </w:t>
      </w:r>
      <w:r w:rsidR="00E73B95" w:rsidRPr="00E4548D">
        <w:t xml:space="preserve">den </w:t>
      </w:r>
      <w:r w:rsidRPr="00E4548D">
        <w:t>resterande del</w:t>
      </w:r>
      <w:r w:rsidR="00E73B95" w:rsidRPr="00E4548D">
        <w:t>en</w:t>
      </w:r>
      <w:r w:rsidRPr="00E4548D">
        <w:t xml:space="preserve"> av den </w:t>
      </w:r>
      <w:r w:rsidRPr="00E4548D">
        <w:lastRenderedPageBreak/>
        <w:t>ekonomiska återhämtningsplanen. Dessa medel är inte in</w:t>
      </w:r>
      <w:r w:rsidR="00B066F8" w:rsidRPr="00E4548D">
        <w:t>kluderade</w:t>
      </w:r>
      <w:r w:rsidRPr="00E4548D">
        <w:t xml:space="preserve"> i budgetförslaget utan finansieringen avses beslutas </w:t>
      </w:r>
      <w:r w:rsidR="00E73B95" w:rsidRPr="00E4548D">
        <w:t xml:space="preserve">vid </w:t>
      </w:r>
      <w:r w:rsidR="00B066F8" w:rsidRPr="00E4548D">
        <w:t>förlikningen i samband med Ekofin-mötet den 19 november</w:t>
      </w:r>
      <w:r w:rsidRPr="00E4548D">
        <w:t>.</w:t>
      </w:r>
    </w:p>
    <w:p w:rsidR="00B066F8" w:rsidRPr="00E4548D" w:rsidRDefault="00B066F8" w:rsidP="00B066F8">
      <w:pPr>
        <w:pStyle w:val="RKrubrik"/>
      </w:pPr>
      <w:r w:rsidRPr="00E4548D">
        <w:t>Rådets första läsning</w:t>
      </w:r>
    </w:p>
    <w:p w:rsidR="008F111F" w:rsidRPr="00E4548D" w:rsidRDefault="00B066F8">
      <w:pPr>
        <w:pStyle w:val="RKnormal"/>
      </w:pPr>
      <w:r w:rsidRPr="00E4548D">
        <w:t xml:space="preserve">Rådets första läsning resulterade i ändringar som sammantaget innebär en minskning </w:t>
      </w:r>
      <w:r w:rsidR="00E73B95" w:rsidRPr="00E4548D">
        <w:t xml:space="preserve">i förhållande till </w:t>
      </w:r>
      <w:r w:rsidR="00614554" w:rsidRPr="00E4548D">
        <w:t>k</w:t>
      </w:r>
      <w:r w:rsidR="00E73B95" w:rsidRPr="00E4548D">
        <w:t>ommissionens</w:t>
      </w:r>
      <w:r w:rsidRPr="00E4548D">
        <w:t xml:space="preserve"> förslag med 613 miljoner euro för åtaganden och 1 795 miljoner euro för betalningar. Neddragningen på åtaganden är främst riktad mot jordbruksutgifter och administrativa utgifter medan betalningsnivåerna minskas för anslag som historiskt haft lågt genomförande.</w:t>
      </w:r>
    </w:p>
    <w:p w:rsidR="00A52F91" w:rsidRPr="00E4548D" w:rsidRDefault="00A52F91">
      <w:pPr>
        <w:pStyle w:val="RKrubrik"/>
      </w:pPr>
      <w:r w:rsidRPr="00E4548D">
        <w:t>Europaparlamentets första läsning</w:t>
      </w:r>
    </w:p>
    <w:p w:rsidR="00A967BE" w:rsidRPr="00E4548D" w:rsidRDefault="009B3219" w:rsidP="00A967BE">
      <w:pPr>
        <w:spacing w:line="240" w:lineRule="atLeast"/>
        <w:rPr>
          <w:szCs w:val="24"/>
          <w:lang w:eastAsia="sv-SE"/>
        </w:rPr>
      </w:pPr>
      <w:r w:rsidRPr="00E4548D">
        <w:rPr>
          <w:color w:val="000000"/>
          <w:szCs w:val="24"/>
          <w:lang w:eastAsia="sv-SE"/>
        </w:rPr>
        <w:t xml:space="preserve">Resultatet av </w:t>
      </w:r>
      <w:r w:rsidR="00614554" w:rsidRPr="00E4548D">
        <w:rPr>
          <w:color w:val="000000"/>
          <w:szCs w:val="24"/>
          <w:lang w:eastAsia="sv-SE"/>
        </w:rPr>
        <w:t>p</w:t>
      </w:r>
      <w:r w:rsidR="00E73B95" w:rsidRPr="00E4548D">
        <w:rPr>
          <w:color w:val="000000"/>
          <w:szCs w:val="24"/>
          <w:lang w:eastAsia="sv-SE"/>
        </w:rPr>
        <w:t>arlamentets</w:t>
      </w:r>
      <w:r w:rsidR="006E487B" w:rsidRPr="00E4548D">
        <w:rPr>
          <w:color w:val="000000"/>
          <w:szCs w:val="24"/>
          <w:lang w:eastAsia="sv-SE"/>
        </w:rPr>
        <w:t xml:space="preserve"> </w:t>
      </w:r>
      <w:r w:rsidR="0040190B" w:rsidRPr="00E4548D">
        <w:rPr>
          <w:color w:val="000000"/>
          <w:szCs w:val="24"/>
          <w:lang w:eastAsia="sv-SE"/>
        </w:rPr>
        <w:t xml:space="preserve">första </w:t>
      </w:r>
      <w:r w:rsidR="006E487B" w:rsidRPr="00E4548D">
        <w:rPr>
          <w:color w:val="000000"/>
          <w:szCs w:val="24"/>
          <w:lang w:eastAsia="sv-SE"/>
        </w:rPr>
        <w:t>behandling av budgeten för 20</w:t>
      </w:r>
      <w:r w:rsidR="00B066F8" w:rsidRPr="00E4548D">
        <w:rPr>
          <w:color w:val="000000"/>
          <w:szCs w:val="24"/>
          <w:lang w:eastAsia="sv-SE"/>
        </w:rPr>
        <w:t>10</w:t>
      </w:r>
      <w:r w:rsidRPr="00E4548D">
        <w:rPr>
          <w:color w:val="000000"/>
          <w:szCs w:val="24"/>
          <w:lang w:eastAsia="sv-SE"/>
        </w:rPr>
        <w:t xml:space="preserve"> innebär i korthet</w:t>
      </w:r>
      <w:r w:rsidR="00451605" w:rsidRPr="00E4548D">
        <w:rPr>
          <w:color w:val="000000"/>
          <w:szCs w:val="24"/>
          <w:lang w:eastAsia="sv-SE"/>
        </w:rPr>
        <w:t xml:space="preserve"> att åtagande</w:t>
      </w:r>
      <w:r w:rsidR="00596B18" w:rsidRPr="00E4548D">
        <w:rPr>
          <w:color w:val="000000"/>
          <w:szCs w:val="24"/>
          <w:lang w:eastAsia="sv-SE"/>
        </w:rPr>
        <w:t>anslagen</w:t>
      </w:r>
      <w:r w:rsidR="00451605" w:rsidRPr="00E4548D">
        <w:rPr>
          <w:color w:val="000000"/>
          <w:szCs w:val="24"/>
          <w:lang w:eastAsia="sv-SE"/>
        </w:rPr>
        <w:t xml:space="preserve"> ökas</w:t>
      </w:r>
      <w:r w:rsidR="00C02550" w:rsidRPr="00E4548D">
        <w:rPr>
          <w:color w:val="000000"/>
          <w:szCs w:val="24"/>
          <w:lang w:eastAsia="sv-SE"/>
        </w:rPr>
        <w:t xml:space="preserve"> med </w:t>
      </w:r>
      <w:r w:rsidR="00B066F8" w:rsidRPr="00E4548D">
        <w:rPr>
          <w:color w:val="000000"/>
          <w:szCs w:val="24"/>
          <w:lang w:eastAsia="sv-SE"/>
        </w:rPr>
        <w:t>3,8</w:t>
      </w:r>
      <w:r w:rsidR="00C02550" w:rsidRPr="00E4548D">
        <w:rPr>
          <w:color w:val="000000"/>
          <w:szCs w:val="24"/>
          <w:lang w:eastAsia="sv-SE"/>
        </w:rPr>
        <w:t xml:space="preserve"> miljarder euro till </w:t>
      </w:r>
      <w:r w:rsidR="00D847CF" w:rsidRPr="00E4548D">
        <w:rPr>
          <w:szCs w:val="24"/>
          <w:lang w:eastAsia="sv-SE"/>
        </w:rPr>
        <w:t>1</w:t>
      </w:r>
      <w:r w:rsidR="00B066F8" w:rsidRPr="00E4548D">
        <w:rPr>
          <w:szCs w:val="24"/>
          <w:lang w:eastAsia="sv-SE"/>
        </w:rPr>
        <w:t>41,7</w:t>
      </w:r>
      <w:r w:rsidRPr="00E4548D">
        <w:rPr>
          <w:szCs w:val="24"/>
          <w:lang w:eastAsia="sv-SE"/>
        </w:rPr>
        <w:t xml:space="preserve"> </w:t>
      </w:r>
      <w:r w:rsidRPr="00E4548D">
        <w:rPr>
          <w:color w:val="000000"/>
          <w:szCs w:val="24"/>
          <w:lang w:eastAsia="sv-SE"/>
        </w:rPr>
        <w:t>miljarder euro</w:t>
      </w:r>
      <w:r w:rsidR="00D847CF" w:rsidRPr="00E4548D">
        <w:rPr>
          <w:color w:val="000000"/>
          <w:szCs w:val="24"/>
          <w:lang w:eastAsia="sv-SE"/>
        </w:rPr>
        <w:t xml:space="preserve"> (1,</w:t>
      </w:r>
      <w:r w:rsidR="00B066F8" w:rsidRPr="00E4548D">
        <w:rPr>
          <w:color w:val="000000"/>
          <w:szCs w:val="24"/>
          <w:lang w:eastAsia="sv-SE"/>
        </w:rPr>
        <w:t>20</w:t>
      </w:r>
      <w:r w:rsidR="00D847CF" w:rsidRPr="00E4548D">
        <w:rPr>
          <w:color w:val="000000"/>
          <w:szCs w:val="24"/>
          <w:lang w:eastAsia="sv-SE"/>
        </w:rPr>
        <w:t xml:space="preserve"> </w:t>
      </w:r>
      <w:r w:rsidR="004E139E" w:rsidRPr="00E4548D">
        <w:rPr>
          <w:color w:val="000000"/>
          <w:szCs w:val="24"/>
          <w:lang w:eastAsia="sv-SE"/>
        </w:rPr>
        <w:t xml:space="preserve">% </w:t>
      </w:r>
      <w:r w:rsidR="00D847CF" w:rsidRPr="00E4548D">
        <w:rPr>
          <w:color w:val="000000"/>
          <w:szCs w:val="24"/>
          <w:lang w:eastAsia="sv-SE"/>
        </w:rPr>
        <w:t>av BNI)</w:t>
      </w:r>
      <w:r w:rsidRPr="00E4548D">
        <w:rPr>
          <w:color w:val="000000"/>
          <w:szCs w:val="24"/>
          <w:lang w:eastAsia="sv-SE"/>
        </w:rPr>
        <w:t xml:space="preserve"> och betalningsanslagen med </w:t>
      </w:r>
      <w:r w:rsidR="00B066F8" w:rsidRPr="00E4548D">
        <w:rPr>
          <w:color w:val="000000"/>
          <w:szCs w:val="24"/>
          <w:lang w:eastAsia="sv-SE"/>
        </w:rPr>
        <w:t>7,0</w:t>
      </w:r>
      <w:r w:rsidR="00C02550" w:rsidRPr="00E4548D">
        <w:rPr>
          <w:color w:val="000000"/>
          <w:szCs w:val="24"/>
          <w:lang w:eastAsia="sv-SE"/>
        </w:rPr>
        <w:t xml:space="preserve"> miljarder euro till </w:t>
      </w:r>
      <w:r w:rsidR="00D847CF" w:rsidRPr="00E4548D">
        <w:rPr>
          <w:szCs w:val="24"/>
          <w:lang w:eastAsia="sv-SE"/>
        </w:rPr>
        <w:t>12</w:t>
      </w:r>
      <w:r w:rsidR="00B066F8" w:rsidRPr="00E4548D">
        <w:rPr>
          <w:szCs w:val="24"/>
          <w:lang w:eastAsia="sv-SE"/>
        </w:rPr>
        <w:t>7</w:t>
      </w:r>
      <w:r w:rsidR="00D847CF" w:rsidRPr="00E4548D">
        <w:rPr>
          <w:szCs w:val="24"/>
          <w:lang w:eastAsia="sv-SE"/>
        </w:rPr>
        <w:t>,5</w:t>
      </w:r>
      <w:r w:rsidRPr="00E4548D">
        <w:rPr>
          <w:color w:val="000000"/>
          <w:szCs w:val="24"/>
          <w:lang w:eastAsia="sv-SE"/>
        </w:rPr>
        <w:t xml:space="preserve"> miljarder euro </w:t>
      </w:r>
      <w:r w:rsidR="00B066F8" w:rsidRPr="00E4548D">
        <w:rPr>
          <w:color w:val="000000"/>
          <w:szCs w:val="24"/>
          <w:lang w:eastAsia="sv-SE"/>
        </w:rPr>
        <w:t>(1,08</w:t>
      </w:r>
      <w:r w:rsidR="00D847CF" w:rsidRPr="00E4548D">
        <w:rPr>
          <w:color w:val="000000"/>
          <w:szCs w:val="24"/>
          <w:lang w:eastAsia="sv-SE"/>
        </w:rPr>
        <w:t xml:space="preserve"> </w:t>
      </w:r>
      <w:r w:rsidR="004E139E" w:rsidRPr="00E4548D">
        <w:rPr>
          <w:color w:val="000000"/>
          <w:szCs w:val="24"/>
          <w:lang w:eastAsia="sv-SE"/>
        </w:rPr>
        <w:t xml:space="preserve">% </w:t>
      </w:r>
      <w:r w:rsidR="00D847CF" w:rsidRPr="00E4548D">
        <w:rPr>
          <w:color w:val="000000"/>
          <w:szCs w:val="24"/>
          <w:lang w:eastAsia="sv-SE"/>
        </w:rPr>
        <w:t xml:space="preserve">av BNI) </w:t>
      </w:r>
      <w:r w:rsidRPr="00E4548D">
        <w:rPr>
          <w:color w:val="000000"/>
          <w:szCs w:val="24"/>
          <w:lang w:eastAsia="sv-SE"/>
        </w:rPr>
        <w:t xml:space="preserve">jämfört med rådets första läsning. </w:t>
      </w:r>
      <w:r w:rsidR="002918EF" w:rsidRPr="00E4548D">
        <w:rPr>
          <w:szCs w:val="24"/>
          <w:lang w:eastAsia="sv-SE"/>
        </w:rPr>
        <w:t xml:space="preserve">I </w:t>
      </w:r>
      <w:r w:rsidR="00614554" w:rsidRPr="00E4548D">
        <w:rPr>
          <w:szCs w:val="24"/>
          <w:lang w:eastAsia="sv-SE"/>
        </w:rPr>
        <w:t>p</w:t>
      </w:r>
      <w:r w:rsidR="00E73B95" w:rsidRPr="00E4548D">
        <w:rPr>
          <w:szCs w:val="24"/>
          <w:lang w:eastAsia="sv-SE"/>
        </w:rPr>
        <w:t>arlamentets</w:t>
      </w:r>
      <w:r w:rsidR="002918EF" w:rsidRPr="00E4548D">
        <w:rPr>
          <w:szCs w:val="24"/>
          <w:lang w:eastAsia="sv-SE"/>
        </w:rPr>
        <w:t xml:space="preserve"> ökningar </w:t>
      </w:r>
      <w:r w:rsidR="001815B9" w:rsidRPr="00E4548D">
        <w:rPr>
          <w:szCs w:val="24"/>
          <w:lang w:eastAsia="sv-SE"/>
        </w:rPr>
        <w:t xml:space="preserve">ingår bl.a. ökade </w:t>
      </w:r>
      <w:r w:rsidR="002918EF" w:rsidRPr="00E4548D">
        <w:rPr>
          <w:szCs w:val="24"/>
          <w:lang w:eastAsia="sv-SE"/>
        </w:rPr>
        <w:t>betalningsanslag</w:t>
      </w:r>
      <w:r w:rsidR="001815B9" w:rsidRPr="00E4548D">
        <w:rPr>
          <w:szCs w:val="24"/>
          <w:lang w:eastAsia="sv-SE"/>
        </w:rPr>
        <w:t xml:space="preserve"> </w:t>
      </w:r>
      <w:r w:rsidRPr="00E4548D">
        <w:rPr>
          <w:szCs w:val="24"/>
          <w:lang w:eastAsia="sv-SE"/>
        </w:rPr>
        <w:t xml:space="preserve">till </w:t>
      </w:r>
      <w:r w:rsidR="00B54D30" w:rsidRPr="00E4548D">
        <w:rPr>
          <w:szCs w:val="24"/>
          <w:lang w:eastAsia="sv-SE"/>
        </w:rPr>
        <w:t xml:space="preserve">politiken för konkurrenskraft (1,99 miljarder euro) </w:t>
      </w:r>
      <w:r w:rsidR="000D55C5" w:rsidRPr="00E4548D">
        <w:rPr>
          <w:szCs w:val="24"/>
          <w:lang w:eastAsia="sv-SE"/>
        </w:rPr>
        <w:t>samma</w:t>
      </w:r>
      <w:r w:rsidR="00B066F8" w:rsidRPr="00E4548D">
        <w:rPr>
          <w:szCs w:val="24"/>
          <w:lang w:eastAsia="sv-SE"/>
        </w:rPr>
        <w:t>nhållningspolitiken (</w:t>
      </w:r>
      <w:r w:rsidR="00554958" w:rsidRPr="00E4548D">
        <w:rPr>
          <w:szCs w:val="24"/>
          <w:lang w:eastAsia="sv-SE"/>
        </w:rPr>
        <w:t>2,76</w:t>
      </w:r>
      <w:r w:rsidR="000D55C5" w:rsidRPr="00E4548D">
        <w:rPr>
          <w:szCs w:val="24"/>
          <w:lang w:eastAsia="sv-SE"/>
        </w:rPr>
        <w:t xml:space="preserve"> miljarde</w:t>
      </w:r>
      <w:r w:rsidR="00B066F8" w:rsidRPr="00E4548D">
        <w:rPr>
          <w:szCs w:val="24"/>
          <w:lang w:eastAsia="sv-SE"/>
        </w:rPr>
        <w:t>r euro), jordbrukspolitiken (</w:t>
      </w:r>
      <w:r w:rsidR="00554958" w:rsidRPr="00E4548D">
        <w:rPr>
          <w:szCs w:val="24"/>
          <w:lang w:eastAsia="sv-SE"/>
        </w:rPr>
        <w:t>1,38</w:t>
      </w:r>
      <w:r w:rsidR="000D55C5" w:rsidRPr="00E4548D">
        <w:rPr>
          <w:szCs w:val="24"/>
          <w:lang w:eastAsia="sv-SE"/>
        </w:rPr>
        <w:t xml:space="preserve"> miljarder euro)</w:t>
      </w:r>
      <w:r w:rsidR="00B54D30" w:rsidRPr="00E4548D">
        <w:rPr>
          <w:szCs w:val="24"/>
          <w:lang w:eastAsia="sv-SE"/>
        </w:rPr>
        <w:t xml:space="preserve"> och EU som global aktör (</w:t>
      </w:r>
      <w:r w:rsidR="00E73B95" w:rsidRPr="00E4548D">
        <w:rPr>
          <w:szCs w:val="24"/>
          <w:lang w:eastAsia="sv-SE"/>
        </w:rPr>
        <w:t xml:space="preserve">0,67 miljarder </w:t>
      </w:r>
      <w:r w:rsidR="00B54D30" w:rsidRPr="00E4548D">
        <w:rPr>
          <w:szCs w:val="24"/>
          <w:lang w:eastAsia="sv-SE"/>
        </w:rPr>
        <w:t>euro)</w:t>
      </w:r>
      <w:r w:rsidR="00C02550" w:rsidRPr="00E4548D">
        <w:rPr>
          <w:szCs w:val="24"/>
          <w:lang w:eastAsia="sv-SE"/>
        </w:rPr>
        <w:t>.</w:t>
      </w:r>
      <w:r w:rsidR="004E139E" w:rsidRPr="00E4548D">
        <w:rPr>
          <w:szCs w:val="24"/>
          <w:lang w:eastAsia="sv-SE"/>
        </w:rPr>
        <w:t xml:space="preserve"> Vidare har </w:t>
      </w:r>
      <w:r w:rsidR="00614554" w:rsidRPr="00E4548D">
        <w:rPr>
          <w:szCs w:val="24"/>
          <w:lang w:eastAsia="sv-SE"/>
        </w:rPr>
        <w:t>p</w:t>
      </w:r>
      <w:r w:rsidR="00E73B95" w:rsidRPr="00E4548D">
        <w:rPr>
          <w:szCs w:val="24"/>
          <w:lang w:eastAsia="sv-SE"/>
        </w:rPr>
        <w:t>arlamentet</w:t>
      </w:r>
      <w:r w:rsidR="004E139E" w:rsidRPr="00E4548D">
        <w:rPr>
          <w:szCs w:val="24"/>
          <w:lang w:eastAsia="sv-SE"/>
        </w:rPr>
        <w:t xml:space="preserve"> föreslagit </w:t>
      </w:r>
      <w:r w:rsidR="00161168" w:rsidRPr="00E4548D">
        <w:rPr>
          <w:szCs w:val="24"/>
          <w:lang w:eastAsia="sv-SE"/>
        </w:rPr>
        <w:t>åtaganden</w:t>
      </w:r>
      <w:r w:rsidR="004E139E" w:rsidRPr="00E4548D">
        <w:rPr>
          <w:szCs w:val="24"/>
          <w:lang w:eastAsia="sv-SE"/>
        </w:rPr>
        <w:t xml:space="preserve"> på totalt </w:t>
      </w:r>
      <w:r w:rsidR="00B066F8" w:rsidRPr="00E4548D">
        <w:rPr>
          <w:szCs w:val="24"/>
          <w:lang w:eastAsia="sv-SE"/>
        </w:rPr>
        <w:t>1 980</w:t>
      </w:r>
      <w:r w:rsidR="004E139E" w:rsidRPr="00E4548D">
        <w:rPr>
          <w:szCs w:val="24"/>
          <w:lang w:eastAsia="sv-SE"/>
        </w:rPr>
        <w:t xml:space="preserve"> miljoner euro</w:t>
      </w:r>
      <w:r w:rsidR="00B066F8" w:rsidRPr="00E4548D">
        <w:rPr>
          <w:szCs w:val="24"/>
          <w:lang w:eastAsia="sv-SE"/>
        </w:rPr>
        <w:t xml:space="preserve"> för den </w:t>
      </w:r>
      <w:r w:rsidR="00614554" w:rsidRPr="00E4548D">
        <w:rPr>
          <w:szCs w:val="24"/>
          <w:lang w:eastAsia="sv-SE"/>
        </w:rPr>
        <w:t xml:space="preserve">Europeiska </w:t>
      </w:r>
      <w:r w:rsidR="00B066F8" w:rsidRPr="00E4548D">
        <w:rPr>
          <w:szCs w:val="24"/>
          <w:lang w:eastAsia="sv-SE"/>
        </w:rPr>
        <w:t>ekonomiska återhämtningsplanen</w:t>
      </w:r>
      <w:r w:rsidR="005036C1" w:rsidRPr="00E4548D">
        <w:rPr>
          <w:szCs w:val="24"/>
          <w:lang w:eastAsia="sv-SE"/>
        </w:rPr>
        <w:t>,</w:t>
      </w:r>
      <w:r w:rsidR="004E139E" w:rsidRPr="00E4548D">
        <w:rPr>
          <w:szCs w:val="24"/>
          <w:lang w:eastAsia="sv-SE"/>
        </w:rPr>
        <w:t xml:space="preserve"> som inte ryms under taket för </w:t>
      </w:r>
      <w:r w:rsidR="00B066F8" w:rsidRPr="00E4548D">
        <w:rPr>
          <w:szCs w:val="24"/>
          <w:lang w:eastAsia="sv-SE"/>
        </w:rPr>
        <w:t>kategori</w:t>
      </w:r>
      <w:r w:rsidR="004E139E" w:rsidRPr="00E4548D">
        <w:rPr>
          <w:szCs w:val="24"/>
          <w:lang w:eastAsia="sv-SE"/>
        </w:rPr>
        <w:t xml:space="preserve"> </w:t>
      </w:r>
      <w:r w:rsidR="00B066F8" w:rsidRPr="00E4548D">
        <w:rPr>
          <w:szCs w:val="24"/>
          <w:lang w:eastAsia="sv-SE"/>
        </w:rPr>
        <w:t>1a</w:t>
      </w:r>
      <w:r w:rsidR="004E139E" w:rsidRPr="00E4548D">
        <w:rPr>
          <w:szCs w:val="24"/>
          <w:lang w:eastAsia="sv-SE"/>
        </w:rPr>
        <w:t>. För dessa behov krävs en alternativ lösning</w:t>
      </w:r>
      <w:r w:rsidR="00CC3CFA" w:rsidRPr="00E4548D">
        <w:rPr>
          <w:szCs w:val="24"/>
          <w:lang w:eastAsia="sv-SE"/>
        </w:rPr>
        <w:t>.</w:t>
      </w:r>
    </w:p>
    <w:p w:rsidR="00DB4498" w:rsidRPr="00E4548D" w:rsidRDefault="00DB4498" w:rsidP="00387246">
      <w:pPr>
        <w:pStyle w:val="RKrubrik"/>
      </w:pPr>
      <w:r w:rsidRPr="00E4548D">
        <w:t>Ändring</w:t>
      </w:r>
      <w:r w:rsidR="00114427" w:rsidRPr="00E4548D">
        <w:t>s</w:t>
      </w:r>
      <w:r w:rsidRPr="00E4548D">
        <w:t>skrivelse</w:t>
      </w:r>
      <w:r w:rsidR="00F835B7" w:rsidRPr="00E4548D">
        <w:t xml:space="preserve"> nr.1 och</w:t>
      </w:r>
      <w:r w:rsidRPr="00E4548D">
        <w:t xml:space="preserve"> 2 </w:t>
      </w:r>
      <w:r w:rsidR="00F835B7" w:rsidRPr="00E4548D">
        <w:t>samt</w:t>
      </w:r>
      <w:r w:rsidRPr="00E4548D">
        <w:t xml:space="preserve"> förslag till revidering av budgetramen</w:t>
      </w:r>
    </w:p>
    <w:p w:rsidR="00F835B7" w:rsidRPr="00E4548D" w:rsidRDefault="00F835B7" w:rsidP="00DB4498">
      <w:pPr>
        <w:pStyle w:val="RKnormal"/>
      </w:pPr>
      <w:r w:rsidRPr="00E4548D">
        <w:t xml:space="preserve">I Ändringsskrivelse nr. 1 från den 2 september föreslår </w:t>
      </w:r>
      <w:r w:rsidR="00614554" w:rsidRPr="00E4548D">
        <w:t>k</w:t>
      </w:r>
      <w:r w:rsidRPr="00E4548D">
        <w:t>ommissionen ytterligare 95 miljoner euro för återuppbyggnadsprocessen i Palestina, 50 miljoner euro för stöd till klimatanpassning och utsläppsminskningar för tredje länder och en ny budgetlinje (</w:t>
      </w:r>
      <w:r w:rsidRPr="00E4548D">
        <w:rPr>
          <w:i/>
        </w:rPr>
        <w:t>Bananas accompanying measures</w:t>
      </w:r>
      <w:r w:rsidRPr="00E4548D">
        <w:t xml:space="preserve">) för omstruktureringsstöd till bananexporterande länder. </w:t>
      </w:r>
    </w:p>
    <w:p w:rsidR="00114427" w:rsidRPr="00E4548D" w:rsidRDefault="00114427" w:rsidP="00DB4498">
      <w:pPr>
        <w:pStyle w:val="RKnormal"/>
      </w:pPr>
    </w:p>
    <w:p w:rsidR="00DB4498" w:rsidRPr="00E4548D" w:rsidRDefault="00DB4498" w:rsidP="00DB4498">
      <w:pPr>
        <w:pStyle w:val="RKnormal"/>
      </w:pPr>
      <w:r w:rsidRPr="00E4548D">
        <w:t>Kommissionen har den 27 november i Ändringsskrivelse</w:t>
      </w:r>
      <w:r w:rsidR="00114427" w:rsidRPr="00E4548D">
        <w:t xml:space="preserve"> nr.</w:t>
      </w:r>
      <w:r w:rsidRPr="00E4548D">
        <w:t xml:space="preserve"> 2 presenterat sitt förslag till finansiering av det andra steget i återhämtningsplanen. Ändringsskrivelsen omfattar även uppdateringar av prognoserna för jordbruksutgifterna</w:t>
      </w:r>
      <w:r w:rsidR="00C00AA5" w:rsidRPr="00E4548D">
        <w:t xml:space="preserve"> och förslag till ytterligare utgifter under 2010</w:t>
      </w:r>
      <w:r w:rsidRPr="00E4548D">
        <w:t>.</w:t>
      </w:r>
    </w:p>
    <w:p w:rsidR="00DB4498" w:rsidRPr="00E4548D" w:rsidRDefault="00DB4498" w:rsidP="00DB4498">
      <w:pPr>
        <w:pStyle w:val="RKnormal"/>
      </w:pPr>
    </w:p>
    <w:p w:rsidR="00C00AA5" w:rsidRPr="00E4548D" w:rsidRDefault="00C00AA5" w:rsidP="00C00AA5">
      <w:pPr>
        <w:pStyle w:val="RKnormal"/>
      </w:pPr>
      <w:r w:rsidRPr="00E4548D">
        <w:t xml:space="preserve">Ändringsskrivelsen åtföljs </w:t>
      </w:r>
      <w:r w:rsidR="00A2780F" w:rsidRPr="00E4548D">
        <w:t>av</w:t>
      </w:r>
      <w:r w:rsidRPr="00E4548D">
        <w:t xml:space="preserve"> ett förslag till revidering av budgetramen för att hantera finansieringsförslaget för återhä</w:t>
      </w:r>
      <w:r w:rsidR="00A2780F" w:rsidRPr="00E4548D">
        <w:t>mtningsplanen</w:t>
      </w:r>
      <w:r w:rsidRPr="00E4548D">
        <w:t xml:space="preserve">. </w:t>
      </w:r>
    </w:p>
    <w:p w:rsidR="00C00AA5" w:rsidRPr="00E4548D" w:rsidRDefault="00C00AA5" w:rsidP="00C00AA5">
      <w:pPr>
        <w:pStyle w:val="RKnormal"/>
      </w:pPr>
    </w:p>
    <w:p w:rsidR="00C00AA5" w:rsidRPr="00E4548D" w:rsidRDefault="00A2780F" w:rsidP="00DB4498">
      <w:pPr>
        <w:pStyle w:val="RKnormal"/>
      </w:pPr>
      <w:r w:rsidRPr="00E4548D">
        <w:t>F</w:t>
      </w:r>
      <w:r w:rsidR="00C00AA5" w:rsidRPr="00E4548D">
        <w:t>inansieringsförslag</w:t>
      </w:r>
      <w:r w:rsidRPr="00E4548D">
        <w:t>et</w:t>
      </w:r>
      <w:r w:rsidR="00C00AA5" w:rsidRPr="00E4548D">
        <w:t xml:space="preserve"> innebär att </w:t>
      </w:r>
      <w:r w:rsidR="00DB4498" w:rsidRPr="00E4548D">
        <w:t>1</w:t>
      </w:r>
      <w:r w:rsidR="00AA759F" w:rsidRPr="00E4548D">
        <w:t>,</w:t>
      </w:r>
      <w:r w:rsidR="00DB4498" w:rsidRPr="00E4548D">
        <w:t>587 milj</w:t>
      </w:r>
      <w:r w:rsidR="00AA759F" w:rsidRPr="00E4548D">
        <w:t>arder euro</w:t>
      </w:r>
      <w:r w:rsidR="00DB4498" w:rsidRPr="00E4548D">
        <w:t xml:space="preserve"> </w:t>
      </w:r>
      <w:r w:rsidR="00003890" w:rsidRPr="00E4548D">
        <w:t>för energiprojekt samt 420 mil</w:t>
      </w:r>
      <w:r w:rsidR="00D47505" w:rsidRPr="00E4548D">
        <w:t>j</w:t>
      </w:r>
      <w:r w:rsidR="00003890" w:rsidRPr="00E4548D">
        <w:t xml:space="preserve">oner euro för bl.a. bredband </w:t>
      </w:r>
      <w:r w:rsidR="00DB4498" w:rsidRPr="00E4548D">
        <w:t xml:space="preserve">av de totalt </w:t>
      </w:r>
      <w:r w:rsidR="00003890" w:rsidRPr="00E4548D">
        <w:t>2,4</w:t>
      </w:r>
      <w:r w:rsidR="00DB4498" w:rsidRPr="00E4548D">
        <w:t xml:space="preserve"> </w:t>
      </w:r>
      <w:r w:rsidR="00AA759F" w:rsidRPr="00E4548D">
        <w:t xml:space="preserve">miljarder euro </w:t>
      </w:r>
      <w:r w:rsidR="00DB4498" w:rsidRPr="00E4548D">
        <w:t xml:space="preserve">som ska göras tillgängliga i enlighet med överenskommelsen från </w:t>
      </w:r>
      <w:r w:rsidR="00114427" w:rsidRPr="00E4548D">
        <w:t xml:space="preserve">2 </w:t>
      </w:r>
      <w:r w:rsidR="00AA759F" w:rsidRPr="00E4548D">
        <w:t>april</w:t>
      </w:r>
      <w:r w:rsidR="00C00AA5" w:rsidRPr="00E4548D">
        <w:t xml:space="preserve"> frigörs genom att </w:t>
      </w:r>
      <w:r w:rsidR="00DB4498" w:rsidRPr="00E4548D">
        <w:t xml:space="preserve">outnyttjade medel </w:t>
      </w:r>
      <w:r w:rsidR="00114427" w:rsidRPr="00E4548D">
        <w:t xml:space="preserve">överförs </w:t>
      </w:r>
      <w:r w:rsidR="00DE371A" w:rsidRPr="00E4548D">
        <w:t xml:space="preserve">till rubrik 1 A </w:t>
      </w:r>
      <w:r w:rsidR="00DB4498" w:rsidRPr="00E4548D">
        <w:t xml:space="preserve">från marginalerna för jordbruksutgifter och administration under 2009 och från jordbruk, administration och sammanhållningspolitiken under 2010. </w:t>
      </w:r>
      <w:r w:rsidRPr="00E4548D">
        <w:t>Kommissionen har i förslaget inte lyckats finna f</w:t>
      </w:r>
      <w:r w:rsidR="00DB4498" w:rsidRPr="00E4548D">
        <w:t>inansiering</w:t>
      </w:r>
      <w:r w:rsidR="00AA759F" w:rsidRPr="00E4548D">
        <w:t xml:space="preserve"> för</w:t>
      </w:r>
      <w:r w:rsidR="00DB4498" w:rsidRPr="00E4548D">
        <w:t xml:space="preserve"> de återstående 393 </w:t>
      </w:r>
      <w:r w:rsidRPr="00E4548D">
        <w:t xml:space="preserve">miljoner euro utan föreslår att finansiering fortsatt ska </w:t>
      </w:r>
      <w:r w:rsidR="00DB4498" w:rsidRPr="00E4548D">
        <w:t xml:space="preserve">sökas under tiden fram till förlikningen med </w:t>
      </w:r>
      <w:r w:rsidRPr="00E4548D">
        <w:t>parlamentet</w:t>
      </w:r>
      <w:r w:rsidR="00DB4498" w:rsidRPr="00E4548D">
        <w:t xml:space="preserve"> den 19 november. </w:t>
      </w:r>
    </w:p>
    <w:p w:rsidR="00C00AA5" w:rsidRPr="00E4548D" w:rsidRDefault="00C00AA5" w:rsidP="00DB4498">
      <w:pPr>
        <w:pStyle w:val="RKnormal"/>
      </w:pPr>
    </w:p>
    <w:p w:rsidR="00DB4498" w:rsidRPr="00E4548D" w:rsidRDefault="00C00AA5" w:rsidP="00DB4498">
      <w:pPr>
        <w:pStyle w:val="RKnormal"/>
      </w:pPr>
      <w:r w:rsidRPr="00E4548D">
        <w:t xml:space="preserve">Utöver återhämtningsplanen föreslår </w:t>
      </w:r>
      <w:r w:rsidR="00614554" w:rsidRPr="00E4548D">
        <w:t>k</w:t>
      </w:r>
      <w:r w:rsidRPr="00E4548D">
        <w:t xml:space="preserve">ommissionen </w:t>
      </w:r>
      <w:r w:rsidR="00A2780F" w:rsidRPr="00E4548D">
        <w:t xml:space="preserve">i Ändringsskrivelse 2 </w:t>
      </w:r>
      <w:r w:rsidR="00AA759F" w:rsidRPr="00E4548D">
        <w:t xml:space="preserve">bl.a. </w:t>
      </w:r>
      <w:r w:rsidRPr="00E4548D">
        <w:t>ytterligare 75 miljoner euro för avvecklingen av det bulgariska kärnkraftsverket Kozloduy</w:t>
      </w:r>
      <w:r w:rsidR="00003890" w:rsidRPr="00E4548D">
        <w:t xml:space="preserve"> samt</w:t>
      </w:r>
      <w:r w:rsidR="00AA759F" w:rsidRPr="00E4548D">
        <w:t xml:space="preserve"> </w:t>
      </w:r>
      <w:r w:rsidR="00A2780F" w:rsidRPr="00E4548D">
        <w:t xml:space="preserve">280 miljoner euro för extraordinära åtgärder </w:t>
      </w:r>
      <w:r w:rsidR="00873572" w:rsidRPr="00E4548D">
        <w:t>inom</w:t>
      </w:r>
      <w:r w:rsidR="00A2780F" w:rsidRPr="00E4548D">
        <w:t xml:space="preserve"> mjölksektorn mot bakgrund av s</w:t>
      </w:r>
      <w:r w:rsidR="00DB4498" w:rsidRPr="00E4548D">
        <w:t>ituationen</w:t>
      </w:r>
      <w:r w:rsidR="00A2780F" w:rsidRPr="00E4548D">
        <w:t xml:space="preserve"> på mjölkmarknaden.</w:t>
      </w:r>
    </w:p>
    <w:p w:rsidR="00DB4498" w:rsidRPr="00E4548D" w:rsidRDefault="00DB4498" w:rsidP="00DB4498">
      <w:pPr>
        <w:pStyle w:val="RKnormal"/>
      </w:pPr>
    </w:p>
    <w:p w:rsidR="00DB4498" w:rsidRPr="00E4548D" w:rsidRDefault="00DB4498" w:rsidP="00DB4498">
      <w:pPr>
        <w:pStyle w:val="RKnormal"/>
      </w:pPr>
      <w:r w:rsidRPr="00E4548D">
        <w:t>Sammantaget innebär ändringsskrivelsen ökade åtagandeanslag med 2</w:t>
      </w:r>
      <w:r w:rsidR="00873572" w:rsidRPr="00E4548D">
        <w:t>,</w:t>
      </w:r>
      <w:r w:rsidRPr="00E4548D">
        <w:t>3</w:t>
      </w:r>
      <w:r w:rsidR="00873572" w:rsidRPr="00E4548D">
        <w:t xml:space="preserve"> miljarder</w:t>
      </w:r>
      <w:r w:rsidRPr="00E4548D">
        <w:t xml:space="preserve"> euro och ökade betalningsanslag med </w:t>
      </w:r>
      <w:r w:rsidR="00873572" w:rsidRPr="00E4548D">
        <w:t>0,</w:t>
      </w:r>
      <w:r w:rsidRPr="00E4548D">
        <w:t xml:space="preserve">6 </w:t>
      </w:r>
      <w:r w:rsidR="00614554" w:rsidRPr="00E4548D">
        <w:t>miljarder</w:t>
      </w:r>
      <w:r w:rsidR="002E6C60" w:rsidRPr="00E4548D">
        <w:t xml:space="preserve"> </w:t>
      </w:r>
      <w:r w:rsidRPr="00E4548D">
        <w:t>euro</w:t>
      </w:r>
      <w:r w:rsidRPr="00E4548D">
        <w:rPr>
          <w:color w:val="FF0000"/>
        </w:rPr>
        <w:t xml:space="preserve"> </w:t>
      </w:r>
      <w:r w:rsidRPr="00E4548D">
        <w:t xml:space="preserve">i förhållande till </w:t>
      </w:r>
      <w:r w:rsidR="00614554" w:rsidRPr="00E4548D">
        <w:t>k</w:t>
      </w:r>
      <w:r w:rsidRPr="00E4548D">
        <w:t xml:space="preserve">ommissionens preliminära budgetförslag </w:t>
      </w:r>
      <w:r w:rsidR="00AA759F" w:rsidRPr="00E4548D">
        <w:t>för 2010</w:t>
      </w:r>
      <w:r w:rsidRPr="00E4548D">
        <w:t>.</w:t>
      </w:r>
    </w:p>
    <w:p w:rsidR="00387246" w:rsidRPr="00E4548D" w:rsidRDefault="00387246" w:rsidP="00387246">
      <w:pPr>
        <w:pStyle w:val="RKrubrik"/>
      </w:pPr>
      <w:r w:rsidRPr="00E4548D">
        <w:t xml:space="preserve">Rådets andra läsning av budgeten för 2010 </w:t>
      </w:r>
    </w:p>
    <w:p w:rsidR="005853B9" w:rsidRPr="00E4548D" w:rsidRDefault="00E92B03" w:rsidP="00E92B03">
      <w:pPr>
        <w:pStyle w:val="RKnormal"/>
      </w:pPr>
      <w:r w:rsidRPr="00E4548D">
        <w:t xml:space="preserve">Det kompromissförslag som det svenska ordförandeskapet har förhandlat fram i budgetkommittén innebär en återgång till rådets första läsning </w:t>
      </w:r>
      <w:r w:rsidR="00901B4B" w:rsidRPr="00E4548D">
        <w:t xml:space="preserve">på </w:t>
      </w:r>
      <w:r w:rsidR="00114427" w:rsidRPr="00E4548D">
        <w:t>flertalet</w:t>
      </w:r>
      <w:r w:rsidR="00901B4B" w:rsidRPr="00E4548D">
        <w:t xml:space="preserve"> områden</w:t>
      </w:r>
      <w:r w:rsidRPr="00E4548D">
        <w:t xml:space="preserve">. </w:t>
      </w:r>
    </w:p>
    <w:p w:rsidR="00114427" w:rsidRPr="00E4548D" w:rsidRDefault="00114427" w:rsidP="00E92B03">
      <w:pPr>
        <w:pStyle w:val="RKnormal"/>
      </w:pPr>
    </w:p>
    <w:p w:rsidR="00114427" w:rsidRPr="00E4548D" w:rsidRDefault="00114427" w:rsidP="00E92B03">
      <w:pPr>
        <w:pStyle w:val="RKnormal"/>
      </w:pPr>
      <w:r w:rsidRPr="00E4548D">
        <w:t>Kompromissförslaget innehåller 95 miljoner euro för återuppbyggnad av Palestina i enlighet med Ändringsskrivelse nr. 1. För övriga åtgärder i ändringsskrivelsen ansåg rådet att beslutsprocessen befann sig i ett för tidigt skede för att kunna ta ställning.</w:t>
      </w:r>
    </w:p>
    <w:p w:rsidR="00901B4B" w:rsidRPr="00E4548D" w:rsidRDefault="00901B4B" w:rsidP="00E92B03">
      <w:pPr>
        <w:pStyle w:val="RKnormal"/>
      </w:pPr>
    </w:p>
    <w:p w:rsidR="00901B4B" w:rsidRPr="00E4548D" w:rsidRDefault="00901B4B" w:rsidP="00901B4B">
      <w:pPr>
        <w:pStyle w:val="RKnormal"/>
      </w:pPr>
      <w:r w:rsidRPr="00E4548D">
        <w:t>Utöver detta läggs finansiering</w:t>
      </w:r>
      <w:r w:rsidR="00AA759F" w:rsidRPr="00E4548D">
        <w:t>en</w:t>
      </w:r>
      <w:r w:rsidRPr="00E4548D">
        <w:t xml:space="preserve"> av det andra steget i återhämtningsplanen in </w:t>
      </w:r>
      <w:r w:rsidR="00114427" w:rsidRPr="00E4548D">
        <w:t xml:space="preserve">i enlighet </w:t>
      </w:r>
      <w:r w:rsidRPr="00E4548D">
        <w:t xml:space="preserve">med </w:t>
      </w:r>
      <w:r w:rsidR="00614554" w:rsidRPr="00E4548D">
        <w:t>k</w:t>
      </w:r>
      <w:r w:rsidRPr="00E4548D">
        <w:t xml:space="preserve">ommissionens finansieringsförslag </w:t>
      </w:r>
      <w:r w:rsidR="00AA759F" w:rsidRPr="00E4548D">
        <w:t>om</w:t>
      </w:r>
      <w:r w:rsidRPr="00E4548D">
        <w:t xml:space="preserve"> 1</w:t>
      </w:r>
      <w:r w:rsidR="00AA759F" w:rsidRPr="00E4548D">
        <w:t>,</w:t>
      </w:r>
      <w:r w:rsidRPr="00E4548D">
        <w:t>587 mil</w:t>
      </w:r>
      <w:r w:rsidR="00AA759F" w:rsidRPr="00E4548D">
        <w:t xml:space="preserve">jarder </w:t>
      </w:r>
      <w:r w:rsidRPr="00E4548D">
        <w:t>euro</w:t>
      </w:r>
      <w:r w:rsidR="00003890" w:rsidRPr="00E4548D">
        <w:t xml:space="preserve"> för energiprojekt samt 420 miljoner för bredband</w:t>
      </w:r>
      <w:r w:rsidRPr="00E4548D">
        <w:t xml:space="preserve">. Finansieringen av de återstående 393 </w:t>
      </w:r>
      <w:r w:rsidR="00AA759F" w:rsidRPr="00E4548D">
        <w:t xml:space="preserve">miljoner euro </w:t>
      </w:r>
      <w:r w:rsidRPr="00E4548D">
        <w:t xml:space="preserve">kommer att fortsätta sökas under tiden fram till förlikningen med </w:t>
      </w:r>
      <w:r w:rsidR="00614554" w:rsidRPr="00E4548D">
        <w:t>p</w:t>
      </w:r>
      <w:r w:rsidR="00AA759F" w:rsidRPr="00E4548D">
        <w:t>arlamentet</w:t>
      </w:r>
      <w:r w:rsidRPr="00E4548D">
        <w:t xml:space="preserve"> den 19 november. </w:t>
      </w:r>
      <w:r w:rsidR="002E6C60" w:rsidRPr="00E4548D">
        <w:t xml:space="preserve">Rådet </w:t>
      </w:r>
      <w:r w:rsidR="00AA759F" w:rsidRPr="00E4548D">
        <w:t xml:space="preserve">har även enats </w:t>
      </w:r>
      <w:r w:rsidRPr="00E4548D">
        <w:t>om</w:t>
      </w:r>
      <w:r w:rsidR="00AA759F" w:rsidRPr="00E4548D">
        <w:t xml:space="preserve"> en</w:t>
      </w:r>
      <w:r w:rsidRPr="00E4548D">
        <w:t xml:space="preserve"> deklaration där rådet </w:t>
      </w:r>
      <w:r w:rsidR="00AA759F" w:rsidRPr="00E4548D">
        <w:t>uttalar</w:t>
      </w:r>
      <w:r w:rsidRPr="00E4548D">
        <w:t xml:space="preserve"> sin avsikt att finansiera återhämtningsplanen fullt ut i budgeten för 2010.</w:t>
      </w:r>
    </w:p>
    <w:p w:rsidR="005853B9" w:rsidRPr="00E4548D" w:rsidRDefault="005853B9" w:rsidP="00E92B03">
      <w:pPr>
        <w:pStyle w:val="RKnormal"/>
      </w:pPr>
    </w:p>
    <w:p w:rsidR="005853B9" w:rsidRPr="00E4548D" w:rsidRDefault="00901B4B" w:rsidP="005853B9">
      <w:pPr>
        <w:pStyle w:val="RKnormal"/>
      </w:pPr>
      <w:r w:rsidRPr="00E4548D">
        <w:t xml:space="preserve">I kompromissförslaget ingår även ökningar på åtagandeanslagen i förhållande till rådets första läsning </w:t>
      </w:r>
      <w:r w:rsidR="005853B9" w:rsidRPr="00E4548D">
        <w:t>till stöd för avveckling av Kozloduy med 75 miljoner euro, stöd till mjö</w:t>
      </w:r>
      <w:r w:rsidR="00AA759F" w:rsidRPr="00E4548D">
        <w:t xml:space="preserve">lksektorn med 280 miljoner euro, </w:t>
      </w:r>
      <w:r w:rsidR="005853B9" w:rsidRPr="00E4548D">
        <w:rPr>
          <w:rFonts w:cs="OrigGarmnd BT"/>
          <w:color w:val="000000"/>
          <w:szCs w:val="24"/>
          <w:lang w:eastAsia="sv-SE"/>
        </w:rPr>
        <w:t>1</w:t>
      </w:r>
      <w:r w:rsidR="005853B9" w:rsidRPr="00E4548D">
        <w:t xml:space="preserve">7 miljoner euro för </w:t>
      </w:r>
      <w:r w:rsidR="00614554" w:rsidRPr="00E4548D">
        <w:t>p</w:t>
      </w:r>
      <w:r w:rsidR="00AA759F" w:rsidRPr="00E4548D">
        <w:t>arlamentets</w:t>
      </w:r>
      <w:r w:rsidR="005853B9" w:rsidRPr="00E4548D">
        <w:t xml:space="preserve"> administration</w:t>
      </w:r>
      <w:r w:rsidRPr="00E4548D">
        <w:t xml:space="preserve">, samt smärre justeringar av jordbruksutgifterna med utgångspunkt från Ändringsskrivelse 2. </w:t>
      </w:r>
      <w:r w:rsidR="005853B9" w:rsidRPr="00E4548D">
        <w:t xml:space="preserve">Rådet har </w:t>
      </w:r>
      <w:r w:rsidR="00114427" w:rsidRPr="00E4548D">
        <w:t xml:space="preserve">som en kompromiss med parlamentet </w:t>
      </w:r>
      <w:r w:rsidR="005853B9" w:rsidRPr="00E4548D">
        <w:t>även accepterat ytterligare 21 miljoner inom admini</w:t>
      </w:r>
      <w:r w:rsidRPr="00E4548D">
        <w:t xml:space="preserve">strationen </w:t>
      </w:r>
      <w:r w:rsidR="00003890" w:rsidRPr="00E4548D">
        <w:t xml:space="preserve">där </w:t>
      </w:r>
      <w:r w:rsidR="00614554" w:rsidRPr="00E4548D">
        <w:t>parlamentet</w:t>
      </w:r>
      <w:r w:rsidR="00003890" w:rsidRPr="00E4548D">
        <w:t xml:space="preserve"> har gjort neddragningar jämfört med </w:t>
      </w:r>
      <w:r w:rsidR="00614554" w:rsidRPr="00E4548D">
        <w:t>k</w:t>
      </w:r>
      <w:r w:rsidR="00003890" w:rsidRPr="00E4548D">
        <w:t>ommissionens förslag</w:t>
      </w:r>
      <w:r w:rsidRPr="00E4548D">
        <w:t xml:space="preserve">. Dessa </w:t>
      </w:r>
      <w:r w:rsidR="00341B1A" w:rsidRPr="00E4548D">
        <w:t>utgifter</w:t>
      </w:r>
      <w:r w:rsidRPr="00E4548D">
        <w:t xml:space="preserve"> låses därmed vilket säkrar ytterligare </w:t>
      </w:r>
      <w:r w:rsidR="005853B9" w:rsidRPr="00E4548D">
        <w:t>finansiering för återhämtningsplanen.</w:t>
      </w:r>
    </w:p>
    <w:p w:rsidR="00873572" w:rsidRPr="00E4548D" w:rsidRDefault="00873572" w:rsidP="00873572">
      <w:pPr>
        <w:pStyle w:val="RKnormal"/>
      </w:pPr>
    </w:p>
    <w:p w:rsidR="00873572" w:rsidRPr="00E4548D" w:rsidRDefault="00873572" w:rsidP="00873572">
      <w:pPr>
        <w:pStyle w:val="RKnormal"/>
      </w:pPr>
      <w:r w:rsidRPr="00E4548D">
        <w:t xml:space="preserve">I förhållande till </w:t>
      </w:r>
      <w:r w:rsidR="00614554" w:rsidRPr="00E4548D">
        <w:t>p</w:t>
      </w:r>
      <w:r w:rsidRPr="00E4548D">
        <w:t>arlamentets förslag innebär förslaget till rådets andra läsning en minskning med 1,</w:t>
      </w:r>
      <w:r w:rsidR="006F3E7C" w:rsidRPr="00E4548D">
        <w:t>2</w:t>
      </w:r>
      <w:r w:rsidRPr="00E4548D">
        <w:t xml:space="preserve"> miljarder euro </w:t>
      </w:r>
      <w:r w:rsidR="00B13A25" w:rsidRPr="00E4548D">
        <w:t xml:space="preserve">för åtagandebemyndiganden </w:t>
      </w:r>
      <w:r w:rsidRPr="00E4548D">
        <w:t>och 6 miljarder euro</w:t>
      </w:r>
      <w:r w:rsidR="00B13A25" w:rsidRPr="00E4548D">
        <w:t xml:space="preserve"> för betalningsbemyndiganden</w:t>
      </w:r>
      <w:r w:rsidRPr="00E4548D">
        <w:t xml:space="preserve">. </w:t>
      </w:r>
    </w:p>
    <w:p w:rsidR="007456CA" w:rsidRPr="00E4548D" w:rsidRDefault="007456CA">
      <w:pPr>
        <w:pStyle w:val="RKnormal"/>
      </w:pPr>
    </w:p>
    <w:p w:rsidR="00C35AF2" w:rsidRPr="00E4548D" w:rsidRDefault="00C35AF2" w:rsidP="00C35AF2">
      <w:pPr>
        <w:pStyle w:val="Rubrik2"/>
        <w:tabs>
          <w:tab w:val="left" w:pos="1560"/>
        </w:tabs>
      </w:pPr>
      <w:r w:rsidRPr="00E4548D">
        <w:t xml:space="preserve">Sveriges roll och ansats som ordförande i arbetet med EU:s årsbudget </w:t>
      </w:r>
    </w:p>
    <w:p w:rsidR="00C35AF2" w:rsidRPr="00E4548D" w:rsidRDefault="00C35AF2" w:rsidP="00C35AF2">
      <w:pPr>
        <w:pStyle w:val="RKnormal"/>
      </w:pPr>
      <w:r w:rsidRPr="00E4548D">
        <w:t>Det svenska ordförandeskapets uppgift inför årsbudgeten 2010 är att verka för en effektiv och återhållsam budgetpolitik inom EU. Vi ska även verka för en ändamålsenlig och kostnadseffektiv användning av EU:s medel och att närhetsprincipen ska tillämpas på budgetområdet. Målet om en strikt budgetdisciplin innebär att verka för en begränsning av EU:s utgifter inom ramen för den fleråriga budgetramen och därmed den svenska avgiften till EU. Nya utgifter ska finansieras genom omprioriteringar inom respektive utgiftsrubrik.</w:t>
      </w:r>
    </w:p>
    <w:p w:rsidR="00C35AF2" w:rsidRPr="00E4548D" w:rsidRDefault="00C35AF2" w:rsidP="00C35AF2">
      <w:pPr>
        <w:pStyle w:val="RKnormal"/>
      </w:pPr>
    </w:p>
    <w:p w:rsidR="00C35AF2" w:rsidRPr="00E4548D" w:rsidRDefault="00C35AF2" w:rsidP="00C35AF2">
      <w:pPr>
        <w:pStyle w:val="RKnormal"/>
      </w:pPr>
      <w:r w:rsidRPr="00E4548D">
        <w:t>Målsättningen för det svenska ordförandeskapet är att nå en överenskommelse om årsbudgeten 2010 vid förlikningsmötet i samband med Ekofinrådets möte den 19 november 2009. Som ordförande måste Sverige ha den flexibilitet och det utrymme som krävs för att få till stånd en överenskommelse, och slutresultatet kommer framför allt att bero på de ståndpunkter som övriga medlemsländer och Europaparlamentet för fram. Ambitionen är dock att årsbudgeten 2010 ska grundas på principerna om sund ekonomisk förvaltning och budgetdisciplin samt att den håller sig inom den totala budgetramen 2007-2013.</w:t>
      </w:r>
    </w:p>
    <w:p w:rsidR="00C35AF2" w:rsidRPr="00E4548D" w:rsidRDefault="00C35AF2">
      <w:pPr>
        <w:pStyle w:val="RKnormal"/>
      </w:pPr>
    </w:p>
    <w:p w:rsidR="007456CA" w:rsidRPr="00E4548D" w:rsidRDefault="00C35AF2">
      <w:pPr>
        <w:pStyle w:val="RKnormal"/>
      </w:pPr>
      <w:r w:rsidRPr="00E4548D">
        <w:t>Tabell 1</w:t>
      </w:r>
      <w:r w:rsidR="00387246" w:rsidRPr="00E4548D">
        <w:t xml:space="preserve"> nedan sammanfattar kommissionens förslag samt rådets och </w:t>
      </w:r>
      <w:r w:rsidR="00901B4B" w:rsidRPr="00E4548D">
        <w:t>Europaparlamentets</w:t>
      </w:r>
      <w:r w:rsidR="00387246" w:rsidRPr="00E4548D">
        <w:t xml:space="preserve"> första läsning.</w:t>
      </w:r>
    </w:p>
    <w:p w:rsidR="007456CA" w:rsidRPr="00E4548D" w:rsidRDefault="007456CA">
      <w:pPr>
        <w:pStyle w:val="RKnormal"/>
      </w:pPr>
    </w:p>
    <w:p w:rsidR="007456CA" w:rsidRPr="00E4548D" w:rsidRDefault="007456CA">
      <w:pPr>
        <w:pStyle w:val="RKnormal"/>
        <w:sectPr w:rsidR="007456CA" w:rsidRPr="00E4548D" w:rsidSect="004D03D4">
          <w:headerReference w:type="even" r:id="rId7"/>
          <w:headerReference w:type="default" r:id="rId8"/>
          <w:headerReference w:type="first" r:id="rId9"/>
          <w:footnotePr>
            <w:numFmt w:val="lowerLetter"/>
          </w:footnotePr>
          <w:type w:val="continuous"/>
          <w:pgSz w:w="11907" w:h="16840" w:code="9"/>
          <w:pgMar w:top="567" w:right="1701" w:bottom="284" w:left="2835" w:header="709" w:footer="539" w:gutter="0"/>
          <w:cols w:space="720"/>
          <w:formProt w:val="0"/>
          <w:titlePg/>
        </w:sectPr>
      </w:pPr>
    </w:p>
    <w:p w:rsidR="007456CA" w:rsidRPr="00E4548D" w:rsidRDefault="00C35AF2" w:rsidP="00C35AF2">
      <w:pPr>
        <w:pStyle w:val="RKnormal"/>
        <w:ind w:left="851"/>
      </w:pPr>
      <w:r w:rsidRPr="00E4548D">
        <w:rPr>
          <w:b/>
        </w:rPr>
        <w:t xml:space="preserve">Tabell 1: </w:t>
      </w:r>
      <w:r w:rsidR="00036DB4" w:rsidRPr="00E4548D">
        <w:rPr>
          <w:b/>
        </w:rPr>
        <w:t>Sammanställning</w:t>
      </w:r>
      <w:r w:rsidR="00691979" w:rsidRPr="00E4548D">
        <w:rPr>
          <w:b/>
        </w:rPr>
        <w:t xml:space="preserve"> av</w:t>
      </w:r>
      <w:r w:rsidR="00036DB4" w:rsidRPr="00E4548D">
        <w:rPr>
          <w:b/>
        </w:rPr>
        <w:t xml:space="preserve"> rådets och Europaparlamentets läsningar av budgetförslaget för 2010</w:t>
      </w:r>
    </w:p>
    <w:p w:rsidR="007456CA" w:rsidRPr="00E4548D" w:rsidRDefault="007456CA">
      <w:pPr>
        <w:pStyle w:val="RKnormal"/>
      </w:pPr>
    </w:p>
    <w:p w:rsidR="001425DA" w:rsidRPr="00E4548D" w:rsidRDefault="00E4548D">
      <w:pPr>
        <w:pStyle w:val="RKnormal"/>
      </w:pPr>
      <w:r w:rsidRPr="00E4548D">
        <w:rPr>
          <w:noProof/>
          <w:lang w:eastAsia="sv-SE"/>
        </w:rPr>
        <mc:AlternateContent>
          <mc:Choice Requires="wps">
            <w:drawing>
              <wp:anchor distT="0" distB="0" distL="114300" distR="114300" simplePos="0" relativeHeight="251657728" behindDoc="0" locked="0" layoutInCell="1" allowOverlap="1">
                <wp:simplePos x="0" y="0"/>
                <wp:positionH relativeFrom="column">
                  <wp:posOffset>367030</wp:posOffset>
                </wp:positionH>
                <wp:positionV relativeFrom="paragraph">
                  <wp:posOffset>-635</wp:posOffset>
                </wp:positionV>
                <wp:extent cx="9525000" cy="5231765"/>
                <wp:effectExtent l="0" t="0" r="0" b="0"/>
                <wp:wrapNone/>
                <wp:docPr id="16005247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0" cy="523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505" w:rsidRPr="00E4548D" w:rsidRDefault="00D47505" w:rsidP="007456CA"/>
                          <w:tbl>
                            <w:tblPr>
                              <w:tblW w:w="14480" w:type="dxa"/>
                              <w:tblInd w:w="60" w:type="dxa"/>
                              <w:tblCellMar>
                                <w:left w:w="70" w:type="dxa"/>
                                <w:right w:w="70" w:type="dxa"/>
                              </w:tblCellMar>
                              <w:tblLook w:val="0000" w:firstRow="0" w:lastRow="0" w:firstColumn="0" w:lastColumn="0" w:noHBand="0" w:noVBand="0"/>
                            </w:tblPr>
                            <w:tblGrid>
                              <w:gridCol w:w="2740"/>
                              <w:gridCol w:w="1000"/>
                              <w:gridCol w:w="1000"/>
                              <w:gridCol w:w="1060"/>
                              <w:gridCol w:w="1060"/>
                              <w:gridCol w:w="960"/>
                              <w:gridCol w:w="920"/>
                              <w:gridCol w:w="1280"/>
                              <w:gridCol w:w="1060"/>
                              <w:gridCol w:w="1060"/>
                              <w:gridCol w:w="1360"/>
                              <w:gridCol w:w="980"/>
                            </w:tblGrid>
                            <w:tr w:rsidR="0086466D" w:rsidRPr="00E4548D" w:rsidTr="0086466D">
                              <w:trPr>
                                <w:trHeight w:val="510"/>
                              </w:trPr>
                              <w:tc>
                                <w:tcPr>
                                  <w:tcW w:w="2740" w:type="dxa"/>
                                  <w:tcBorders>
                                    <w:top w:val="single" w:sz="8" w:space="0" w:color="auto"/>
                                    <w:left w:val="single" w:sz="8" w:space="0" w:color="auto"/>
                                    <w:bottom w:val="nil"/>
                                    <w:right w:val="single" w:sz="8" w:space="0" w:color="auto"/>
                                  </w:tcBorders>
                                </w:tcPr>
                                <w:p w:rsidR="0086466D" w:rsidRPr="00E4548D" w:rsidRDefault="0086466D" w:rsidP="0086466D">
                                  <w:pPr>
                                    <w:overflowPunct/>
                                    <w:autoSpaceDE/>
                                    <w:autoSpaceDN/>
                                    <w:adjustRightInd/>
                                    <w:spacing w:line="240" w:lineRule="auto"/>
                                    <w:textAlignment w:val="auto"/>
                                    <w:rPr>
                                      <w:rFonts w:ascii="Arial" w:hAnsi="Arial" w:cs="Arial"/>
                                      <w:b/>
                                      <w:bCs/>
                                      <w:sz w:val="20"/>
                                      <w:lang w:eastAsia="sv-SE"/>
                                    </w:rPr>
                                  </w:pPr>
                                  <w:r w:rsidRPr="00E4548D">
                                    <w:rPr>
                                      <w:rFonts w:ascii="Arial" w:hAnsi="Arial" w:cs="Arial"/>
                                      <w:b/>
                                      <w:bCs/>
                                      <w:sz w:val="20"/>
                                      <w:lang w:eastAsia="sv-SE"/>
                                    </w:rPr>
                                    <w:t>Rubrik</w:t>
                                  </w:r>
                                </w:p>
                              </w:tc>
                              <w:tc>
                                <w:tcPr>
                                  <w:tcW w:w="2000" w:type="dxa"/>
                                  <w:gridSpan w:val="2"/>
                                  <w:tcBorders>
                                    <w:top w:val="single" w:sz="8" w:space="0" w:color="auto"/>
                                    <w:left w:val="nil"/>
                                    <w:bottom w:val="single" w:sz="8" w:space="0" w:color="auto"/>
                                    <w:right w:val="single" w:sz="8" w:space="0" w:color="000000"/>
                                  </w:tcBorders>
                                </w:tcPr>
                                <w:p w:rsidR="0086466D" w:rsidRPr="00E4548D" w:rsidRDefault="0086466D" w:rsidP="0086466D">
                                  <w:pPr>
                                    <w:overflowPunct/>
                                    <w:autoSpaceDE/>
                                    <w:autoSpaceDN/>
                                    <w:adjustRightInd/>
                                    <w:spacing w:line="240" w:lineRule="auto"/>
                                    <w:textAlignment w:val="auto"/>
                                    <w:rPr>
                                      <w:rFonts w:ascii="Arial" w:hAnsi="Arial" w:cs="Arial"/>
                                      <w:b/>
                                      <w:bCs/>
                                      <w:sz w:val="18"/>
                                      <w:szCs w:val="18"/>
                                      <w:lang w:eastAsia="sv-SE"/>
                                    </w:rPr>
                                  </w:pPr>
                                  <w:r w:rsidRPr="00E4548D">
                                    <w:rPr>
                                      <w:rFonts w:ascii="Arial" w:hAnsi="Arial" w:cs="Arial"/>
                                      <w:b/>
                                      <w:bCs/>
                                      <w:sz w:val="18"/>
                                      <w:szCs w:val="18"/>
                                      <w:lang w:eastAsia="sv-SE"/>
                                    </w:rPr>
                                    <w:t xml:space="preserve">KOM förslag </w:t>
                                  </w:r>
                                  <w:r w:rsidRPr="00E4548D">
                                    <w:rPr>
                                      <w:rFonts w:ascii="Arial" w:hAnsi="Arial" w:cs="Arial"/>
                                      <w:sz w:val="16"/>
                                      <w:szCs w:val="16"/>
                                      <w:lang w:eastAsia="sv-SE"/>
                                    </w:rPr>
                                    <w:t>(1)</w:t>
                                  </w:r>
                                </w:p>
                              </w:tc>
                              <w:tc>
                                <w:tcPr>
                                  <w:tcW w:w="2120" w:type="dxa"/>
                                  <w:gridSpan w:val="2"/>
                                  <w:tcBorders>
                                    <w:top w:val="single" w:sz="8" w:space="0" w:color="auto"/>
                                    <w:left w:val="nil"/>
                                    <w:bottom w:val="single" w:sz="8" w:space="0" w:color="auto"/>
                                    <w:right w:val="single" w:sz="8" w:space="0" w:color="000000"/>
                                  </w:tcBorders>
                                </w:tcPr>
                                <w:p w:rsidR="0086466D" w:rsidRPr="00E4548D" w:rsidRDefault="0086466D" w:rsidP="0086466D">
                                  <w:pPr>
                                    <w:overflowPunct/>
                                    <w:autoSpaceDE/>
                                    <w:autoSpaceDN/>
                                    <w:adjustRightInd/>
                                    <w:spacing w:line="240" w:lineRule="auto"/>
                                    <w:textAlignment w:val="auto"/>
                                    <w:rPr>
                                      <w:rFonts w:ascii="Arial" w:hAnsi="Arial" w:cs="Arial"/>
                                      <w:b/>
                                      <w:bCs/>
                                      <w:sz w:val="18"/>
                                      <w:szCs w:val="18"/>
                                      <w:lang w:eastAsia="sv-SE"/>
                                    </w:rPr>
                                  </w:pPr>
                                  <w:r w:rsidRPr="00E4548D">
                                    <w:rPr>
                                      <w:rFonts w:ascii="Arial" w:hAnsi="Arial" w:cs="Arial"/>
                                      <w:b/>
                                      <w:bCs/>
                                      <w:sz w:val="18"/>
                                      <w:szCs w:val="18"/>
                                      <w:lang w:eastAsia="sv-SE"/>
                                    </w:rPr>
                                    <w:t>Rådets 1:a läsning</w:t>
                                  </w:r>
                                  <w:r w:rsidRPr="00E4548D">
                                    <w:rPr>
                                      <w:rFonts w:ascii="Arial" w:hAnsi="Arial" w:cs="Arial"/>
                                      <w:sz w:val="18"/>
                                      <w:szCs w:val="18"/>
                                      <w:lang w:eastAsia="sv-SE"/>
                                    </w:rPr>
                                    <w:t>(</w:t>
                                  </w:r>
                                  <w:r w:rsidRPr="00E4548D">
                                    <w:rPr>
                                      <w:rFonts w:ascii="Arial" w:hAnsi="Arial" w:cs="Arial"/>
                                      <w:sz w:val="16"/>
                                      <w:szCs w:val="16"/>
                                      <w:lang w:eastAsia="sv-SE"/>
                                    </w:rPr>
                                    <w:t>1)</w:t>
                                  </w:r>
                                </w:p>
                              </w:tc>
                              <w:tc>
                                <w:tcPr>
                                  <w:tcW w:w="1880" w:type="dxa"/>
                                  <w:gridSpan w:val="2"/>
                                  <w:tcBorders>
                                    <w:top w:val="single" w:sz="8" w:space="0" w:color="auto"/>
                                    <w:left w:val="nil"/>
                                    <w:bottom w:val="single" w:sz="8" w:space="0" w:color="auto"/>
                                    <w:right w:val="single" w:sz="8" w:space="0" w:color="000000"/>
                                  </w:tcBorders>
                                </w:tcPr>
                                <w:p w:rsidR="0086466D" w:rsidRPr="00E4548D" w:rsidRDefault="0086466D" w:rsidP="0086466D">
                                  <w:pPr>
                                    <w:overflowPunct/>
                                    <w:autoSpaceDE/>
                                    <w:autoSpaceDN/>
                                    <w:adjustRightInd/>
                                    <w:spacing w:line="240" w:lineRule="auto"/>
                                    <w:textAlignment w:val="auto"/>
                                    <w:rPr>
                                      <w:rFonts w:ascii="Arial" w:hAnsi="Arial" w:cs="Arial"/>
                                      <w:b/>
                                      <w:bCs/>
                                      <w:sz w:val="18"/>
                                      <w:szCs w:val="18"/>
                                      <w:lang w:eastAsia="sv-SE"/>
                                    </w:rPr>
                                  </w:pPr>
                                  <w:r w:rsidRPr="00E4548D">
                                    <w:rPr>
                                      <w:rFonts w:ascii="Arial" w:hAnsi="Arial" w:cs="Arial"/>
                                      <w:b/>
                                      <w:bCs/>
                                      <w:sz w:val="18"/>
                                      <w:szCs w:val="18"/>
                                      <w:lang w:eastAsia="sv-SE"/>
                                    </w:rPr>
                                    <w:t>EP:s 1:a läsning</w:t>
                                  </w:r>
                                  <w:r w:rsidRPr="00E4548D">
                                    <w:rPr>
                                      <w:rFonts w:ascii="Arial" w:hAnsi="Arial" w:cs="Arial"/>
                                      <w:sz w:val="16"/>
                                      <w:szCs w:val="16"/>
                                      <w:lang w:eastAsia="sv-SE"/>
                                    </w:rPr>
                                    <w:t>(2)</w:t>
                                  </w:r>
                                </w:p>
                              </w:tc>
                              <w:tc>
                                <w:tcPr>
                                  <w:tcW w:w="1280" w:type="dxa"/>
                                  <w:tcBorders>
                                    <w:top w:val="single" w:sz="8" w:space="0" w:color="auto"/>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textAlignment w:val="auto"/>
                                    <w:rPr>
                                      <w:rFonts w:ascii="Arial" w:hAnsi="Arial" w:cs="Arial"/>
                                      <w:b/>
                                      <w:bCs/>
                                      <w:sz w:val="18"/>
                                      <w:szCs w:val="18"/>
                                      <w:lang w:eastAsia="sv-SE"/>
                                    </w:rPr>
                                  </w:pPr>
                                  <w:r w:rsidRPr="00E4548D">
                                    <w:rPr>
                                      <w:rFonts w:ascii="Arial" w:hAnsi="Arial" w:cs="Arial"/>
                                      <w:b/>
                                      <w:bCs/>
                                      <w:sz w:val="18"/>
                                      <w:szCs w:val="18"/>
                                      <w:lang w:eastAsia="sv-SE"/>
                                    </w:rPr>
                                    <w:t>EP:s marginaler</w:t>
                                  </w:r>
                                  <w:r w:rsidRPr="00E4548D">
                                    <w:rPr>
                                      <w:rFonts w:ascii="Arial" w:hAnsi="Arial" w:cs="Arial"/>
                                      <w:sz w:val="16"/>
                                      <w:szCs w:val="16"/>
                                      <w:lang w:eastAsia="sv-SE"/>
                                    </w:rPr>
                                    <w:t>(3)</w:t>
                                  </w:r>
                                </w:p>
                              </w:tc>
                              <w:tc>
                                <w:tcPr>
                                  <w:tcW w:w="2120" w:type="dxa"/>
                                  <w:gridSpan w:val="2"/>
                                  <w:tcBorders>
                                    <w:top w:val="single" w:sz="8" w:space="0" w:color="auto"/>
                                    <w:left w:val="nil"/>
                                    <w:bottom w:val="single" w:sz="8" w:space="0" w:color="auto"/>
                                    <w:right w:val="single" w:sz="8" w:space="0" w:color="000000"/>
                                  </w:tcBorders>
                                </w:tcPr>
                                <w:p w:rsidR="0086466D" w:rsidRPr="00E4548D" w:rsidRDefault="0086466D" w:rsidP="0086466D">
                                  <w:pPr>
                                    <w:overflowPunct/>
                                    <w:autoSpaceDE/>
                                    <w:autoSpaceDN/>
                                    <w:adjustRightInd/>
                                    <w:spacing w:line="240" w:lineRule="auto"/>
                                    <w:textAlignment w:val="auto"/>
                                    <w:rPr>
                                      <w:rFonts w:ascii="Arial" w:hAnsi="Arial" w:cs="Arial"/>
                                      <w:b/>
                                      <w:bCs/>
                                      <w:sz w:val="18"/>
                                      <w:szCs w:val="18"/>
                                      <w:lang w:eastAsia="sv-SE"/>
                                    </w:rPr>
                                  </w:pPr>
                                  <w:r w:rsidRPr="00E4548D">
                                    <w:rPr>
                                      <w:rFonts w:ascii="Arial" w:hAnsi="Arial" w:cs="Arial"/>
                                      <w:b/>
                                      <w:bCs/>
                                      <w:sz w:val="18"/>
                                      <w:szCs w:val="18"/>
                                      <w:lang w:eastAsia="sv-SE"/>
                                    </w:rPr>
                                    <w:t>Kompromiss rådets 2:a läsning</w:t>
                                  </w:r>
                                </w:p>
                              </w:tc>
                              <w:tc>
                                <w:tcPr>
                                  <w:tcW w:w="2340" w:type="dxa"/>
                                  <w:gridSpan w:val="2"/>
                                  <w:tcBorders>
                                    <w:top w:val="single" w:sz="8" w:space="0" w:color="auto"/>
                                    <w:left w:val="nil"/>
                                    <w:bottom w:val="single" w:sz="8" w:space="0" w:color="auto"/>
                                    <w:right w:val="single" w:sz="8" w:space="0" w:color="000000"/>
                                  </w:tcBorders>
                                </w:tcPr>
                                <w:p w:rsidR="0086466D" w:rsidRPr="00E4548D" w:rsidRDefault="0086466D" w:rsidP="0086466D">
                                  <w:pPr>
                                    <w:overflowPunct/>
                                    <w:autoSpaceDE/>
                                    <w:autoSpaceDN/>
                                    <w:adjustRightInd/>
                                    <w:spacing w:line="240" w:lineRule="auto"/>
                                    <w:textAlignment w:val="auto"/>
                                    <w:rPr>
                                      <w:rFonts w:ascii="Arial" w:hAnsi="Arial" w:cs="Arial"/>
                                      <w:b/>
                                      <w:bCs/>
                                      <w:sz w:val="18"/>
                                      <w:szCs w:val="18"/>
                                      <w:lang w:eastAsia="sv-SE"/>
                                    </w:rPr>
                                  </w:pPr>
                                  <w:r w:rsidRPr="00E4548D">
                                    <w:rPr>
                                      <w:rFonts w:ascii="Arial" w:hAnsi="Arial" w:cs="Arial"/>
                                      <w:b/>
                                      <w:bCs/>
                                      <w:sz w:val="18"/>
                                      <w:szCs w:val="18"/>
                                      <w:lang w:eastAsia="sv-SE"/>
                                    </w:rPr>
                                    <w:t>Differens rådets 2:a mot EP:s 1:a</w:t>
                                  </w:r>
                                </w:p>
                              </w:tc>
                            </w:tr>
                            <w:tr w:rsidR="0086466D" w:rsidRPr="00E4548D" w:rsidTr="0086466D">
                              <w:trPr>
                                <w:trHeight w:val="270"/>
                              </w:trPr>
                              <w:tc>
                                <w:tcPr>
                                  <w:tcW w:w="2740" w:type="dxa"/>
                                  <w:tcBorders>
                                    <w:top w:val="nil"/>
                                    <w:left w:val="single" w:sz="8" w:space="0" w:color="auto"/>
                                    <w:bottom w:val="single" w:sz="8" w:space="0" w:color="auto"/>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i/>
                                      <w:iCs/>
                                      <w:sz w:val="18"/>
                                      <w:szCs w:val="18"/>
                                      <w:lang w:eastAsia="sv-SE"/>
                                    </w:rPr>
                                  </w:pPr>
                                  <w:r w:rsidRPr="00E4548D">
                                    <w:rPr>
                                      <w:rFonts w:ascii="Arial" w:hAnsi="Arial" w:cs="Arial"/>
                                      <w:i/>
                                      <w:iCs/>
                                      <w:sz w:val="18"/>
                                      <w:szCs w:val="18"/>
                                      <w:lang w:eastAsia="sv-SE"/>
                                    </w:rPr>
                                    <w:t xml:space="preserve"> (miljoner euro)</w:t>
                                  </w:r>
                                </w:p>
                              </w:tc>
                              <w:tc>
                                <w:tcPr>
                                  <w:tcW w:w="1000" w:type="dxa"/>
                                  <w:tcBorders>
                                    <w:top w:val="nil"/>
                                    <w:left w:val="nil"/>
                                    <w:bottom w:val="single" w:sz="8" w:space="0" w:color="auto"/>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sz w:val="16"/>
                                      <w:szCs w:val="16"/>
                                      <w:lang w:eastAsia="sv-SE"/>
                                    </w:rPr>
                                  </w:pPr>
                                  <w:r w:rsidRPr="00E4548D">
                                    <w:rPr>
                                      <w:rFonts w:ascii="Arial" w:hAnsi="Arial" w:cs="Arial"/>
                                      <w:sz w:val="16"/>
                                      <w:szCs w:val="16"/>
                                      <w:lang w:eastAsia="sv-SE"/>
                                    </w:rPr>
                                    <w:t>Åtaganden</w:t>
                                  </w:r>
                                </w:p>
                              </w:tc>
                              <w:tc>
                                <w:tcPr>
                                  <w:tcW w:w="1000" w:type="dxa"/>
                                  <w:tcBorders>
                                    <w:top w:val="nil"/>
                                    <w:left w:val="nil"/>
                                    <w:bottom w:val="single" w:sz="8" w:space="0" w:color="auto"/>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sz w:val="16"/>
                                      <w:szCs w:val="16"/>
                                      <w:lang w:eastAsia="sv-SE"/>
                                    </w:rPr>
                                  </w:pPr>
                                  <w:r w:rsidRPr="00E4548D">
                                    <w:rPr>
                                      <w:rFonts w:ascii="Arial" w:hAnsi="Arial" w:cs="Arial"/>
                                      <w:sz w:val="16"/>
                                      <w:szCs w:val="16"/>
                                      <w:lang w:eastAsia="sv-SE"/>
                                    </w:rPr>
                                    <w:t>Betalningar</w:t>
                                  </w:r>
                                </w:p>
                              </w:tc>
                              <w:tc>
                                <w:tcPr>
                                  <w:tcW w:w="1060" w:type="dxa"/>
                                  <w:tcBorders>
                                    <w:top w:val="nil"/>
                                    <w:left w:val="nil"/>
                                    <w:bottom w:val="single" w:sz="8" w:space="0" w:color="auto"/>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sz w:val="16"/>
                                      <w:szCs w:val="16"/>
                                      <w:lang w:eastAsia="sv-SE"/>
                                    </w:rPr>
                                  </w:pPr>
                                  <w:r w:rsidRPr="00E4548D">
                                    <w:rPr>
                                      <w:rFonts w:ascii="Arial" w:hAnsi="Arial" w:cs="Arial"/>
                                      <w:sz w:val="16"/>
                                      <w:szCs w:val="16"/>
                                      <w:lang w:eastAsia="sv-SE"/>
                                    </w:rPr>
                                    <w:t>Åtaganden</w:t>
                                  </w:r>
                                </w:p>
                              </w:tc>
                              <w:tc>
                                <w:tcPr>
                                  <w:tcW w:w="1060" w:type="dxa"/>
                                  <w:tcBorders>
                                    <w:top w:val="nil"/>
                                    <w:left w:val="nil"/>
                                    <w:bottom w:val="nil"/>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sz w:val="16"/>
                                      <w:szCs w:val="16"/>
                                      <w:lang w:eastAsia="sv-SE"/>
                                    </w:rPr>
                                  </w:pPr>
                                  <w:r w:rsidRPr="00E4548D">
                                    <w:rPr>
                                      <w:rFonts w:ascii="Arial" w:hAnsi="Arial" w:cs="Arial"/>
                                      <w:sz w:val="16"/>
                                      <w:szCs w:val="16"/>
                                      <w:lang w:eastAsia="sv-SE"/>
                                    </w:rPr>
                                    <w:t>Betalningar</w:t>
                                  </w:r>
                                </w:p>
                              </w:tc>
                              <w:tc>
                                <w:tcPr>
                                  <w:tcW w:w="960" w:type="dxa"/>
                                  <w:tcBorders>
                                    <w:top w:val="nil"/>
                                    <w:left w:val="nil"/>
                                    <w:bottom w:val="single" w:sz="8" w:space="0" w:color="auto"/>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sz w:val="16"/>
                                      <w:szCs w:val="16"/>
                                      <w:lang w:eastAsia="sv-SE"/>
                                    </w:rPr>
                                  </w:pPr>
                                  <w:r w:rsidRPr="00E4548D">
                                    <w:rPr>
                                      <w:rFonts w:ascii="Arial" w:hAnsi="Arial" w:cs="Arial"/>
                                      <w:sz w:val="16"/>
                                      <w:szCs w:val="16"/>
                                      <w:lang w:eastAsia="sv-SE"/>
                                    </w:rPr>
                                    <w:t>Åtaganden</w:t>
                                  </w:r>
                                </w:p>
                              </w:tc>
                              <w:tc>
                                <w:tcPr>
                                  <w:tcW w:w="920" w:type="dxa"/>
                                  <w:tcBorders>
                                    <w:top w:val="nil"/>
                                    <w:left w:val="nil"/>
                                    <w:bottom w:val="single" w:sz="8" w:space="0" w:color="auto"/>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sz w:val="16"/>
                                      <w:szCs w:val="16"/>
                                      <w:lang w:eastAsia="sv-SE"/>
                                    </w:rPr>
                                  </w:pPr>
                                  <w:r w:rsidRPr="00E4548D">
                                    <w:rPr>
                                      <w:rFonts w:ascii="Arial" w:hAnsi="Arial" w:cs="Arial"/>
                                      <w:sz w:val="16"/>
                                      <w:szCs w:val="16"/>
                                      <w:lang w:eastAsia="sv-SE"/>
                                    </w:rPr>
                                    <w:t>Betalningar</w:t>
                                  </w:r>
                                </w:p>
                              </w:tc>
                              <w:tc>
                                <w:tcPr>
                                  <w:tcW w:w="1280" w:type="dxa"/>
                                  <w:tcBorders>
                                    <w:top w:val="nil"/>
                                    <w:left w:val="nil"/>
                                    <w:bottom w:val="single" w:sz="8" w:space="0" w:color="auto"/>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sz w:val="16"/>
                                      <w:szCs w:val="16"/>
                                      <w:lang w:eastAsia="sv-SE"/>
                                    </w:rPr>
                                  </w:pPr>
                                  <w:r w:rsidRPr="00E4548D">
                                    <w:rPr>
                                      <w:rFonts w:ascii="Arial" w:hAnsi="Arial" w:cs="Arial"/>
                                      <w:sz w:val="16"/>
                                      <w:szCs w:val="16"/>
                                      <w:lang w:eastAsia="sv-SE"/>
                                    </w:rPr>
                                    <w:t>Åtaganden</w:t>
                                  </w:r>
                                </w:p>
                              </w:tc>
                              <w:tc>
                                <w:tcPr>
                                  <w:tcW w:w="1060" w:type="dxa"/>
                                  <w:tcBorders>
                                    <w:top w:val="nil"/>
                                    <w:left w:val="nil"/>
                                    <w:bottom w:val="single" w:sz="8" w:space="0" w:color="auto"/>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sz w:val="16"/>
                                      <w:szCs w:val="16"/>
                                      <w:lang w:eastAsia="sv-SE"/>
                                    </w:rPr>
                                  </w:pPr>
                                  <w:r w:rsidRPr="00E4548D">
                                    <w:rPr>
                                      <w:rFonts w:ascii="Arial" w:hAnsi="Arial" w:cs="Arial"/>
                                      <w:sz w:val="16"/>
                                      <w:szCs w:val="16"/>
                                      <w:lang w:eastAsia="sv-SE"/>
                                    </w:rPr>
                                    <w:t>Åtaganden</w:t>
                                  </w:r>
                                </w:p>
                              </w:tc>
                              <w:tc>
                                <w:tcPr>
                                  <w:tcW w:w="1060" w:type="dxa"/>
                                  <w:tcBorders>
                                    <w:top w:val="nil"/>
                                    <w:left w:val="nil"/>
                                    <w:bottom w:val="single" w:sz="8" w:space="0" w:color="auto"/>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sz w:val="16"/>
                                      <w:szCs w:val="16"/>
                                      <w:lang w:eastAsia="sv-SE"/>
                                    </w:rPr>
                                  </w:pPr>
                                  <w:r w:rsidRPr="00E4548D">
                                    <w:rPr>
                                      <w:rFonts w:ascii="Arial" w:hAnsi="Arial" w:cs="Arial"/>
                                      <w:sz w:val="16"/>
                                      <w:szCs w:val="16"/>
                                      <w:lang w:eastAsia="sv-SE"/>
                                    </w:rPr>
                                    <w:t>Betalningar</w:t>
                                  </w:r>
                                </w:p>
                              </w:tc>
                              <w:tc>
                                <w:tcPr>
                                  <w:tcW w:w="1360" w:type="dxa"/>
                                  <w:tcBorders>
                                    <w:top w:val="nil"/>
                                    <w:left w:val="nil"/>
                                    <w:bottom w:val="single" w:sz="8" w:space="0" w:color="auto"/>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sz w:val="16"/>
                                      <w:szCs w:val="16"/>
                                      <w:lang w:eastAsia="sv-SE"/>
                                    </w:rPr>
                                  </w:pPr>
                                  <w:r w:rsidRPr="00E4548D">
                                    <w:rPr>
                                      <w:rFonts w:ascii="Arial" w:hAnsi="Arial" w:cs="Arial"/>
                                      <w:sz w:val="16"/>
                                      <w:szCs w:val="16"/>
                                      <w:lang w:eastAsia="sv-SE"/>
                                    </w:rPr>
                                    <w:t>Åtaganden</w:t>
                                  </w:r>
                                </w:p>
                              </w:tc>
                              <w:tc>
                                <w:tcPr>
                                  <w:tcW w:w="980" w:type="dxa"/>
                                  <w:tcBorders>
                                    <w:top w:val="nil"/>
                                    <w:left w:val="nil"/>
                                    <w:bottom w:val="single" w:sz="8" w:space="0" w:color="auto"/>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sz w:val="16"/>
                                      <w:szCs w:val="16"/>
                                      <w:lang w:eastAsia="sv-SE"/>
                                    </w:rPr>
                                  </w:pPr>
                                  <w:r w:rsidRPr="00E4548D">
                                    <w:rPr>
                                      <w:rFonts w:ascii="Arial" w:hAnsi="Arial" w:cs="Arial"/>
                                      <w:sz w:val="16"/>
                                      <w:szCs w:val="16"/>
                                      <w:lang w:eastAsia="sv-SE"/>
                                    </w:rPr>
                                    <w:t>Betalningar</w:t>
                                  </w:r>
                                </w:p>
                              </w:tc>
                            </w:tr>
                            <w:tr w:rsidR="0086466D" w:rsidRPr="00E4548D" w:rsidTr="0086466D">
                              <w:trPr>
                                <w:trHeight w:val="495"/>
                              </w:trPr>
                              <w:tc>
                                <w:tcPr>
                                  <w:tcW w:w="2740" w:type="dxa"/>
                                  <w:tcBorders>
                                    <w:top w:val="nil"/>
                                    <w:left w:val="single" w:sz="8" w:space="0" w:color="auto"/>
                                    <w:bottom w:val="single" w:sz="8" w:space="0" w:color="auto"/>
                                    <w:right w:val="single" w:sz="8" w:space="0" w:color="auto"/>
                                  </w:tcBorders>
                                </w:tcPr>
                                <w:p w:rsidR="0086466D" w:rsidRPr="00E4548D" w:rsidRDefault="0086466D" w:rsidP="0086466D">
                                  <w:pPr>
                                    <w:overflowPunct/>
                                    <w:autoSpaceDE/>
                                    <w:autoSpaceDN/>
                                    <w:adjustRightInd/>
                                    <w:spacing w:line="240" w:lineRule="auto"/>
                                    <w:textAlignment w:val="auto"/>
                                    <w:rPr>
                                      <w:rFonts w:ascii="Arial" w:hAnsi="Arial" w:cs="Arial"/>
                                      <w:sz w:val="18"/>
                                      <w:szCs w:val="18"/>
                                      <w:lang w:eastAsia="sv-SE"/>
                                    </w:rPr>
                                  </w:pPr>
                                  <w:r w:rsidRPr="00E4548D">
                                    <w:rPr>
                                      <w:rFonts w:ascii="Arial" w:hAnsi="Arial" w:cs="Arial"/>
                                      <w:sz w:val="18"/>
                                      <w:szCs w:val="18"/>
                                      <w:lang w:eastAsia="sv-SE"/>
                                    </w:rPr>
                                    <w:t>1a. Konkurrenskraft för tillväxt och sysselsättning</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12 769</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10 982</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 xml:space="preserve">12 670 </w:t>
                                  </w:r>
                                </w:p>
                              </w:tc>
                              <w:tc>
                                <w:tcPr>
                                  <w:tcW w:w="1060" w:type="dxa"/>
                                  <w:tcBorders>
                                    <w:top w:val="single" w:sz="8" w:space="0" w:color="auto"/>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10 574</w:t>
                                  </w:r>
                                </w:p>
                              </w:tc>
                              <w:tc>
                                <w:tcPr>
                                  <w:tcW w:w="9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14 867</w:t>
                                  </w:r>
                                </w:p>
                              </w:tc>
                              <w:tc>
                                <w:tcPr>
                                  <w:tcW w:w="92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12 568</w:t>
                                  </w:r>
                                </w:p>
                              </w:tc>
                              <w:tc>
                                <w:tcPr>
                                  <w:tcW w:w="12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-1 978</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14 352</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10 972</w:t>
                                  </w:r>
                                </w:p>
                              </w:tc>
                              <w:tc>
                                <w:tcPr>
                                  <w:tcW w:w="13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-515</w:t>
                                  </w:r>
                                </w:p>
                              </w:tc>
                              <w:tc>
                                <w:tcPr>
                                  <w:tcW w:w="9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-1 596</w:t>
                                  </w:r>
                                </w:p>
                              </w:tc>
                            </w:tr>
                            <w:tr w:rsidR="0086466D" w:rsidRPr="00E4548D" w:rsidTr="0086466D">
                              <w:trPr>
                                <w:trHeight w:val="495"/>
                              </w:trPr>
                              <w:tc>
                                <w:tcPr>
                                  <w:tcW w:w="2740" w:type="dxa"/>
                                  <w:tcBorders>
                                    <w:top w:val="nil"/>
                                    <w:left w:val="single" w:sz="8" w:space="0" w:color="auto"/>
                                    <w:bottom w:val="single" w:sz="8" w:space="0" w:color="auto"/>
                                    <w:right w:val="single" w:sz="8" w:space="0" w:color="auto"/>
                                  </w:tcBorders>
                                </w:tcPr>
                                <w:p w:rsidR="0086466D" w:rsidRPr="00E4548D" w:rsidRDefault="0086466D" w:rsidP="0086466D">
                                  <w:pPr>
                                    <w:overflowPunct/>
                                    <w:autoSpaceDE/>
                                    <w:autoSpaceDN/>
                                    <w:adjustRightInd/>
                                    <w:spacing w:line="240" w:lineRule="auto"/>
                                    <w:textAlignment w:val="auto"/>
                                    <w:rPr>
                                      <w:rFonts w:ascii="Arial" w:hAnsi="Arial" w:cs="Arial"/>
                                      <w:sz w:val="18"/>
                                      <w:szCs w:val="18"/>
                                      <w:lang w:eastAsia="sv-SE"/>
                                    </w:rPr>
                                  </w:pPr>
                                  <w:r w:rsidRPr="00E4548D">
                                    <w:rPr>
                                      <w:rFonts w:ascii="Arial" w:hAnsi="Arial" w:cs="Arial"/>
                                      <w:sz w:val="18"/>
                                      <w:szCs w:val="18"/>
                                      <w:lang w:eastAsia="sv-SE"/>
                                    </w:rPr>
                                    <w:t>1b. Sammanhållning för tillväxt och sysselsättning</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49 382</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36 382</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49 382</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36 089</w:t>
                                  </w:r>
                                </w:p>
                              </w:tc>
                              <w:tc>
                                <w:tcPr>
                                  <w:tcW w:w="9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49 388</w:t>
                                  </w:r>
                                </w:p>
                              </w:tc>
                              <w:tc>
                                <w:tcPr>
                                  <w:tcW w:w="92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38 850</w:t>
                                  </w:r>
                                </w:p>
                              </w:tc>
                              <w:tc>
                                <w:tcPr>
                                  <w:tcW w:w="12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49 382</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36 089</w:t>
                                  </w:r>
                                </w:p>
                              </w:tc>
                              <w:tc>
                                <w:tcPr>
                                  <w:tcW w:w="13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w:t>
                                  </w:r>
                                </w:p>
                              </w:tc>
                              <w:tc>
                                <w:tcPr>
                                  <w:tcW w:w="9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-2 761</w:t>
                                  </w:r>
                                </w:p>
                              </w:tc>
                            </w:tr>
                            <w:tr w:rsidR="0086466D" w:rsidRPr="00E4548D" w:rsidTr="0086466D">
                              <w:trPr>
                                <w:trHeight w:val="495"/>
                              </w:trPr>
                              <w:tc>
                                <w:tcPr>
                                  <w:tcW w:w="2740" w:type="dxa"/>
                                  <w:tcBorders>
                                    <w:top w:val="nil"/>
                                    <w:left w:val="single" w:sz="8" w:space="0" w:color="auto"/>
                                    <w:bottom w:val="single" w:sz="8" w:space="0" w:color="auto"/>
                                    <w:right w:val="single" w:sz="8" w:space="0" w:color="auto"/>
                                  </w:tcBorders>
                                </w:tcPr>
                                <w:p w:rsidR="0086466D" w:rsidRPr="00E4548D" w:rsidRDefault="0086466D" w:rsidP="0086466D">
                                  <w:pPr>
                                    <w:overflowPunct/>
                                    <w:autoSpaceDE/>
                                    <w:autoSpaceDN/>
                                    <w:adjustRightInd/>
                                    <w:spacing w:line="240" w:lineRule="auto"/>
                                    <w:textAlignment w:val="auto"/>
                                    <w:rPr>
                                      <w:rFonts w:ascii="Arial" w:hAnsi="Arial" w:cs="Arial"/>
                                      <w:sz w:val="18"/>
                                      <w:szCs w:val="18"/>
                                      <w:lang w:eastAsia="sv-SE"/>
                                    </w:rPr>
                                  </w:pPr>
                                  <w:r w:rsidRPr="00E4548D">
                                    <w:rPr>
                                      <w:rFonts w:ascii="Arial" w:hAnsi="Arial" w:cs="Arial"/>
                                      <w:sz w:val="18"/>
                                      <w:szCs w:val="18"/>
                                      <w:lang w:eastAsia="sv-SE"/>
                                    </w:rPr>
                                    <w:t>2. Bevarande och förvaltning av naturresurser</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59 004</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58 075</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58 640</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57 583</w:t>
                                  </w:r>
                                </w:p>
                              </w:tc>
                              <w:tc>
                                <w:tcPr>
                                  <w:tcW w:w="9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59 808</w:t>
                                  </w:r>
                                </w:p>
                              </w:tc>
                              <w:tc>
                                <w:tcPr>
                                  <w:tcW w:w="92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58 959</w:t>
                                  </w:r>
                                </w:p>
                              </w:tc>
                              <w:tc>
                                <w:tcPr>
                                  <w:tcW w:w="12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305</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59 450</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58 068</w:t>
                                  </w:r>
                                </w:p>
                              </w:tc>
                              <w:tc>
                                <w:tcPr>
                                  <w:tcW w:w="13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-358</w:t>
                                  </w:r>
                                </w:p>
                              </w:tc>
                              <w:tc>
                                <w:tcPr>
                                  <w:tcW w:w="9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-891</w:t>
                                  </w:r>
                                </w:p>
                              </w:tc>
                            </w:tr>
                            <w:tr w:rsidR="0086466D" w:rsidRPr="00E4548D" w:rsidTr="0086466D">
                              <w:trPr>
                                <w:trHeight w:val="270"/>
                              </w:trPr>
                              <w:tc>
                                <w:tcPr>
                                  <w:tcW w:w="2740" w:type="dxa"/>
                                  <w:tcBorders>
                                    <w:top w:val="nil"/>
                                    <w:left w:val="single" w:sz="8" w:space="0" w:color="auto"/>
                                    <w:bottom w:val="single" w:sz="8" w:space="0" w:color="auto"/>
                                    <w:right w:val="single" w:sz="8" w:space="0" w:color="auto"/>
                                  </w:tcBorders>
                                </w:tcPr>
                                <w:p w:rsidR="0086466D" w:rsidRPr="00E4548D" w:rsidRDefault="0086466D" w:rsidP="0086466D">
                                  <w:pPr>
                                    <w:overflowPunct/>
                                    <w:autoSpaceDE/>
                                    <w:autoSpaceDN/>
                                    <w:adjustRightInd/>
                                    <w:spacing w:line="240" w:lineRule="auto"/>
                                    <w:textAlignment w:val="auto"/>
                                    <w:rPr>
                                      <w:rFonts w:ascii="Arial" w:hAnsi="Arial" w:cs="Arial"/>
                                      <w:sz w:val="18"/>
                                      <w:szCs w:val="18"/>
                                      <w:lang w:eastAsia="sv-SE"/>
                                    </w:rPr>
                                  </w:pPr>
                                  <w:r w:rsidRPr="00E4548D">
                                    <w:rPr>
                                      <w:rFonts w:ascii="Arial" w:hAnsi="Arial" w:cs="Arial"/>
                                      <w:sz w:val="18"/>
                                      <w:szCs w:val="18"/>
                                      <w:lang w:eastAsia="sv-SE"/>
                                    </w:rPr>
                                    <w:t>3a. Frihet, säkerhet och rättvisa</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980</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720</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974</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692</w:t>
                                  </w:r>
                                </w:p>
                              </w:tc>
                              <w:tc>
                                <w:tcPr>
                                  <w:tcW w:w="9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1 006</w:t>
                                  </w:r>
                                </w:p>
                              </w:tc>
                              <w:tc>
                                <w:tcPr>
                                  <w:tcW w:w="92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794</w:t>
                                  </w:r>
                                </w:p>
                              </w:tc>
                              <w:tc>
                                <w:tcPr>
                                  <w:tcW w:w="12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19</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974</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692</w:t>
                                  </w:r>
                                </w:p>
                              </w:tc>
                              <w:tc>
                                <w:tcPr>
                                  <w:tcW w:w="13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-32</w:t>
                                  </w:r>
                                </w:p>
                              </w:tc>
                              <w:tc>
                                <w:tcPr>
                                  <w:tcW w:w="9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-102</w:t>
                                  </w:r>
                                </w:p>
                              </w:tc>
                            </w:tr>
                            <w:tr w:rsidR="0086466D" w:rsidRPr="00E4548D" w:rsidTr="0086466D">
                              <w:trPr>
                                <w:trHeight w:val="270"/>
                              </w:trPr>
                              <w:tc>
                                <w:tcPr>
                                  <w:tcW w:w="2740" w:type="dxa"/>
                                  <w:tcBorders>
                                    <w:top w:val="nil"/>
                                    <w:left w:val="single" w:sz="8" w:space="0" w:color="auto"/>
                                    <w:bottom w:val="single" w:sz="8" w:space="0" w:color="auto"/>
                                    <w:right w:val="single" w:sz="8" w:space="0" w:color="auto"/>
                                  </w:tcBorders>
                                </w:tcPr>
                                <w:p w:rsidR="0086466D" w:rsidRPr="00E4548D" w:rsidRDefault="0086466D" w:rsidP="0086466D">
                                  <w:pPr>
                                    <w:overflowPunct/>
                                    <w:autoSpaceDE/>
                                    <w:autoSpaceDN/>
                                    <w:adjustRightInd/>
                                    <w:spacing w:line="240" w:lineRule="auto"/>
                                    <w:textAlignment w:val="auto"/>
                                    <w:rPr>
                                      <w:rFonts w:ascii="Arial" w:hAnsi="Arial" w:cs="Arial"/>
                                      <w:sz w:val="18"/>
                                      <w:szCs w:val="18"/>
                                      <w:lang w:eastAsia="sv-SE"/>
                                    </w:rPr>
                                  </w:pPr>
                                  <w:r w:rsidRPr="00E4548D">
                                    <w:rPr>
                                      <w:rFonts w:ascii="Arial" w:hAnsi="Arial" w:cs="Arial"/>
                                      <w:sz w:val="18"/>
                                      <w:szCs w:val="18"/>
                                      <w:lang w:eastAsia="sv-SE"/>
                                    </w:rPr>
                                    <w:t>3 b. Medborgarskap</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649</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640</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634</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613</w:t>
                                  </w:r>
                                </w:p>
                              </w:tc>
                              <w:tc>
                                <w:tcPr>
                                  <w:tcW w:w="9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668</w:t>
                                  </w:r>
                                </w:p>
                              </w:tc>
                              <w:tc>
                                <w:tcPr>
                                  <w:tcW w:w="92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668</w:t>
                                  </w:r>
                                </w:p>
                              </w:tc>
                              <w:tc>
                                <w:tcPr>
                                  <w:tcW w:w="12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0</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634</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614</w:t>
                                  </w:r>
                                </w:p>
                              </w:tc>
                              <w:tc>
                                <w:tcPr>
                                  <w:tcW w:w="13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-34</w:t>
                                  </w:r>
                                </w:p>
                              </w:tc>
                              <w:tc>
                                <w:tcPr>
                                  <w:tcW w:w="9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-54</w:t>
                                  </w:r>
                                </w:p>
                              </w:tc>
                            </w:tr>
                            <w:tr w:rsidR="0086466D" w:rsidRPr="00E4548D" w:rsidTr="0086466D">
                              <w:trPr>
                                <w:trHeight w:val="270"/>
                              </w:trPr>
                              <w:tc>
                                <w:tcPr>
                                  <w:tcW w:w="2740" w:type="dxa"/>
                                  <w:tcBorders>
                                    <w:top w:val="nil"/>
                                    <w:left w:val="single" w:sz="8" w:space="0" w:color="auto"/>
                                    <w:bottom w:val="single" w:sz="8" w:space="0" w:color="auto"/>
                                    <w:right w:val="single" w:sz="8" w:space="0" w:color="auto"/>
                                  </w:tcBorders>
                                </w:tcPr>
                                <w:p w:rsidR="0086466D" w:rsidRPr="00E4548D" w:rsidRDefault="0086466D" w:rsidP="0086466D">
                                  <w:pPr>
                                    <w:overflowPunct/>
                                    <w:autoSpaceDE/>
                                    <w:autoSpaceDN/>
                                    <w:adjustRightInd/>
                                    <w:spacing w:line="240" w:lineRule="auto"/>
                                    <w:textAlignment w:val="auto"/>
                                    <w:rPr>
                                      <w:rFonts w:ascii="Arial" w:hAnsi="Arial" w:cs="Arial"/>
                                      <w:sz w:val="18"/>
                                      <w:szCs w:val="18"/>
                                      <w:lang w:eastAsia="sv-SE"/>
                                    </w:rPr>
                                  </w:pPr>
                                  <w:r w:rsidRPr="00E4548D">
                                    <w:rPr>
                                      <w:rFonts w:ascii="Arial" w:hAnsi="Arial" w:cs="Arial"/>
                                      <w:sz w:val="18"/>
                                      <w:szCs w:val="18"/>
                                      <w:lang w:eastAsia="sv-SE"/>
                                    </w:rPr>
                                    <w:t>4. EU som global partner</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7 921</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7 665</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7 832</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7 156</w:t>
                                  </w:r>
                                </w:p>
                              </w:tc>
                              <w:tc>
                                <w:tcPr>
                                  <w:tcW w:w="9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8 141</w:t>
                                  </w:r>
                                </w:p>
                              </w:tc>
                              <w:tc>
                                <w:tcPr>
                                  <w:tcW w:w="92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7 823</w:t>
                                  </w:r>
                                </w:p>
                              </w:tc>
                              <w:tc>
                                <w:tcPr>
                                  <w:tcW w:w="12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sz w:val="20"/>
                                      <w:lang w:eastAsia="sv-SE"/>
                                    </w:rPr>
                                  </w:pPr>
                                  <w:r w:rsidRPr="00E4548D">
                                    <w:rPr>
                                      <w:rFonts w:ascii="Arial" w:hAnsi="Arial" w:cs="Arial"/>
                                      <w:b/>
                                      <w:bCs/>
                                      <w:sz w:val="20"/>
                                      <w:lang w:eastAsia="sv-SE"/>
                                    </w:rPr>
                                    <w:t>0</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7 934</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7 223</w:t>
                                  </w:r>
                                </w:p>
                              </w:tc>
                              <w:tc>
                                <w:tcPr>
                                  <w:tcW w:w="13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-207</w:t>
                                  </w:r>
                                </w:p>
                              </w:tc>
                              <w:tc>
                                <w:tcPr>
                                  <w:tcW w:w="9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-600</w:t>
                                  </w:r>
                                </w:p>
                              </w:tc>
                            </w:tr>
                            <w:tr w:rsidR="0086466D" w:rsidRPr="00E4548D" w:rsidTr="0086466D">
                              <w:trPr>
                                <w:trHeight w:val="270"/>
                              </w:trPr>
                              <w:tc>
                                <w:tcPr>
                                  <w:tcW w:w="2740" w:type="dxa"/>
                                  <w:tcBorders>
                                    <w:top w:val="nil"/>
                                    <w:left w:val="single" w:sz="8" w:space="0" w:color="auto"/>
                                    <w:bottom w:val="single" w:sz="8" w:space="0" w:color="auto"/>
                                    <w:right w:val="single" w:sz="8" w:space="0" w:color="auto"/>
                                  </w:tcBorders>
                                </w:tcPr>
                                <w:p w:rsidR="0086466D" w:rsidRPr="00E4548D" w:rsidRDefault="0086466D" w:rsidP="0086466D">
                                  <w:pPr>
                                    <w:overflowPunct/>
                                    <w:autoSpaceDE/>
                                    <w:autoSpaceDN/>
                                    <w:adjustRightInd/>
                                    <w:spacing w:line="240" w:lineRule="auto"/>
                                    <w:textAlignment w:val="auto"/>
                                    <w:rPr>
                                      <w:rFonts w:ascii="Arial" w:hAnsi="Arial" w:cs="Arial"/>
                                      <w:sz w:val="18"/>
                                      <w:szCs w:val="18"/>
                                      <w:lang w:eastAsia="sv-SE"/>
                                    </w:rPr>
                                  </w:pPr>
                                  <w:r w:rsidRPr="00E4548D">
                                    <w:rPr>
                                      <w:rFonts w:ascii="Arial" w:hAnsi="Arial" w:cs="Arial"/>
                                      <w:sz w:val="18"/>
                                      <w:szCs w:val="18"/>
                                      <w:lang w:eastAsia="sv-SE"/>
                                    </w:rPr>
                                    <w:t>5. Administration</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7 851</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7 852</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7 812</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7 812</w:t>
                                  </w:r>
                                </w:p>
                              </w:tc>
                              <w:tc>
                                <w:tcPr>
                                  <w:tcW w:w="9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7 866</w:t>
                                  </w:r>
                                </w:p>
                              </w:tc>
                              <w:tc>
                                <w:tcPr>
                                  <w:tcW w:w="92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7 866</w:t>
                                  </w:r>
                                </w:p>
                              </w:tc>
                              <w:tc>
                                <w:tcPr>
                                  <w:tcW w:w="12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222</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7 829</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7 830</w:t>
                                  </w:r>
                                </w:p>
                              </w:tc>
                              <w:tc>
                                <w:tcPr>
                                  <w:tcW w:w="13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-37</w:t>
                                  </w:r>
                                </w:p>
                              </w:tc>
                              <w:tc>
                                <w:tcPr>
                                  <w:tcW w:w="9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-36</w:t>
                                  </w:r>
                                </w:p>
                              </w:tc>
                            </w:tr>
                            <w:tr w:rsidR="0086466D" w:rsidRPr="00E4548D" w:rsidTr="0086466D">
                              <w:trPr>
                                <w:trHeight w:val="255"/>
                              </w:trPr>
                              <w:tc>
                                <w:tcPr>
                                  <w:tcW w:w="2740" w:type="dxa"/>
                                  <w:tcBorders>
                                    <w:top w:val="nil"/>
                                    <w:left w:val="single" w:sz="8" w:space="0" w:color="auto"/>
                                    <w:bottom w:val="nil"/>
                                    <w:right w:val="single" w:sz="8" w:space="0" w:color="auto"/>
                                  </w:tcBorders>
                                </w:tcPr>
                                <w:p w:rsidR="0086466D" w:rsidRPr="00E4548D" w:rsidRDefault="0086466D" w:rsidP="0086466D">
                                  <w:pPr>
                                    <w:overflowPunct/>
                                    <w:autoSpaceDE/>
                                    <w:autoSpaceDN/>
                                    <w:adjustRightInd/>
                                    <w:spacing w:line="240" w:lineRule="auto"/>
                                    <w:textAlignment w:val="auto"/>
                                    <w:rPr>
                                      <w:rFonts w:ascii="Arial" w:hAnsi="Arial" w:cs="Arial"/>
                                      <w:b/>
                                      <w:bCs/>
                                      <w:i/>
                                      <w:iCs/>
                                      <w:sz w:val="18"/>
                                      <w:szCs w:val="18"/>
                                      <w:lang w:eastAsia="sv-SE"/>
                                    </w:rPr>
                                  </w:pPr>
                                  <w:r w:rsidRPr="00E4548D">
                                    <w:rPr>
                                      <w:rFonts w:ascii="Arial" w:hAnsi="Arial" w:cs="Arial"/>
                                      <w:b/>
                                      <w:bCs/>
                                      <w:i/>
                                      <w:iCs/>
                                      <w:sz w:val="18"/>
                                      <w:szCs w:val="18"/>
                                      <w:lang w:eastAsia="sv-SE"/>
                                    </w:rPr>
                                    <w:t>Totalt</w:t>
                                  </w:r>
                                </w:p>
                              </w:tc>
                              <w:tc>
                                <w:tcPr>
                                  <w:tcW w:w="1000" w:type="dxa"/>
                                  <w:tcBorders>
                                    <w:top w:val="nil"/>
                                    <w:left w:val="nil"/>
                                    <w:bottom w:val="nil"/>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138 557</w:t>
                                  </w:r>
                                </w:p>
                              </w:tc>
                              <w:tc>
                                <w:tcPr>
                                  <w:tcW w:w="1000" w:type="dxa"/>
                                  <w:tcBorders>
                                    <w:top w:val="nil"/>
                                    <w:left w:val="nil"/>
                                    <w:bottom w:val="nil"/>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122 316</w:t>
                                  </w:r>
                                </w:p>
                              </w:tc>
                              <w:tc>
                                <w:tcPr>
                                  <w:tcW w:w="1060" w:type="dxa"/>
                                  <w:tcBorders>
                                    <w:top w:val="nil"/>
                                    <w:left w:val="nil"/>
                                    <w:bottom w:val="nil"/>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137 944</w:t>
                                  </w:r>
                                </w:p>
                              </w:tc>
                              <w:tc>
                                <w:tcPr>
                                  <w:tcW w:w="1060" w:type="dxa"/>
                                  <w:tcBorders>
                                    <w:top w:val="nil"/>
                                    <w:left w:val="nil"/>
                                    <w:bottom w:val="nil"/>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120 521</w:t>
                                  </w:r>
                                </w:p>
                              </w:tc>
                              <w:tc>
                                <w:tcPr>
                                  <w:tcW w:w="960" w:type="dxa"/>
                                  <w:tcBorders>
                                    <w:top w:val="nil"/>
                                    <w:left w:val="nil"/>
                                    <w:bottom w:val="nil"/>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141 745</w:t>
                                  </w:r>
                                </w:p>
                              </w:tc>
                              <w:tc>
                                <w:tcPr>
                                  <w:tcW w:w="920" w:type="dxa"/>
                                  <w:tcBorders>
                                    <w:top w:val="nil"/>
                                    <w:left w:val="nil"/>
                                    <w:bottom w:val="nil"/>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127 526</w:t>
                                  </w:r>
                                </w:p>
                              </w:tc>
                              <w:tc>
                                <w:tcPr>
                                  <w:tcW w:w="1280" w:type="dxa"/>
                                  <w:tcBorders>
                                    <w:top w:val="nil"/>
                                    <w:left w:val="nil"/>
                                    <w:bottom w:val="nil"/>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-1 425</w:t>
                                  </w:r>
                                </w:p>
                              </w:tc>
                              <w:tc>
                                <w:tcPr>
                                  <w:tcW w:w="1060" w:type="dxa"/>
                                  <w:tcBorders>
                                    <w:top w:val="nil"/>
                                    <w:left w:val="nil"/>
                                    <w:bottom w:val="nil"/>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140 555</w:t>
                                  </w:r>
                                </w:p>
                              </w:tc>
                              <w:tc>
                                <w:tcPr>
                                  <w:tcW w:w="1060" w:type="dxa"/>
                                  <w:tcBorders>
                                    <w:top w:val="nil"/>
                                    <w:left w:val="nil"/>
                                    <w:bottom w:val="nil"/>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121 488</w:t>
                                  </w:r>
                                </w:p>
                              </w:tc>
                              <w:tc>
                                <w:tcPr>
                                  <w:tcW w:w="1360" w:type="dxa"/>
                                  <w:tcBorders>
                                    <w:top w:val="nil"/>
                                    <w:left w:val="nil"/>
                                    <w:bottom w:val="nil"/>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-1 189</w:t>
                                  </w:r>
                                </w:p>
                              </w:tc>
                              <w:tc>
                                <w:tcPr>
                                  <w:tcW w:w="980" w:type="dxa"/>
                                  <w:tcBorders>
                                    <w:top w:val="nil"/>
                                    <w:left w:val="nil"/>
                                    <w:bottom w:val="nil"/>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-6 040</w:t>
                                  </w:r>
                                </w:p>
                              </w:tc>
                            </w:tr>
                            <w:tr w:rsidR="0086466D" w:rsidRPr="00E4548D" w:rsidTr="0086466D">
                              <w:trPr>
                                <w:trHeight w:val="270"/>
                              </w:trPr>
                              <w:tc>
                                <w:tcPr>
                                  <w:tcW w:w="2740" w:type="dxa"/>
                                  <w:tcBorders>
                                    <w:top w:val="nil"/>
                                    <w:left w:val="single" w:sz="8" w:space="0" w:color="auto"/>
                                    <w:bottom w:val="single" w:sz="8" w:space="0" w:color="auto"/>
                                    <w:right w:val="single" w:sz="8" w:space="0" w:color="auto"/>
                                  </w:tcBorders>
                                </w:tcPr>
                                <w:p w:rsidR="0086466D" w:rsidRPr="00E4548D" w:rsidRDefault="0086466D" w:rsidP="0086466D">
                                  <w:pPr>
                                    <w:overflowPunct/>
                                    <w:autoSpaceDE/>
                                    <w:autoSpaceDN/>
                                    <w:adjustRightInd/>
                                    <w:spacing w:line="240" w:lineRule="auto"/>
                                    <w:textAlignment w:val="auto"/>
                                    <w:rPr>
                                      <w:rFonts w:ascii="Arial" w:hAnsi="Arial" w:cs="Arial"/>
                                      <w:b/>
                                      <w:bCs/>
                                      <w:i/>
                                      <w:iCs/>
                                      <w:sz w:val="18"/>
                                      <w:szCs w:val="18"/>
                                      <w:lang w:eastAsia="sv-SE"/>
                                    </w:rPr>
                                  </w:pPr>
                                  <w:r w:rsidRPr="00E4548D">
                                    <w:rPr>
                                      <w:rFonts w:ascii="Arial" w:hAnsi="Arial" w:cs="Arial"/>
                                      <w:b/>
                                      <w:bCs/>
                                      <w:i/>
                                      <w:iCs/>
                                      <w:sz w:val="18"/>
                                      <w:szCs w:val="18"/>
                                      <w:lang w:eastAsia="sv-SE"/>
                                    </w:rPr>
                                    <w:t>Andel av BNI</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1,17%</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1,03%</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1,17%</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1,02%</w:t>
                                  </w:r>
                                </w:p>
                              </w:tc>
                              <w:tc>
                                <w:tcPr>
                                  <w:tcW w:w="9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1,20%</w:t>
                                  </w:r>
                                </w:p>
                              </w:tc>
                              <w:tc>
                                <w:tcPr>
                                  <w:tcW w:w="92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1,08%</w:t>
                                  </w:r>
                                </w:p>
                              </w:tc>
                              <w:tc>
                                <w:tcPr>
                                  <w:tcW w:w="12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 </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 </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1,03%</w:t>
                                  </w:r>
                                </w:p>
                              </w:tc>
                              <w:tc>
                                <w:tcPr>
                                  <w:tcW w:w="13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 </w:t>
                                  </w:r>
                                </w:p>
                              </w:tc>
                              <w:tc>
                                <w:tcPr>
                                  <w:tcW w:w="9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 </w:t>
                                  </w:r>
                                </w:p>
                              </w:tc>
                            </w:tr>
                          </w:tbl>
                          <w:p w:rsidR="007456CA" w:rsidRPr="00E4548D" w:rsidRDefault="007456CA" w:rsidP="007456CA">
                            <w:pPr>
                              <w:pStyle w:val="RKnormal"/>
                              <w:rPr>
                                <w:sz w:val="16"/>
                                <w:szCs w:val="16"/>
                              </w:rPr>
                            </w:pPr>
                            <w:r w:rsidRPr="00E4548D">
                              <w:rPr>
                                <w:sz w:val="16"/>
                                <w:szCs w:val="16"/>
                              </w:rPr>
                              <w:t xml:space="preserve">(1) Exkl. Ändringsskrivelse 1 och </w:t>
                            </w:r>
                            <w:r w:rsidR="008313BD" w:rsidRPr="00E4548D">
                              <w:rPr>
                                <w:sz w:val="16"/>
                                <w:szCs w:val="16"/>
                              </w:rPr>
                              <w:t>Å</w:t>
                            </w:r>
                            <w:r w:rsidRPr="00E4548D">
                              <w:rPr>
                                <w:sz w:val="16"/>
                                <w:szCs w:val="16"/>
                              </w:rPr>
                              <w:t>terhämtningsplanen</w:t>
                            </w:r>
                          </w:p>
                          <w:p w:rsidR="007456CA" w:rsidRPr="00E4548D" w:rsidRDefault="007456CA" w:rsidP="007456CA">
                            <w:pPr>
                              <w:pStyle w:val="RKnormal"/>
                              <w:rPr>
                                <w:sz w:val="16"/>
                                <w:szCs w:val="16"/>
                              </w:rPr>
                            </w:pPr>
                            <w:r w:rsidRPr="00E4548D">
                              <w:rPr>
                                <w:sz w:val="16"/>
                                <w:szCs w:val="16"/>
                              </w:rPr>
                              <w:t>(2) Inkl. Återhämtningsplanen</w:t>
                            </w:r>
                            <w:r w:rsidR="008313BD" w:rsidRPr="00E4548D">
                              <w:rPr>
                                <w:sz w:val="16"/>
                                <w:szCs w:val="16"/>
                              </w:rPr>
                              <w:t xml:space="preserve"> och Ändringsskrivelse 1 </w:t>
                            </w:r>
                          </w:p>
                          <w:p w:rsidR="007456CA" w:rsidRPr="00E4548D" w:rsidRDefault="007456CA" w:rsidP="007456CA">
                            <w:pPr>
                              <w:pStyle w:val="RKnormal"/>
                              <w:rPr>
                                <w:sz w:val="16"/>
                                <w:szCs w:val="16"/>
                              </w:rPr>
                            </w:pPr>
                            <w:r w:rsidRPr="00E4548D">
                              <w:rPr>
                                <w:sz w:val="16"/>
                                <w:szCs w:val="16"/>
                              </w:rPr>
                              <w:t>(3) I förhållande till 2010 i budgetramen 2007-2013</w:t>
                            </w:r>
                          </w:p>
                          <w:p w:rsidR="007456CA" w:rsidRPr="00E4548D" w:rsidRDefault="007456CA" w:rsidP="007456CA"/>
                          <w:p w:rsidR="007456CA" w:rsidRPr="00E4548D" w:rsidRDefault="007456CA" w:rsidP="007456CA"/>
                          <w:p w:rsidR="007456CA" w:rsidRPr="00E4548D" w:rsidRDefault="007456CA" w:rsidP="007456CA"/>
                          <w:p w:rsidR="007456CA" w:rsidRPr="00E4548D" w:rsidRDefault="007456CA" w:rsidP="007456CA"/>
                          <w:p w:rsidR="007456CA" w:rsidRPr="00E4548D" w:rsidRDefault="007456CA" w:rsidP="007456CA"/>
                          <w:p w:rsidR="007456CA" w:rsidRPr="00E4548D" w:rsidRDefault="007456CA" w:rsidP="007456CA"/>
                          <w:p w:rsidR="007456CA" w:rsidRPr="00E4548D" w:rsidRDefault="007456CA" w:rsidP="007456CA"/>
                          <w:p w:rsidR="007456CA" w:rsidRPr="00E4548D" w:rsidRDefault="007456CA" w:rsidP="007456CA"/>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8.9pt;margin-top:-.05pt;width:750pt;height:41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" stroked="f">
                <v:textbox style="mso-fit-shape-to-text:t">
                  <w:txbxContent>
                    <w:p w:rsidR="00D47505" w:rsidRPr="00E4548D" w:rsidRDefault="00D47505" w:rsidP="007456CA"/>
                    <w:tbl>
                      <w:tblPr>
                        <w:tblW w:w="14480" w:type="dxa"/>
                        <w:tblInd w:w="60" w:type="dxa"/>
                        <w:tblCellMar>
                          <w:left w:w="70" w:type="dxa"/>
                          <w:right w:w="70" w:type="dxa"/>
                        </w:tblCellMar>
                        <w:tblLook w:val="0000" w:firstRow="0" w:lastRow="0" w:firstColumn="0" w:lastColumn="0" w:noHBand="0" w:noVBand="0"/>
                      </w:tblPr>
                      <w:tblGrid>
                        <w:gridCol w:w="2740"/>
                        <w:gridCol w:w="1000"/>
                        <w:gridCol w:w="1000"/>
                        <w:gridCol w:w="1060"/>
                        <w:gridCol w:w="1060"/>
                        <w:gridCol w:w="960"/>
                        <w:gridCol w:w="920"/>
                        <w:gridCol w:w="1280"/>
                        <w:gridCol w:w="1060"/>
                        <w:gridCol w:w="1060"/>
                        <w:gridCol w:w="1360"/>
                        <w:gridCol w:w="980"/>
                      </w:tblGrid>
                      <w:tr w:rsidR="0086466D" w:rsidRPr="00E4548D" w:rsidTr="0086466D">
                        <w:trPr>
                          <w:trHeight w:val="510"/>
                        </w:trPr>
                        <w:tc>
                          <w:tcPr>
                            <w:tcW w:w="2740" w:type="dxa"/>
                            <w:tcBorders>
                              <w:top w:val="single" w:sz="8" w:space="0" w:color="auto"/>
                              <w:left w:val="single" w:sz="8" w:space="0" w:color="auto"/>
                              <w:bottom w:val="nil"/>
                              <w:right w:val="single" w:sz="8" w:space="0" w:color="auto"/>
                            </w:tcBorders>
                          </w:tcPr>
                          <w:p w:rsidR="0086466D" w:rsidRPr="00E4548D" w:rsidRDefault="0086466D" w:rsidP="0086466D">
                            <w:pPr>
                              <w:overflowPunct/>
                              <w:autoSpaceDE/>
                              <w:autoSpaceDN/>
                              <w:adjustRightInd/>
                              <w:spacing w:line="240" w:lineRule="auto"/>
                              <w:textAlignment w:val="auto"/>
                              <w:rPr>
                                <w:rFonts w:ascii="Arial" w:hAnsi="Arial" w:cs="Arial"/>
                                <w:b/>
                                <w:bCs/>
                                <w:sz w:val="20"/>
                                <w:lang w:eastAsia="sv-SE"/>
                              </w:rPr>
                            </w:pPr>
                            <w:r w:rsidRPr="00E4548D">
                              <w:rPr>
                                <w:rFonts w:ascii="Arial" w:hAnsi="Arial" w:cs="Arial"/>
                                <w:b/>
                                <w:bCs/>
                                <w:sz w:val="20"/>
                                <w:lang w:eastAsia="sv-SE"/>
                              </w:rPr>
                              <w:t>Rubrik</w:t>
                            </w:r>
                          </w:p>
                        </w:tc>
                        <w:tc>
                          <w:tcPr>
                            <w:tcW w:w="2000" w:type="dxa"/>
                            <w:gridSpan w:val="2"/>
                            <w:tcBorders>
                              <w:top w:val="single" w:sz="8" w:space="0" w:color="auto"/>
                              <w:left w:val="nil"/>
                              <w:bottom w:val="single" w:sz="8" w:space="0" w:color="auto"/>
                              <w:right w:val="single" w:sz="8" w:space="0" w:color="000000"/>
                            </w:tcBorders>
                          </w:tcPr>
                          <w:p w:rsidR="0086466D" w:rsidRPr="00E4548D" w:rsidRDefault="0086466D" w:rsidP="0086466D">
                            <w:pPr>
                              <w:overflowPunct/>
                              <w:autoSpaceDE/>
                              <w:autoSpaceDN/>
                              <w:adjustRightInd/>
                              <w:spacing w:line="240" w:lineRule="auto"/>
                              <w:textAlignment w:val="auto"/>
                              <w:rPr>
                                <w:rFonts w:ascii="Arial" w:hAnsi="Arial" w:cs="Arial"/>
                                <w:b/>
                                <w:bCs/>
                                <w:sz w:val="18"/>
                                <w:szCs w:val="18"/>
                                <w:lang w:eastAsia="sv-SE"/>
                              </w:rPr>
                            </w:pPr>
                            <w:r w:rsidRPr="00E4548D">
                              <w:rPr>
                                <w:rFonts w:ascii="Arial" w:hAnsi="Arial" w:cs="Arial"/>
                                <w:b/>
                                <w:bCs/>
                                <w:sz w:val="18"/>
                                <w:szCs w:val="18"/>
                                <w:lang w:eastAsia="sv-SE"/>
                              </w:rPr>
                              <w:t xml:space="preserve">KOM förslag </w:t>
                            </w:r>
                            <w:r w:rsidRPr="00E4548D">
                              <w:rPr>
                                <w:rFonts w:ascii="Arial" w:hAnsi="Arial" w:cs="Arial"/>
                                <w:sz w:val="16"/>
                                <w:szCs w:val="16"/>
                                <w:lang w:eastAsia="sv-SE"/>
                              </w:rPr>
                              <w:t>(1)</w:t>
                            </w:r>
                          </w:p>
                        </w:tc>
                        <w:tc>
                          <w:tcPr>
                            <w:tcW w:w="2120" w:type="dxa"/>
                            <w:gridSpan w:val="2"/>
                            <w:tcBorders>
                              <w:top w:val="single" w:sz="8" w:space="0" w:color="auto"/>
                              <w:left w:val="nil"/>
                              <w:bottom w:val="single" w:sz="8" w:space="0" w:color="auto"/>
                              <w:right w:val="single" w:sz="8" w:space="0" w:color="000000"/>
                            </w:tcBorders>
                          </w:tcPr>
                          <w:p w:rsidR="0086466D" w:rsidRPr="00E4548D" w:rsidRDefault="0086466D" w:rsidP="0086466D">
                            <w:pPr>
                              <w:overflowPunct/>
                              <w:autoSpaceDE/>
                              <w:autoSpaceDN/>
                              <w:adjustRightInd/>
                              <w:spacing w:line="240" w:lineRule="auto"/>
                              <w:textAlignment w:val="auto"/>
                              <w:rPr>
                                <w:rFonts w:ascii="Arial" w:hAnsi="Arial" w:cs="Arial"/>
                                <w:b/>
                                <w:bCs/>
                                <w:sz w:val="18"/>
                                <w:szCs w:val="18"/>
                                <w:lang w:eastAsia="sv-SE"/>
                              </w:rPr>
                            </w:pPr>
                            <w:r w:rsidRPr="00E4548D">
                              <w:rPr>
                                <w:rFonts w:ascii="Arial" w:hAnsi="Arial" w:cs="Arial"/>
                                <w:b/>
                                <w:bCs/>
                                <w:sz w:val="18"/>
                                <w:szCs w:val="18"/>
                                <w:lang w:eastAsia="sv-SE"/>
                              </w:rPr>
                              <w:t>Rådets 1:a läsning</w:t>
                            </w:r>
                            <w:r w:rsidRPr="00E4548D">
                              <w:rPr>
                                <w:rFonts w:ascii="Arial" w:hAnsi="Arial" w:cs="Arial"/>
                                <w:sz w:val="18"/>
                                <w:szCs w:val="18"/>
                                <w:lang w:eastAsia="sv-SE"/>
                              </w:rPr>
                              <w:t>(</w:t>
                            </w:r>
                            <w:r w:rsidRPr="00E4548D">
                              <w:rPr>
                                <w:rFonts w:ascii="Arial" w:hAnsi="Arial" w:cs="Arial"/>
                                <w:sz w:val="16"/>
                                <w:szCs w:val="16"/>
                                <w:lang w:eastAsia="sv-SE"/>
                              </w:rPr>
                              <w:t>1)</w:t>
                            </w:r>
                          </w:p>
                        </w:tc>
                        <w:tc>
                          <w:tcPr>
                            <w:tcW w:w="1880" w:type="dxa"/>
                            <w:gridSpan w:val="2"/>
                            <w:tcBorders>
                              <w:top w:val="single" w:sz="8" w:space="0" w:color="auto"/>
                              <w:left w:val="nil"/>
                              <w:bottom w:val="single" w:sz="8" w:space="0" w:color="auto"/>
                              <w:right w:val="single" w:sz="8" w:space="0" w:color="000000"/>
                            </w:tcBorders>
                          </w:tcPr>
                          <w:p w:rsidR="0086466D" w:rsidRPr="00E4548D" w:rsidRDefault="0086466D" w:rsidP="0086466D">
                            <w:pPr>
                              <w:overflowPunct/>
                              <w:autoSpaceDE/>
                              <w:autoSpaceDN/>
                              <w:adjustRightInd/>
                              <w:spacing w:line="240" w:lineRule="auto"/>
                              <w:textAlignment w:val="auto"/>
                              <w:rPr>
                                <w:rFonts w:ascii="Arial" w:hAnsi="Arial" w:cs="Arial"/>
                                <w:b/>
                                <w:bCs/>
                                <w:sz w:val="18"/>
                                <w:szCs w:val="18"/>
                                <w:lang w:eastAsia="sv-SE"/>
                              </w:rPr>
                            </w:pPr>
                            <w:r w:rsidRPr="00E4548D">
                              <w:rPr>
                                <w:rFonts w:ascii="Arial" w:hAnsi="Arial" w:cs="Arial"/>
                                <w:b/>
                                <w:bCs/>
                                <w:sz w:val="18"/>
                                <w:szCs w:val="18"/>
                                <w:lang w:eastAsia="sv-SE"/>
                              </w:rPr>
                              <w:t>EP:s 1:a läsning</w:t>
                            </w:r>
                            <w:r w:rsidRPr="00E4548D">
                              <w:rPr>
                                <w:rFonts w:ascii="Arial" w:hAnsi="Arial" w:cs="Arial"/>
                                <w:sz w:val="16"/>
                                <w:szCs w:val="16"/>
                                <w:lang w:eastAsia="sv-SE"/>
                              </w:rPr>
                              <w:t>(2)</w:t>
                            </w:r>
                          </w:p>
                        </w:tc>
                        <w:tc>
                          <w:tcPr>
                            <w:tcW w:w="1280" w:type="dxa"/>
                            <w:tcBorders>
                              <w:top w:val="single" w:sz="8" w:space="0" w:color="auto"/>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textAlignment w:val="auto"/>
                              <w:rPr>
                                <w:rFonts w:ascii="Arial" w:hAnsi="Arial" w:cs="Arial"/>
                                <w:b/>
                                <w:bCs/>
                                <w:sz w:val="18"/>
                                <w:szCs w:val="18"/>
                                <w:lang w:eastAsia="sv-SE"/>
                              </w:rPr>
                            </w:pPr>
                            <w:r w:rsidRPr="00E4548D">
                              <w:rPr>
                                <w:rFonts w:ascii="Arial" w:hAnsi="Arial" w:cs="Arial"/>
                                <w:b/>
                                <w:bCs/>
                                <w:sz w:val="18"/>
                                <w:szCs w:val="18"/>
                                <w:lang w:eastAsia="sv-SE"/>
                              </w:rPr>
                              <w:t>EP:s marginaler</w:t>
                            </w:r>
                            <w:r w:rsidRPr="00E4548D">
                              <w:rPr>
                                <w:rFonts w:ascii="Arial" w:hAnsi="Arial" w:cs="Arial"/>
                                <w:sz w:val="16"/>
                                <w:szCs w:val="16"/>
                                <w:lang w:eastAsia="sv-SE"/>
                              </w:rPr>
                              <w:t>(3)</w:t>
                            </w:r>
                          </w:p>
                        </w:tc>
                        <w:tc>
                          <w:tcPr>
                            <w:tcW w:w="2120" w:type="dxa"/>
                            <w:gridSpan w:val="2"/>
                            <w:tcBorders>
                              <w:top w:val="single" w:sz="8" w:space="0" w:color="auto"/>
                              <w:left w:val="nil"/>
                              <w:bottom w:val="single" w:sz="8" w:space="0" w:color="auto"/>
                              <w:right w:val="single" w:sz="8" w:space="0" w:color="000000"/>
                            </w:tcBorders>
                          </w:tcPr>
                          <w:p w:rsidR="0086466D" w:rsidRPr="00E4548D" w:rsidRDefault="0086466D" w:rsidP="0086466D">
                            <w:pPr>
                              <w:overflowPunct/>
                              <w:autoSpaceDE/>
                              <w:autoSpaceDN/>
                              <w:adjustRightInd/>
                              <w:spacing w:line="240" w:lineRule="auto"/>
                              <w:textAlignment w:val="auto"/>
                              <w:rPr>
                                <w:rFonts w:ascii="Arial" w:hAnsi="Arial" w:cs="Arial"/>
                                <w:b/>
                                <w:bCs/>
                                <w:sz w:val="18"/>
                                <w:szCs w:val="18"/>
                                <w:lang w:eastAsia="sv-SE"/>
                              </w:rPr>
                            </w:pPr>
                            <w:r w:rsidRPr="00E4548D">
                              <w:rPr>
                                <w:rFonts w:ascii="Arial" w:hAnsi="Arial" w:cs="Arial"/>
                                <w:b/>
                                <w:bCs/>
                                <w:sz w:val="18"/>
                                <w:szCs w:val="18"/>
                                <w:lang w:eastAsia="sv-SE"/>
                              </w:rPr>
                              <w:t>Kompromiss rådets 2:a läsning</w:t>
                            </w:r>
                          </w:p>
                        </w:tc>
                        <w:tc>
                          <w:tcPr>
                            <w:tcW w:w="2340" w:type="dxa"/>
                            <w:gridSpan w:val="2"/>
                            <w:tcBorders>
                              <w:top w:val="single" w:sz="8" w:space="0" w:color="auto"/>
                              <w:left w:val="nil"/>
                              <w:bottom w:val="single" w:sz="8" w:space="0" w:color="auto"/>
                              <w:right w:val="single" w:sz="8" w:space="0" w:color="000000"/>
                            </w:tcBorders>
                          </w:tcPr>
                          <w:p w:rsidR="0086466D" w:rsidRPr="00E4548D" w:rsidRDefault="0086466D" w:rsidP="0086466D">
                            <w:pPr>
                              <w:overflowPunct/>
                              <w:autoSpaceDE/>
                              <w:autoSpaceDN/>
                              <w:adjustRightInd/>
                              <w:spacing w:line="240" w:lineRule="auto"/>
                              <w:textAlignment w:val="auto"/>
                              <w:rPr>
                                <w:rFonts w:ascii="Arial" w:hAnsi="Arial" w:cs="Arial"/>
                                <w:b/>
                                <w:bCs/>
                                <w:sz w:val="18"/>
                                <w:szCs w:val="18"/>
                                <w:lang w:eastAsia="sv-SE"/>
                              </w:rPr>
                            </w:pPr>
                            <w:r w:rsidRPr="00E4548D">
                              <w:rPr>
                                <w:rFonts w:ascii="Arial" w:hAnsi="Arial" w:cs="Arial"/>
                                <w:b/>
                                <w:bCs/>
                                <w:sz w:val="18"/>
                                <w:szCs w:val="18"/>
                                <w:lang w:eastAsia="sv-SE"/>
                              </w:rPr>
                              <w:t>Differens rådets 2:a mot EP:s 1:a</w:t>
                            </w:r>
                          </w:p>
                        </w:tc>
                      </w:tr>
                      <w:tr w:rsidR="0086466D" w:rsidRPr="00E4548D" w:rsidTr="0086466D">
                        <w:trPr>
                          <w:trHeight w:val="270"/>
                        </w:trPr>
                        <w:tc>
                          <w:tcPr>
                            <w:tcW w:w="2740" w:type="dxa"/>
                            <w:tcBorders>
                              <w:top w:val="nil"/>
                              <w:left w:val="single" w:sz="8" w:space="0" w:color="auto"/>
                              <w:bottom w:val="single" w:sz="8" w:space="0" w:color="auto"/>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i/>
                                <w:iCs/>
                                <w:sz w:val="18"/>
                                <w:szCs w:val="18"/>
                                <w:lang w:eastAsia="sv-SE"/>
                              </w:rPr>
                            </w:pPr>
                            <w:r w:rsidRPr="00E4548D">
                              <w:rPr>
                                <w:rFonts w:ascii="Arial" w:hAnsi="Arial" w:cs="Arial"/>
                                <w:i/>
                                <w:iCs/>
                                <w:sz w:val="18"/>
                                <w:szCs w:val="18"/>
                                <w:lang w:eastAsia="sv-SE"/>
                              </w:rPr>
                              <w:t xml:space="preserve"> (miljoner euro)</w:t>
                            </w:r>
                          </w:p>
                        </w:tc>
                        <w:tc>
                          <w:tcPr>
                            <w:tcW w:w="1000" w:type="dxa"/>
                            <w:tcBorders>
                              <w:top w:val="nil"/>
                              <w:left w:val="nil"/>
                              <w:bottom w:val="single" w:sz="8" w:space="0" w:color="auto"/>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sz w:val="16"/>
                                <w:szCs w:val="16"/>
                                <w:lang w:eastAsia="sv-SE"/>
                              </w:rPr>
                            </w:pPr>
                            <w:r w:rsidRPr="00E4548D">
                              <w:rPr>
                                <w:rFonts w:ascii="Arial" w:hAnsi="Arial" w:cs="Arial"/>
                                <w:sz w:val="16"/>
                                <w:szCs w:val="16"/>
                                <w:lang w:eastAsia="sv-SE"/>
                              </w:rPr>
                              <w:t>Åtaganden</w:t>
                            </w:r>
                          </w:p>
                        </w:tc>
                        <w:tc>
                          <w:tcPr>
                            <w:tcW w:w="1000" w:type="dxa"/>
                            <w:tcBorders>
                              <w:top w:val="nil"/>
                              <w:left w:val="nil"/>
                              <w:bottom w:val="single" w:sz="8" w:space="0" w:color="auto"/>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sz w:val="16"/>
                                <w:szCs w:val="16"/>
                                <w:lang w:eastAsia="sv-SE"/>
                              </w:rPr>
                            </w:pPr>
                            <w:r w:rsidRPr="00E4548D">
                              <w:rPr>
                                <w:rFonts w:ascii="Arial" w:hAnsi="Arial" w:cs="Arial"/>
                                <w:sz w:val="16"/>
                                <w:szCs w:val="16"/>
                                <w:lang w:eastAsia="sv-SE"/>
                              </w:rPr>
                              <w:t>Betalningar</w:t>
                            </w:r>
                          </w:p>
                        </w:tc>
                        <w:tc>
                          <w:tcPr>
                            <w:tcW w:w="1060" w:type="dxa"/>
                            <w:tcBorders>
                              <w:top w:val="nil"/>
                              <w:left w:val="nil"/>
                              <w:bottom w:val="single" w:sz="8" w:space="0" w:color="auto"/>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sz w:val="16"/>
                                <w:szCs w:val="16"/>
                                <w:lang w:eastAsia="sv-SE"/>
                              </w:rPr>
                            </w:pPr>
                            <w:r w:rsidRPr="00E4548D">
                              <w:rPr>
                                <w:rFonts w:ascii="Arial" w:hAnsi="Arial" w:cs="Arial"/>
                                <w:sz w:val="16"/>
                                <w:szCs w:val="16"/>
                                <w:lang w:eastAsia="sv-SE"/>
                              </w:rPr>
                              <w:t>Åtaganden</w:t>
                            </w:r>
                          </w:p>
                        </w:tc>
                        <w:tc>
                          <w:tcPr>
                            <w:tcW w:w="1060" w:type="dxa"/>
                            <w:tcBorders>
                              <w:top w:val="nil"/>
                              <w:left w:val="nil"/>
                              <w:bottom w:val="nil"/>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sz w:val="16"/>
                                <w:szCs w:val="16"/>
                                <w:lang w:eastAsia="sv-SE"/>
                              </w:rPr>
                            </w:pPr>
                            <w:r w:rsidRPr="00E4548D">
                              <w:rPr>
                                <w:rFonts w:ascii="Arial" w:hAnsi="Arial" w:cs="Arial"/>
                                <w:sz w:val="16"/>
                                <w:szCs w:val="16"/>
                                <w:lang w:eastAsia="sv-SE"/>
                              </w:rPr>
                              <w:t>Betalningar</w:t>
                            </w:r>
                          </w:p>
                        </w:tc>
                        <w:tc>
                          <w:tcPr>
                            <w:tcW w:w="960" w:type="dxa"/>
                            <w:tcBorders>
                              <w:top w:val="nil"/>
                              <w:left w:val="nil"/>
                              <w:bottom w:val="single" w:sz="8" w:space="0" w:color="auto"/>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sz w:val="16"/>
                                <w:szCs w:val="16"/>
                                <w:lang w:eastAsia="sv-SE"/>
                              </w:rPr>
                            </w:pPr>
                            <w:r w:rsidRPr="00E4548D">
                              <w:rPr>
                                <w:rFonts w:ascii="Arial" w:hAnsi="Arial" w:cs="Arial"/>
                                <w:sz w:val="16"/>
                                <w:szCs w:val="16"/>
                                <w:lang w:eastAsia="sv-SE"/>
                              </w:rPr>
                              <w:t>Åtaganden</w:t>
                            </w:r>
                          </w:p>
                        </w:tc>
                        <w:tc>
                          <w:tcPr>
                            <w:tcW w:w="920" w:type="dxa"/>
                            <w:tcBorders>
                              <w:top w:val="nil"/>
                              <w:left w:val="nil"/>
                              <w:bottom w:val="single" w:sz="8" w:space="0" w:color="auto"/>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sz w:val="16"/>
                                <w:szCs w:val="16"/>
                                <w:lang w:eastAsia="sv-SE"/>
                              </w:rPr>
                            </w:pPr>
                            <w:r w:rsidRPr="00E4548D">
                              <w:rPr>
                                <w:rFonts w:ascii="Arial" w:hAnsi="Arial" w:cs="Arial"/>
                                <w:sz w:val="16"/>
                                <w:szCs w:val="16"/>
                                <w:lang w:eastAsia="sv-SE"/>
                              </w:rPr>
                              <w:t>Betalningar</w:t>
                            </w:r>
                          </w:p>
                        </w:tc>
                        <w:tc>
                          <w:tcPr>
                            <w:tcW w:w="1280" w:type="dxa"/>
                            <w:tcBorders>
                              <w:top w:val="nil"/>
                              <w:left w:val="nil"/>
                              <w:bottom w:val="single" w:sz="8" w:space="0" w:color="auto"/>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sz w:val="16"/>
                                <w:szCs w:val="16"/>
                                <w:lang w:eastAsia="sv-SE"/>
                              </w:rPr>
                            </w:pPr>
                            <w:r w:rsidRPr="00E4548D">
                              <w:rPr>
                                <w:rFonts w:ascii="Arial" w:hAnsi="Arial" w:cs="Arial"/>
                                <w:sz w:val="16"/>
                                <w:szCs w:val="16"/>
                                <w:lang w:eastAsia="sv-SE"/>
                              </w:rPr>
                              <w:t>Åtaganden</w:t>
                            </w:r>
                          </w:p>
                        </w:tc>
                        <w:tc>
                          <w:tcPr>
                            <w:tcW w:w="1060" w:type="dxa"/>
                            <w:tcBorders>
                              <w:top w:val="nil"/>
                              <w:left w:val="nil"/>
                              <w:bottom w:val="single" w:sz="8" w:space="0" w:color="auto"/>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sz w:val="16"/>
                                <w:szCs w:val="16"/>
                                <w:lang w:eastAsia="sv-SE"/>
                              </w:rPr>
                            </w:pPr>
                            <w:r w:rsidRPr="00E4548D">
                              <w:rPr>
                                <w:rFonts w:ascii="Arial" w:hAnsi="Arial" w:cs="Arial"/>
                                <w:sz w:val="16"/>
                                <w:szCs w:val="16"/>
                                <w:lang w:eastAsia="sv-SE"/>
                              </w:rPr>
                              <w:t>Åtaganden</w:t>
                            </w:r>
                          </w:p>
                        </w:tc>
                        <w:tc>
                          <w:tcPr>
                            <w:tcW w:w="1060" w:type="dxa"/>
                            <w:tcBorders>
                              <w:top w:val="nil"/>
                              <w:left w:val="nil"/>
                              <w:bottom w:val="single" w:sz="8" w:space="0" w:color="auto"/>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sz w:val="16"/>
                                <w:szCs w:val="16"/>
                                <w:lang w:eastAsia="sv-SE"/>
                              </w:rPr>
                            </w:pPr>
                            <w:r w:rsidRPr="00E4548D">
                              <w:rPr>
                                <w:rFonts w:ascii="Arial" w:hAnsi="Arial" w:cs="Arial"/>
                                <w:sz w:val="16"/>
                                <w:szCs w:val="16"/>
                                <w:lang w:eastAsia="sv-SE"/>
                              </w:rPr>
                              <w:t>Betalningar</w:t>
                            </w:r>
                          </w:p>
                        </w:tc>
                        <w:tc>
                          <w:tcPr>
                            <w:tcW w:w="1360" w:type="dxa"/>
                            <w:tcBorders>
                              <w:top w:val="nil"/>
                              <w:left w:val="nil"/>
                              <w:bottom w:val="single" w:sz="8" w:space="0" w:color="auto"/>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sz w:val="16"/>
                                <w:szCs w:val="16"/>
                                <w:lang w:eastAsia="sv-SE"/>
                              </w:rPr>
                            </w:pPr>
                            <w:r w:rsidRPr="00E4548D">
                              <w:rPr>
                                <w:rFonts w:ascii="Arial" w:hAnsi="Arial" w:cs="Arial"/>
                                <w:sz w:val="16"/>
                                <w:szCs w:val="16"/>
                                <w:lang w:eastAsia="sv-SE"/>
                              </w:rPr>
                              <w:t>Åtaganden</w:t>
                            </w:r>
                          </w:p>
                        </w:tc>
                        <w:tc>
                          <w:tcPr>
                            <w:tcW w:w="980" w:type="dxa"/>
                            <w:tcBorders>
                              <w:top w:val="nil"/>
                              <w:left w:val="nil"/>
                              <w:bottom w:val="single" w:sz="8" w:space="0" w:color="auto"/>
                              <w:right w:val="single" w:sz="8" w:space="0" w:color="auto"/>
                            </w:tcBorders>
                            <w:vAlign w:val="bottom"/>
                          </w:tcPr>
                          <w:p w:rsidR="0086466D" w:rsidRPr="00E4548D" w:rsidRDefault="0086466D" w:rsidP="0086466D">
                            <w:pPr>
                              <w:overflowPunct/>
                              <w:autoSpaceDE/>
                              <w:autoSpaceDN/>
                              <w:adjustRightInd/>
                              <w:spacing w:line="240" w:lineRule="auto"/>
                              <w:textAlignment w:val="auto"/>
                              <w:rPr>
                                <w:rFonts w:ascii="Arial" w:hAnsi="Arial" w:cs="Arial"/>
                                <w:sz w:val="16"/>
                                <w:szCs w:val="16"/>
                                <w:lang w:eastAsia="sv-SE"/>
                              </w:rPr>
                            </w:pPr>
                            <w:r w:rsidRPr="00E4548D">
                              <w:rPr>
                                <w:rFonts w:ascii="Arial" w:hAnsi="Arial" w:cs="Arial"/>
                                <w:sz w:val="16"/>
                                <w:szCs w:val="16"/>
                                <w:lang w:eastAsia="sv-SE"/>
                              </w:rPr>
                              <w:t>Betalningar</w:t>
                            </w:r>
                          </w:p>
                        </w:tc>
                      </w:tr>
                      <w:tr w:rsidR="0086466D" w:rsidRPr="00E4548D" w:rsidTr="0086466D">
                        <w:trPr>
                          <w:trHeight w:val="495"/>
                        </w:trPr>
                        <w:tc>
                          <w:tcPr>
                            <w:tcW w:w="2740" w:type="dxa"/>
                            <w:tcBorders>
                              <w:top w:val="nil"/>
                              <w:left w:val="single" w:sz="8" w:space="0" w:color="auto"/>
                              <w:bottom w:val="single" w:sz="8" w:space="0" w:color="auto"/>
                              <w:right w:val="single" w:sz="8" w:space="0" w:color="auto"/>
                            </w:tcBorders>
                          </w:tcPr>
                          <w:p w:rsidR="0086466D" w:rsidRPr="00E4548D" w:rsidRDefault="0086466D" w:rsidP="0086466D">
                            <w:pPr>
                              <w:overflowPunct/>
                              <w:autoSpaceDE/>
                              <w:autoSpaceDN/>
                              <w:adjustRightInd/>
                              <w:spacing w:line="240" w:lineRule="auto"/>
                              <w:textAlignment w:val="auto"/>
                              <w:rPr>
                                <w:rFonts w:ascii="Arial" w:hAnsi="Arial" w:cs="Arial"/>
                                <w:sz w:val="18"/>
                                <w:szCs w:val="18"/>
                                <w:lang w:eastAsia="sv-SE"/>
                              </w:rPr>
                            </w:pPr>
                            <w:r w:rsidRPr="00E4548D">
                              <w:rPr>
                                <w:rFonts w:ascii="Arial" w:hAnsi="Arial" w:cs="Arial"/>
                                <w:sz w:val="18"/>
                                <w:szCs w:val="18"/>
                                <w:lang w:eastAsia="sv-SE"/>
                              </w:rPr>
                              <w:t>1a. Konkurrenskraft för tillväxt och sysselsättning</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12 769</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10 982</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 xml:space="preserve">12 670 </w:t>
                            </w:r>
                          </w:p>
                        </w:tc>
                        <w:tc>
                          <w:tcPr>
                            <w:tcW w:w="1060" w:type="dxa"/>
                            <w:tcBorders>
                              <w:top w:val="single" w:sz="8" w:space="0" w:color="auto"/>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10 574</w:t>
                            </w:r>
                          </w:p>
                        </w:tc>
                        <w:tc>
                          <w:tcPr>
                            <w:tcW w:w="9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14 867</w:t>
                            </w:r>
                          </w:p>
                        </w:tc>
                        <w:tc>
                          <w:tcPr>
                            <w:tcW w:w="92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12 568</w:t>
                            </w:r>
                          </w:p>
                        </w:tc>
                        <w:tc>
                          <w:tcPr>
                            <w:tcW w:w="12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-1 978</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14 352</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10 972</w:t>
                            </w:r>
                          </w:p>
                        </w:tc>
                        <w:tc>
                          <w:tcPr>
                            <w:tcW w:w="13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-515</w:t>
                            </w:r>
                          </w:p>
                        </w:tc>
                        <w:tc>
                          <w:tcPr>
                            <w:tcW w:w="9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-1 596</w:t>
                            </w:r>
                          </w:p>
                        </w:tc>
                      </w:tr>
                      <w:tr w:rsidR="0086466D" w:rsidRPr="00E4548D" w:rsidTr="0086466D">
                        <w:trPr>
                          <w:trHeight w:val="495"/>
                        </w:trPr>
                        <w:tc>
                          <w:tcPr>
                            <w:tcW w:w="2740" w:type="dxa"/>
                            <w:tcBorders>
                              <w:top w:val="nil"/>
                              <w:left w:val="single" w:sz="8" w:space="0" w:color="auto"/>
                              <w:bottom w:val="single" w:sz="8" w:space="0" w:color="auto"/>
                              <w:right w:val="single" w:sz="8" w:space="0" w:color="auto"/>
                            </w:tcBorders>
                          </w:tcPr>
                          <w:p w:rsidR="0086466D" w:rsidRPr="00E4548D" w:rsidRDefault="0086466D" w:rsidP="0086466D">
                            <w:pPr>
                              <w:overflowPunct/>
                              <w:autoSpaceDE/>
                              <w:autoSpaceDN/>
                              <w:adjustRightInd/>
                              <w:spacing w:line="240" w:lineRule="auto"/>
                              <w:textAlignment w:val="auto"/>
                              <w:rPr>
                                <w:rFonts w:ascii="Arial" w:hAnsi="Arial" w:cs="Arial"/>
                                <w:sz w:val="18"/>
                                <w:szCs w:val="18"/>
                                <w:lang w:eastAsia="sv-SE"/>
                              </w:rPr>
                            </w:pPr>
                            <w:r w:rsidRPr="00E4548D">
                              <w:rPr>
                                <w:rFonts w:ascii="Arial" w:hAnsi="Arial" w:cs="Arial"/>
                                <w:sz w:val="18"/>
                                <w:szCs w:val="18"/>
                                <w:lang w:eastAsia="sv-SE"/>
                              </w:rPr>
                              <w:t>1b. Sammanhållning för tillväxt och sysselsättning</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49 382</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36 382</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49 382</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36 089</w:t>
                            </w:r>
                          </w:p>
                        </w:tc>
                        <w:tc>
                          <w:tcPr>
                            <w:tcW w:w="9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49 388</w:t>
                            </w:r>
                          </w:p>
                        </w:tc>
                        <w:tc>
                          <w:tcPr>
                            <w:tcW w:w="92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38 850</w:t>
                            </w:r>
                          </w:p>
                        </w:tc>
                        <w:tc>
                          <w:tcPr>
                            <w:tcW w:w="12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49 382</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36 089</w:t>
                            </w:r>
                          </w:p>
                        </w:tc>
                        <w:tc>
                          <w:tcPr>
                            <w:tcW w:w="13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w:t>
                            </w:r>
                          </w:p>
                        </w:tc>
                        <w:tc>
                          <w:tcPr>
                            <w:tcW w:w="9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-2 761</w:t>
                            </w:r>
                          </w:p>
                        </w:tc>
                      </w:tr>
                      <w:tr w:rsidR="0086466D" w:rsidRPr="00E4548D" w:rsidTr="0086466D">
                        <w:trPr>
                          <w:trHeight w:val="495"/>
                        </w:trPr>
                        <w:tc>
                          <w:tcPr>
                            <w:tcW w:w="2740" w:type="dxa"/>
                            <w:tcBorders>
                              <w:top w:val="nil"/>
                              <w:left w:val="single" w:sz="8" w:space="0" w:color="auto"/>
                              <w:bottom w:val="single" w:sz="8" w:space="0" w:color="auto"/>
                              <w:right w:val="single" w:sz="8" w:space="0" w:color="auto"/>
                            </w:tcBorders>
                          </w:tcPr>
                          <w:p w:rsidR="0086466D" w:rsidRPr="00E4548D" w:rsidRDefault="0086466D" w:rsidP="0086466D">
                            <w:pPr>
                              <w:overflowPunct/>
                              <w:autoSpaceDE/>
                              <w:autoSpaceDN/>
                              <w:adjustRightInd/>
                              <w:spacing w:line="240" w:lineRule="auto"/>
                              <w:textAlignment w:val="auto"/>
                              <w:rPr>
                                <w:rFonts w:ascii="Arial" w:hAnsi="Arial" w:cs="Arial"/>
                                <w:sz w:val="18"/>
                                <w:szCs w:val="18"/>
                                <w:lang w:eastAsia="sv-SE"/>
                              </w:rPr>
                            </w:pPr>
                            <w:r w:rsidRPr="00E4548D">
                              <w:rPr>
                                <w:rFonts w:ascii="Arial" w:hAnsi="Arial" w:cs="Arial"/>
                                <w:sz w:val="18"/>
                                <w:szCs w:val="18"/>
                                <w:lang w:eastAsia="sv-SE"/>
                              </w:rPr>
                              <w:t>2. Bevarande och förvaltning av naturresurser</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59 004</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58 075</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58 640</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57 583</w:t>
                            </w:r>
                          </w:p>
                        </w:tc>
                        <w:tc>
                          <w:tcPr>
                            <w:tcW w:w="9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59 808</w:t>
                            </w:r>
                          </w:p>
                        </w:tc>
                        <w:tc>
                          <w:tcPr>
                            <w:tcW w:w="92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58 959</w:t>
                            </w:r>
                          </w:p>
                        </w:tc>
                        <w:tc>
                          <w:tcPr>
                            <w:tcW w:w="12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305</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59 450</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58 068</w:t>
                            </w:r>
                          </w:p>
                        </w:tc>
                        <w:tc>
                          <w:tcPr>
                            <w:tcW w:w="13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-358</w:t>
                            </w:r>
                          </w:p>
                        </w:tc>
                        <w:tc>
                          <w:tcPr>
                            <w:tcW w:w="9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-891</w:t>
                            </w:r>
                          </w:p>
                        </w:tc>
                      </w:tr>
                      <w:tr w:rsidR="0086466D" w:rsidRPr="00E4548D" w:rsidTr="0086466D">
                        <w:trPr>
                          <w:trHeight w:val="270"/>
                        </w:trPr>
                        <w:tc>
                          <w:tcPr>
                            <w:tcW w:w="2740" w:type="dxa"/>
                            <w:tcBorders>
                              <w:top w:val="nil"/>
                              <w:left w:val="single" w:sz="8" w:space="0" w:color="auto"/>
                              <w:bottom w:val="single" w:sz="8" w:space="0" w:color="auto"/>
                              <w:right w:val="single" w:sz="8" w:space="0" w:color="auto"/>
                            </w:tcBorders>
                          </w:tcPr>
                          <w:p w:rsidR="0086466D" w:rsidRPr="00E4548D" w:rsidRDefault="0086466D" w:rsidP="0086466D">
                            <w:pPr>
                              <w:overflowPunct/>
                              <w:autoSpaceDE/>
                              <w:autoSpaceDN/>
                              <w:adjustRightInd/>
                              <w:spacing w:line="240" w:lineRule="auto"/>
                              <w:textAlignment w:val="auto"/>
                              <w:rPr>
                                <w:rFonts w:ascii="Arial" w:hAnsi="Arial" w:cs="Arial"/>
                                <w:sz w:val="18"/>
                                <w:szCs w:val="18"/>
                                <w:lang w:eastAsia="sv-SE"/>
                              </w:rPr>
                            </w:pPr>
                            <w:r w:rsidRPr="00E4548D">
                              <w:rPr>
                                <w:rFonts w:ascii="Arial" w:hAnsi="Arial" w:cs="Arial"/>
                                <w:sz w:val="18"/>
                                <w:szCs w:val="18"/>
                                <w:lang w:eastAsia="sv-SE"/>
                              </w:rPr>
                              <w:t>3a. Frihet, säkerhet och rättvisa</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980</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720</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974</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692</w:t>
                            </w:r>
                          </w:p>
                        </w:tc>
                        <w:tc>
                          <w:tcPr>
                            <w:tcW w:w="9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1 006</w:t>
                            </w:r>
                          </w:p>
                        </w:tc>
                        <w:tc>
                          <w:tcPr>
                            <w:tcW w:w="92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794</w:t>
                            </w:r>
                          </w:p>
                        </w:tc>
                        <w:tc>
                          <w:tcPr>
                            <w:tcW w:w="12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19</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974</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692</w:t>
                            </w:r>
                          </w:p>
                        </w:tc>
                        <w:tc>
                          <w:tcPr>
                            <w:tcW w:w="13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-32</w:t>
                            </w:r>
                          </w:p>
                        </w:tc>
                        <w:tc>
                          <w:tcPr>
                            <w:tcW w:w="9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-102</w:t>
                            </w:r>
                          </w:p>
                        </w:tc>
                      </w:tr>
                      <w:tr w:rsidR="0086466D" w:rsidRPr="00E4548D" w:rsidTr="0086466D">
                        <w:trPr>
                          <w:trHeight w:val="270"/>
                        </w:trPr>
                        <w:tc>
                          <w:tcPr>
                            <w:tcW w:w="2740" w:type="dxa"/>
                            <w:tcBorders>
                              <w:top w:val="nil"/>
                              <w:left w:val="single" w:sz="8" w:space="0" w:color="auto"/>
                              <w:bottom w:val="single" w:sz="8" w:space="0" w:color="auto"/>
                              <w:right w:val="single" w:sz="8" w:space="0" w:color="auto"/>
                            </w:tcBorders>
                          </w:tcPr>
                          <w:p w:rsidR="0086466D" w:rsidRPr="00E4548D" w:rsidRDefault="0086466D" w:rsidP="0086466D">
                            <w:pPr>
                              <w:overflowPunct/>
                              <w:autoSpaceDE/>
                              <w:autoSpaceDN/>
                              <w:adjustRightInd/>
                              <w:spacing w:line="240" w:lineRule="auto"/>
                              <w:textAlignment w:val="auto"/>
                              <w:rPr>
                                <w:rFonts w:ascii="Arial" w:hAnsi="Arial" w:cs="Arial"/>
                                <w:sz w:val="18"/>
                                <w:szCs w:val="18"/>
                                <w:lang w:eastAsia="sv-SE"/>
                              </w:rPr>
                            </w:pPr>
                            <w:r w:rsidRPr="00E4548D">
                              <w:rPr>
                                <w:rFonts w:ascii="Arial" w:hAnsi="Arial" w:cs="Arial"/>
                                <w:sz w:val="18"/>
                                <w:szCs w:val="18"/>
                                <w:lang w:eastAsia="sv-SE"/>
                              </w:rPr>
                              <w:t>3 b. Medborgarskap</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649</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640</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634</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613</w:t>
                            </w:r>
                          </w:p>
                        </w:tc>
                        <w:tc>
                          <w:tcPr>
                            <w:tcW w:w="9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668</w:t>
                            </w:r>
                          </w:p>
                        </w:tc>
                        <w:tc>
                          <w:tcPr>
                            <w:tcW w:w="92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668</w:t>
                            </w:r>
                          </w:p>
                        </w:tc>
                        <w:tc>
                          <w:tcPr>
                            <w:tcW w:w="12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0</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634</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614</w:t>
                            </w:r>
                          </w:p>
                        </w:tc>
                        <w:tc>
                          <w:tcPr>
                            <w:tcW w:w="13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-34</w:t>
                            </w:r>
                          </w:p>
                        </w:tc>
                        <w:tc>
                          <w:tcPr>
                            <w:tcW w:w="9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-54</w:t>
                            </w:r>
                          </w:p>
                        </w:tc>
                      </w:tr>
                      <w:tr w:rsidR="0086466D" w:rsidRPr="00E4548D" w:rsidTr="0086466D">
                        <w:trPr>
                          <w:trHeight w:val="270"/>
                        </w:trPr>
                        <w:tc>
                          <w:tcPr>
                            <w:tcW w:w="2740" w:type="dxa"/>
                            <w:tcBorders>
                              <w:top w:val="nil"/>
                              <w:left w:val="single" w:sz="8" w:space="0" w:color="auto"/>
                              <w:bottom w:val="single" w:sz="8" w:space="0" w:color="auto"/>
                              <w:right w:val="single" w:sz="8" w:space="0" w:color="auto"/>
                            </w:tcBorders>
                          </w:tcPr>
                          <w:p w:rsidR="0086466D" w:rsidRPr="00E4548D" w:rsidRDefault="0086466D" w:rsidP="0086466D">
                            <w:pPr>
                              <w:overflowPunct/>
                              <w:autoSpaceDE/>
                              <w:autoSpaceDN/>
                              <w:adjustRightInd/>
                              <w:spacing w:line="240" w:lineRule="auto"/>
                              <w:textAlignment w:val="auto"/>
                              <w:rPr>
                                <w:rFonts w:ascii="Arial" w:hAnsi="Arial" w:cs="Arial"/>
                                <w:sz w:val="18"/>
                                <w:szCs w:val="18"/>
                                <w:lang w:eastAsia="sv-SE"/>
                              </w:rPr>
                            </w:pPr>
                            <w:r w:rsidRPr="00E4548D">
                              <w:rPr>
                                <w:rFonts w:ascii="Arial" w:hAnsi="Arial" w:cs="Arial"/>
                                <w:sz w:val="18"/>
                                <w:szCs w:val="18"/>
                                <w:lang w:eastAsia="sv-SE"/>
                              </w:rPr>
                              <w:t>4. EU som global partner</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7 921</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7 665</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7 832</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7 156</w:t>
                            </w:r>
                          </w:p>
                        </w:tc>
                        <w:tc>
                          <w:tcPr>
                            <w:tcW w:w="9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8 141</w:t>
                            </w:r>
                          </w:p>
                        </w:tc>
                        <w:tc>
                          <w:tcPr>
                            <w:tcW w:w="92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7 823</w:t>
                            </w:r>
                          </w:p>
                        </w:tc>
                        <w:tc>
                          <w:tcPr>
                            <w:tcW w:w="12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sz w:val="20"/>
                                <w:lang w:eastAsia="sv-SE"/>
                              </w:rPr>
                            </w:pPr>
                            <w:r w:rsidRPr="00E4548D">
                              <w:rPr>
                                <w:rFonts w:ascii="Arial" w:hAnsi="Arial" w:cs="Arial"/>
                                <w:b/>
                                <w:bCs/>
                                <w:sz w:val="20"/>
                                <w:lang w:eastAsia="sv-SE"/>
                              </w:rPr>
                              <w:t>0</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7 934</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7 223</w:t>
                            </w:r>
                          </w:p>
                        </w:tc>
                        <w:tc>
                          <w:tcPr>
                            <w:tcW w:w="13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-207</w:t>
                            </w:r>
                          </w:p>
                        </w:tc>
                        <w:tc>
                          <w:tcPr>
                            <w:tcW w:w="9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-600</w:t>
                            </w:r>
                          </w:p>
                        </w:tc>
                      </w:tr>
                      <w:tr w:rsidR="0086466D" w:rsidRPr="00E4548D" w:rsidTr="0086466D">
                        <w:trPr>
                          <w:trHeight w:val="270"/>
                        </w:trPr>
                        <w:tc>
                          <w:tcPr>
                            <w:tcW w:w="2740" w:type="dxa"/>
                            <w:tcBorders>
                              <w:top w:val="nil"/>
                              <w:left w:val="single" w:sz="8" w:space="0" w:color="auto"/>
                              <w:bottom w:val="single" w:sz="8" w:space="0" w:color="auto"/>
                              <w:right w:val="single" w:sz="8" w:space="0" w:color="auto"/>
                            </w:tcBorders>
                          </w:tcPr>
                          <w:p w:rsidR="0086466D" w:rsidRPr="00E4548D" w:rsidRDefault="0086466D" w:rsidP="0086466D">
                            <w:pPr>
                              <w:overflowPunct/>
                              <w:autoSpaceDE/>
                              <w:autoSpaceDN/>
                              <w:adjustRightInd/>
                              <w:spacing w:line="240" w:lineRule="auto"/>
                              <w:textAlignment w:val="auto"/>
                              <w:rPr>
                                <w:rFonts w:ascii="Arial" w:hAnsi="Arial" w:cs="Arial"/>
                                <w:sz w:val="18"/>
                                <w:szCs w:val="18"/>
                                <w:lang w:eastAsia="sv-SE"/>
                              </w:rPr>
                            </w:pPr>
                            <w:r w:rsidRPr="00E4548D">
                              <w:rPr>
                                <w:rFonts w:ascii="Arial" w:hAnsi="Arial" w:cs="Arial"/>
                                <w:sz w:val="18"/>
                                <w:szCs w:val="18"/>
                                <w:lang w:eastAsia="sv-SE"/>
                              </w:rPr>
                              <w:t>5. Administration</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7 851</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7 852</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7 812</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7 812</w:t>
                            </w:r>
                          </w:p>
                        </w:tc>
                        <w:tc>
                          <w:tcPr>
                            <w:tcW w:w="9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7 866</w:t>
                            </w:r>
                          </w:p>
                        </w:tc>
                        <w:tc>
                          <w:tcPr>
                            <w:tcW w:w="92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7 866</w:t>
                            </w:r>
                          </w:p>
                        </w:tc>
                        <w:tc>
                          <w:tcPr>
                            <w:tcW w:w="12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222</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7 829</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7 830</w:t>
                            </w:r>
                          </w:p>
                        </w:tc>
                        <w:tc>
                          <w:tcPr>
                            <w:tcW w:w="13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-37</w:t>
                            </w:r>
                          </w:p>
                        </w:tc>
                        <w:tc>
                          <w:tcPr>
                            <w:tcW w:w="9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sz w:val="20"/>
                                <w:lang w:eastAsia="sv-SE"/>
                              </w:rPr>
                            </w:pPr>
                            <w:r w:rsidRPr="00E4548D">
                              <w:rPr>
                                <w:rFonts w:ascii="Arial" w:hAnsi="Arial" w:cs="Arial"/>
                                <w:sz w:val="20"/>
                                <w:lang w:eastAsia="sv-SE"/>
                              </w:rPr>
                              <w:t>-36</w:t>
                            </w:r>
                          </w:p>
                        </w:tc>
                      </w:tr>
                      <w:tr w:rsidR="0086466D" w:rsidRPr="00E4548D" w:rsidTr="0086466D">
                        <w:trPr>
                          <w:trHeight w:val="255"/>
                        </w:trPr>
                        <w:tc>
                          <w:tcPr>
                            <w:tcW w:w="2740" w:type="dxa"/>
                            <w:tcBorders>
                              <w:top w:val="nil"/>
                              <w:left w:val="single" w:sz="8" w:space="0" w:color="auto"/>
                              <w:bottom w:val="nil"/>
                              <w:right w:val="single" w:sz="8" w:space="0" w:color="auto"/>
                            </w:tcBorders>
                          </w:tcPr>
                          <w:p w:rsidR="0086466D" w:rsidRPr="00E4548D" w:rsidRDefault="0086466D" w:rsidP="0086466D">
                            <w:pPr>
                              <w:overflowPunct/>
                              <w:autoSpaceDE/>
                              <w:autoSpaceDN/>
                              <w:adjustRightInd/>
                              <w:spacing w:line="240" w:lineRule="auto"/>
                              <w:textAlignment w:val="auto"/>
                              <w:rPr>
                                <w:rFonts w:ascii="Arial" w:hAnsi="Arial" w:cs="Arial"/>
                                <w:b/>
                                <w:bCs/>
                                <w:i/>
                                <w:iCs/>
                                <w:sz w:val="18"/>
                                <w:szCs w:val="18"/>
                                <w:lang w:eastAsia="sv-SE"/>
                              </w:rPr>
                            </w:pPr>
                            <w:r w:rsidRPr="00E4548D">
                              <w:rPr>
                                <w:rFonts w:ascii="Arial" w:hAnsi="Arial" w:cs="Arial"/>
                                <w:b/>
                                <w:bCs/>
                                <w:i/>
                                <w:iCs/>
                                <w:sz w:val="18"/>
                                <w:szCs w:val="18"/>
                                <w:lang w:eastAsia="sv-SE"/>
                              </w:rPr>
                              <w:t>Totalt</w:t>
                            </w:r>
                          </w:p>
                        </w:tc>
                        <w:tc>
                          <w:tcPr>
                            <w:tcW w:w="1000" w:type="dxa"/>
                            <w:tcBorders>
                              <w:top w:val="nil"/>
                              <w:left w:val="nil"/>
                              <w:bottom w:val="nil"/>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138 557</w:t>
                            </w:r>
                          </w:p>
                        </w:tc>
                        <w:tc>
                          <w:tcPr>
                            <w:tcW w:w="1000" w:type="dxa"/>
                            <w:tcBorders>
                              <w:top w:val="nil"/>
                              <w:left w:val="nil"/>
                              <w:bottom w:val="nil"/>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122 316</w:t>
                            </w:r>
                          </w:p>
                        </w:tc>
                        <w:tc>
                          <w:tcPr>
                            <w:tcW w:w="1060" w:type="dxa"/>
                            <w:tcBorders>
                              <w:top w:val="nil"/>
                              <w:left w:val="nil"/>
                              <w:bottom w:val="nil"/>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137 944</w:t>
                            </w:r>
                          </w:p>
                        </w:tc>
                        <w:tc>
                          <w:tcPr>
                            <w:tcW w:w="1060" w:type="dxa"/>
                            <w:tcBorders>
                              <w:top w:val="nil"/>
                              <w:left w:val="nil"/>
                              <w:bottom w:val="nil"/>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120 521</w:t>
                            </w:r>
                          </w:p>
                        </w:tc>
                        <w:tc>
                          <w:tcPr>
                            <w:tcW w:w="960" w:type="dxa"/>
                            <w:tcBorders>
                              <w:top w:val="nil"/>
                              <w:left w:val="nil"/>
                              <w:bottom w:val="nil"/>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141 745</w:t>
                            </w:r>
                          </w:p>
                        </w:tc>
                        <w:tc>
                          <w:tcPr>
                            <w:tcW w:w="920" w:type="dxa"/>
                            <w:tcBorders>
                              <w:top w:val="nil"/>
                              <w:left w:val="nil"/>
                              <w:bottom w:val="nil"/>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127 526</w:t>
                            </w:r>
                          </w:p>
                        </w:tc>
                        <w:tc>
                          <w:tcPr>
                            <w:tcW w:w="1280" w:type="dxa"/>
                            <w:tcBorders>
                              <w:top w:val="nil"/>
                              <w:left w:val="nil"/>
                              <w:bottom w:val="nil"/>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-1 425</w:t>
                            </w:r>
                          </w:p>
                        </w:tc>
                        <w:tc>
                          <w:tcPr>
                            <w:tcW w:w="1060" w:type="dxa"/>
                            <w:tcBorders>
                              <w:top w:val="nil"/>
                              <w:left w:val="nil"/>
                              <w:bottom w:val="nil"/>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140 555</w:t>
                            </w:r>
                          </w:p>
                        </w:tc>
                        <w:tc>
                          <w:tcPr>
                            <w:tcW w:w="1060" w:type="dxa"/>
                            <w:tcBorders>
                              <w:top w:val="nil"/>
                              <w:left w:val="nil"/>
                              <w:bottom w:val="nil"/>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121 488</w:t>
                            </w:r>
                          </w:p>
                        </w:tc>
                        <w:tc>
                          <w:tcPr>
                            <w:tcW w:w="1360" w:type="dxa"/>
                            <w:tcBorders>
                              <w:top w:val="nil"/>
                              <w:left w:val="nil"/>
                              <w:bottom w:val="nil"/>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-1 189</w:t>
                            </w:r>
                          </w:p>
                        </w:tc>
                        <w:tc>
                          <w:tcPr>
                            <w:tcW w:w="980" w:type="dxa"/>
                            <w:tcBorders>
                              <w:top w:val="nil"/>
                              <w:left w:val="nil"/>
                              <w:bottom w:val="nil"/>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-6 040</w:t>
                            </w:r>
                          </w:p>
                        </w:tc>
                      </w:tr>
                      <w:tr w:rsidR="0086466D" w:rsidRPr="00E4548D" w:rsidTr="0086466D">
                        <w:trPr>
                          <w:trHeight w:val="270"/>
                        </w:trPr>
                        <w:tc>
                          <w:tcPr>
                            <w:tcW w:w="2740" w:type="dxa"/>
                            <w:tcBorders>
                              <w:top w:val="nil"/>
                              <w:left w:val="single" w:sz="8" w:space="0" w:color="auto"/>
                              <w:bottom w:val="single" w:sz="8" w:space="0" w:color="auto"/>
                              <w:right w:val="single" w:sz="8" w:space="0" w:color="auto"/>
                            </w:tcBorders>
                          </w:tcPr>
                          <w:p w:rsidR="0086466D" w:rsidRPr="00E4548D" w:rsidRDefault="0086466D" w:rsidP="0086466D">
                            <w:pPr>
                              <w:overflowPunct/>
                              <w:autoSpaceDE/>
                              <w:autoSpaceDN/>
                              <w:adjustRightInd/>
                              <w:spacing w:line="240" w:lineRule="auto"/>
                              <w:textAlignment w:val="auto"/>
                              <w:rPr>
                                <w:rFonts w:ascii="Arial" w:hAnsi="Arial" w:cs="Arial"/>
                                <w:b/>
                                <w:bCs/>
                                <w:i/>
                                <w:iCs/>
                                <w:sz w:val="18"/>
                                <w:szCs w:val="18"/>
                                <w:lang w:eastAsia="sv-SE"/>
                              </w:rPr>
                            </w:pPr>
                            <w:r w:rsidRPr="00E4548D">
                              <w:rPr>
                                <w:rFonts w:ascii="Arial" w:hAnsi="Arial" w:cs="Arial"/>
                                <w:b/>
                                <w:bCs/>
                                <w:i/>
                                <w:iCs/>
                                <w:sz w:val="18"/>
                                <w:szCs w:val="18"/>
                                <w:lang w:eastAsia="sv-SE"/>
                              </w:rPr>
                              <w:t>Andel av BNI</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1,17%</w:t>
                            </w:r>
                          </w:p>
                        </w:tc>
                        <w:tc>
                          <w:tcPr>
                            <w:tcW w:w="100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1,03%</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1,17%</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1,02%</w:t>
                            </w:r>
                          </w:p>
                        </w:tc>
                        <w:tc>
                          <w:tcPr>
                            <w:tcW w:w="9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1,20%</w:t>
                            </w:r>
                          </w:p>
                        </w:tc>
                        <w:tc>
                          <w:tcPr>
                            <w:tcW w:w="92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1,08%</w:t>
                            </w:r>
                          </w:p>
                        </w:tc>
                        <w:tc>
                          <w:tcPr>
                            <w:tcW w:w="12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 </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 </w:t>
                            </w:r>
                          </w:p>
                        </w:tc>
                        <w:tc>
                          <w:tcPr>
                            <w:tcW w:w="10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1,03%</w:t>
                            </w:r>
                          </w:p>
                        </w:tc>
                        <w:tc>
                          <w:tcPr>
                            <w:tcW w:w="136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 </w:t>
                            </w:r>
                          </w:p>
                        </w:tc>
                        <w:tc>
                          <w:tcPr>
                            <w:tcW w:w="980" w:type="dxa"/>
                            <w:tcBorders>
                              <w:top w:val="nil"/>
                              <w:left w:val="nil"/>
                              <w:bottom w:val="single" w:sz="8" w:space="0" w:color="auto"/>
                              <w:right w:val="single" w:sz="8" w:space="0" w:color="auto"/>
                            </w:tcBorders>
                          </w:tcPr>
                          <w:p w:rsidR="0086466D" w:rsidRPr="00E4548D" w:rsidRDefault="0086466D" w:rsidP="0086466D">
                            <w:pPr>
                              <w:overflowPunct/>
                              <w:autoSpaceDE/>
                              <w:autoSpaceDN/>
                              <w:adjustRightInd/>
                              <w:spacing w:line="240" w:lineRule="auto"/>
                              <w:jc w:val="right"/>
                              <w:textAlignment w:val="auto"/>
                              <w:rPr>
                                <w:rFonts w:ascii="Arial" w:hAnsi="Arial" w:cs="Arial"/>
                                <w:b/>
                                <w:bCs/>
                                <w:i/>
                                <w:iCs/>
                                <w:sz w:val="20"/>
                                <w:lang w:eastAsia="sv-SE"/>
                              </w:rPr>
                            </w:pPr>
                            <w:r w:rsidRPr="00E4548D">
                              <w:rPr>
                                <w:rFonts w:ascii="Arial" w:hAnsi="Arial" w:cs="Arial"/>
                                <w:b/>
                                <w:bCs/>
                                <w:i/>
                                <w:iCs/>
                                <w:sz w:val="20"/>
                                <w:lang w:eastAsia="sv-SE"/>
                              </w:rPr>
                              <w:t> </w:t>
                            </w:r>
                          </w:p>
                        </w:tc>
                      </w:tr>
                    </w:tbl>
                    <w:p w:rsidR="007456CA" w:rsidRPr="00E4548D" w:rsidRDefault="007456CA" w:rsidP="007456CA">
                      <w:pPr>
                        <w:pStyle w:val="RKnormal"/>
                        <w:rPr>
                          <w:sz w:val="16"/>
                          <w:szCs w:val="16"/>
                        </w:rPr>
                      </w:pPr>
                      <w:r w:rsidRPr="00E4548D">
                        <w:rPr>
                          <w:sz w:val="16"/>
                          <w:szCs w:val="16"/>
                        </w:rPr>
                        <w:t xml:space="preserve">(1) Exkl. Ändringsskrivelse 1 och </w:t>
                      </w:r>
                      <w:r w:rsidR="008313BD" w:rsidRPr="00E4548D">
                        <w:rPr>
                          <w:sz w:val="16"/>
                          <w:szCs w:val="16"/>
                        </w:rPr>
                        <w:t>Å</w:t>
                      </w:r>
                      <w:r w:rsidRPr="00E4548D">
                        <w:rPr>
                          <w:sz w:val="16"/>
                          <w:szCs w:val="16"/>
                        </w:rPr>
                        <w:t>terhämtningsplanen</w:t>
                      </w:r>
                    </w:p>
                    <w:p w:rsidR="007456CA" w:rsidRPr="00E4548D" w:rsidRDefault="007456CA" w:rsidP="007456CA">
                      <w:pPr>
                        <w:pStyle w:val="RKnormal"/>
                        <w:rPr>
                          <w:sz w:val="16"/>
                          <w:szCs w:val="16"/>
                        </w:rPr>
                      </w:pPr>
                      <w:r w:rsidRPr="00E4548D">
                        <w:rPr>
                          <w:sz w:val="16"/>
                          <w:szCs w:val="16"/>
                        </w:rPr>
                        <w:t>(2) Inkl. Återhämtningsplanen</w:t>
                      </w:r>
                      <w:r w:rsidR="008313BD" w:rsidRPr="00E4548D">
                        <w:rPr>
                          <w:sz w:val="16"/>
                          <w:szCs w:val="16"/>
                        </w:rPr>
                        <w:t xml:space="preserve"> och Ändringsskrivelse 1 </w:t>
                      </w:r>
                    </w:p>
                    <w:p w:rsidR="007456CA" w:rsidRPr="00E4548D" w:rsidRDefault="007456CA" w:rsidP="007456CA">
                      <w:pPr>
                        <w:pStyle w:val="RKnormal"/>
                        <w:rPr>
                          <w:sz w:val="16"/>
                          <w:szCs w:val="16"/>
                        </w:rPr>
                      </w:pPr>
                      <w:r w:rsidRPr="00E4548D">
                        <w:rPr>
                          <w:sz w:val="16"/>
                          <w:szCs w:val="16"/>
                        </w:rPr>
                        <w:t>(3) I förhållande till 2010 i budgetramen 2007-2013</w:t>
                      </w:r>
                    </w:p>
                    <w:p w:rsidR="007456CA" w:rsidRPr="00E4548D" w:rsidRDefault="007456CA" w:rsidP="007456CA"/>
                    <w:p w:rsidR="007456CA" w:rsidRPr="00E4548D" w:rsidRDefault="007456CA" w:rsidP="007456CA"/>
                    <w:p w:rsidR="007456CA" w:rsidRPr="00E4548D" w:rsidRDefault="007456CA" w:rsidP="007456CA"/>
                    <w:p w:rsidR="007456CA" w:rsidRPr="00E4548D" w:rsidRDefault="007456CA" w:rsidP="007456CA"/>
                    <w:p w:rsidR="007456CA" w:rsidRPr="00E4548D" w:rsidRDefault="007456CA" w:rsidP="007456CA"/>
                    <w:p w:rsidR="007456CA" w:rsidRPr="00E4548D" w:rsidRDefault="007456CA" w:rsidP="007456CA"/>
                    <w:p w:rsidR="007456CA" w:rsidRPr="00E4548D" w:rsidRDefault="007456CA" w:rsidP="007456CA"/>
                    <w:p w:rsidR="007456CA" w:rsidRPr="00E4548D" w:rsidRDefault="007456CA" w:rsidP="007456CA"/>
                  </w:txbxContent>
                </v:textbox>
              </v:shape>
            </w:pict>
          </mc:Fallback>
        </mc:AlternateContent>
      </w:r>
    </w:p>
    <w:p w:rsidR="001425DA" w:rsidRPr="00E4548D" w:rsidRDefault="001425DA">
      <w:pPr>
        <w:pStyle w:val="RKnormal"/>
      </w:pPr>
    </w:p>
    <w:p w:rsidR="001425DA" w:rsidRPr="00E4548D" w:rsidRDefault="001425DA">
      <w:pPr>
        <w:pStyle w:val="RKnormal"/>
      </w:pPr>
    </w:p>
    <w:p w:rsidR="001425DA" w:rsidRPr="00E4548D" w:rsidRDefault="001425DA">
      <w:pPr>
        <w:pStyle w:val="RKnormal"/>
      </w:pPr>
    </w:p>
    <w:p w:rsidR="001425DA" w:rsidRPr="00E4548D" w:rsidRDefault="001425DA">
      <w:pPr>
        <w:pStyle w:val="RKnormal"/>
      </w:pPr>
    </w:p>
    <w:p w:rsidR="001425DA" w:rsidRPr="00E4548D" w:rsidRDefault="001425DA">
      <w:pPr>
        <w:pStyle w:val="RKnormal"/>
      </w:pPr>
    </w:p>
    <w:p w:rsidR="001425DA" w:rsidRPr="00E4548D" w:rsidRDefault="001425DA">
      <w:pPr>
        <w:pStyle w:val="RKnormal"/>
      </w:pPr>
    </w:p>
    <w:p w:rsidR="001425DA" w:rsidRPr="00E4548D" w:rsidRDefault="001425DA">
      <w:pPr>
        <w:pStyle w:val="RKnormal"/>
      </w:pPr>
    </w:p>
    <w:p w:rsidR="001425DA" w:rsidRPr="00E4548D" w:rsidRDefault="001425DA">
      <w:pPr>
        <w:pStyle w:val="RKnormal"/>
      </w:pPr>
    </w:p>
    <w:p w:rsidR="001425DA" w:rsidRPr="00E4548D" w:rsidRDefault="001425DA">
      <w:pPr>
        <w:pStyle w:val="RKnormal"/>
      </w:pPr>
    </w:p>
    <w:p w:rsidR="001425DA" w:rsidRPr="00E4548D" w:rsidRDefault="001425DA">
      <w:pPr>
        <w:pStyle w:val="RKnormal"/>
      </w:pPr>
    </w:p>
    <w:p w:rsidR="001425DA" w:rsidRPr="00E4548D" w:rsidRDefault="001425DA">
      <w:pPr>
        <w:pStyle w:val="RKnormal"/>
      </w:pPr>
    </w:p>
    <w:p w:rsidR="001425DA" w:rsidRPr="00E4548D" w:rsidRDefault="001425DA">
      <w:pPr>
        <w:pStyle w:val="RKnormal"/>
      </w:pPr>
    </w:p>
    <w:p w:rsidR="001425DA" w:rsidRPr="00E4548D" w:rsidRDefault="001425DA">
      <w:pPr>
        <w:pStyle w:val="RKnormal"/>
      </w:pPr>
    </w:p>
    <w:p w:rsidR="001425DA" w:rsidRPr="00E4548D" w:rsidRDefault="001425DA">
      <w:pPr>
        <w:pStyle w:val="RKnormal"/>
      </w:pPr>
    </w:p>
    <w:p w:rsidR="001425DA" w:rsidRPr="00E4548D" w:rsidRDefault="001425DA">
      <w:pPr>
        <w:pStyle w:val="RKnormal"/>
      </w:pPr>
    </w:p>
    <w:p w:rsidR="001425DA" w:rsidRPr="00E4548D" w:rsidRDefault="001425DA">
      <w:pPr>
        <w:pStyle w:val="RKnormal"/>
      </w:pPr>
    </w:p>
    <w:p w:rsidR="001425DA" w:rsidRPr="00E4548D" w:rsidRDefault="001425DA">
      <w:pPr>
        <w:pStyle w:val="RKnormal"/>
      </w:pPr>
    </w:p>
    <w:p w:rsidR="001425DA" w:rsidRPr="00E4548D" w:rsidRDefault="001425DA">
      <w:pPr>
        <w:pStyle w:val="RKnormal"/>
      </w:pPr>
    </w:p>
    <w:p w:rsidR="001425DA" w:rsidRPr="00E4548D" w:rsidRDefault="001425DA">
      <w:pPr>
        <w:pStyle w:val="RKnormal"/>
      </w:pPr>
    </w:p>
    <w:p w:rsidR="001425DA" w:rsidRPr="00E4548D" w:rsidRDefault="001425DA">
      <w:pPr>
        <w:pStyle w:val="RKnormal"/>
      </w:pPr>
    </w:p>
    <w:p w:rsidR="007456CA" w:rsidRPr="00E4548D" w:rsidRDefault="007456CA" w:rsidP="001425DA">
      <w:pPr>
        <w:pStyle w:val="RKnormal"/>
      </w:pPr>
    </w:p>
    <w:sectPr w:rsidR="007456CA" w:rsidRPr="00E4548D" w:rsidSect="001425DA">
      <w:footnotePr>
        <w:numFmt w:val="lowerLetter"/>
      </w:footnotePr>
      <w:pgSz w:w="16840" w:h="11907" w:orient="landscape" w:code="9"/>
      <w:pgMar w:top="2835" w:right="567" w:bottom="1701" w:left="284"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FAE" w:rsidRPr="00E4548D" w:rsidRDefault="002A6FAE">
      <w:r w:rsidRPr="00E4548D">
        <w:separator/>
      </w:r>
    </w:p>
  </w:endnote>
  <w:endnote w:type="continuationSeparator" w:id="0">
    <w:p w:rsidR="002A6FAE" w:rsidRPr="00E4548D" w:rsidRDefault="002A6FAE">
      <w:r w:rsidRPr="00E454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FAE" w:rsidRPr="00E4548D" w:rsidRDefault="002A6FAE">
      <w:r w:rsidRPr="00E4548D">
        <w:separator/>
      </w:r>
    </w:p>
  </w:footnote>
  <w:footnote w:type="continuationSeparator" w:id="0">
    <w:p w:rsidR="002A6FAE" w:rsidRPr="00E4548D" w:rsidRDefault="002A6FAE">
      <w:r w:rsidRPr="00E454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F91" w:rsidRPr="00E4548D" w:rsidRDefault="00A52F91">
    <w:pPr>
      <w:pStyle w:val="Sidhuvud"/>
      <w:framePr w:wrap="around" w:vAnchor="text" w:hAnchor="margin" w:xAlign="right" w:y="1"/>
      <w:rPr>
        <w:rStyle w:val="Sidnummer"/>
      </w:rPr>
    </w:pPr>
    <w:r w:rsidRPr="00E4548D">
      <w:rPr>
        <w:rStyle w:val="Sidnummer"/>
      </w:rPr>
      <w:fldChar w:fldCharType="begin" w:fldLock="1"/>
    </w:r>
    <w:r w:rsidRPr="00E4548D">
      <w:rPr>
        <w:rStyle w:val="Sidnummer"/>
      </w:rPr>
      <w:instrText xml:space="preserve">PAGE  </w:instrText>
    </w:r>
    <w:r w:rsidRPr="00E4548D">
      <w:rPr>
        <w:rStyle w:val="Sidnummer"/>
      </w:rPr>
      <w:fldChar w:fldCharType="separate"/>
    </w:r>
    <w:r w:rsidR="008D4A76" w:rsidRPr="00E4548D">
      <w:rPr>
        <w:rStyle w:val="Sidnummer"/>
      </w:rPr>
      <w:t>2</w:t>
    </w:r>
    <w:r w:rsidRPr="00E4548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52F91" w:rsidRPr="00E4548D">
      <w:tblPrEx>
        <w:tblCellMar>
          <w:top w:w="0" w:type="dxa"/>
          <w:bottom w:w="0" w:type="dxa"/>
        </w:tblCellMar>
      </w:tblPrEx>
      <w:trPr>
        <w:cantSplit/>
      </w:trPr>
      <w:tc>
        <w:tcPr>
          <w:tcW w:w="3119" w:type="dxa"/>
        </w:tcPr>
        <w:p w:rsidR="00A52F91" w:rsidRPr="00E4548D" w:rsidRDefault="00A52F91">
          <w:pPr>
            <w:pStyle w:val="Sidhuvud"/>
            <w:spacing w:line="200" w:lineRule="atLeast"/>
            <w:ind w:right="357"/>
            <w:rPr>
              <w:rFonts w:ascii="TradeGothic" w:hAnsi="TradeGothic"/>
              <w:b/>
              <w:bCs/>
              <w:sz w:val="16"/>
            </w:rPr>
          </w:pPr>
        </w:p>
      </w:tc>
      <w:tc>
        <w:tcPr>
          <w:tcW w:w="4111" w:type="dxa"/>
          <w:tcMar>
            <w:left w:w="567" w:type="dxa"/>
          </w:tcMar>
        </w:tcPr>
        <w:p w:rsidR="00A52F91" w:rsidRPr="00E4548D" w:rsidRDefault="00A52F91">
          <w:pPr>
            <w:pStyle w:val="Sidhuvud"/>
            <w:ind w:right="360"/>
          </w:pPr>
        </w:p>
      </w:tc>
      <w:tc>
        <w:tcPr>
          <w:tcW w:w="1525" w:type="dxa"/>
        </w:tcPr>
        <w:p w:rsidR="00A52F91" w:rsidRPr="00E4548D" w:rsidRDefault="00A52F91">
          <w:pPr>
            <w:pStyle w:val="Sidhuvud"/>
            <w:ind w:right="360"/>
          </w:pPr>
        </w:p>
      </w:tc>
    </w:tr>
  </w:tbl>
  <w:p w:rsidR="00A52F91" w:rsidRPr="00E4548D" w:rsidRDefault="00A52F9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F91" w:rsidRPr="00E4548D" w:rsidRDefault="00A52F91">
    <w:pPr>
      <w:pStyle w:val="Sidhuvud"/>
      <w:framePr w:wrap="around" w:vAnchor="text" w:hAnchor="margin" w:xAlign="right" w:y="1"/>
      <w:rPr>
        <w:rStyle w:val="Sidnummer"/>
      </w:rPr>
    </w:pPr>
    <w:r w:rsidRPr="00E4548D">
      <w:rPr>
        <w:rStyle w:val="Sidnummer"/>
      </w:rPr>
      <w:fldChar w:fldCharType="begin" w:fldLock="1"/>
    </w:r>
    <w:r w:rsidRPr="00E4548D">
      <w:rPr>
        <w:rStyle w:val="Sidnummer"/>
      </w:rPr>
      <w:instrText xml:space="preserve">PAGE  </w:instrText>
    </w:r>
    <w:r w:rsidRPr="00E4548D">
      <w:rPr>
        <w:rStyle w:val="Sidnummer"/>
      </w:rPr>
      <w:fldChar w:fldCharType="separate"/>
    </w:r>
    <w:r w:rsidR="008D4A76" w:rsidRPr="00E4548D">
      <w:rPr>
        <w:rStyle w:val="Sidnummer"/>
      </w:rPr>
      <w:t>3</w:t>
    </w:r>
    <w:r w:rsidRPr="00E4548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52F91" w:rsidRPr="00E4548D">
      <w:tblPrEx>
        <w:tblCellMar>
          <w:top w:w="0" w:type="dxa"/>
          <w:bottom w:w="0" w:type="dxa"/>
        </w:tblCellMar>
      </w:tblPrEx>
      <w:trPr>
        <w:cantSplit/>
      </w:trPr>
      <w:tc>
        <w:tcPr>
          <w:tcW w:w="3119" w:type="dxa"/>
        </w:tcPr>
        <w:p w:rsidR="00A52F91" w:rsidRPr="00E4548D" w:rsidRDefault="00A52F91">
          <w:pPr>
            <w:pStyle w:val="Sidhuvud"/>
            <w:spacing w:line="200" w:lineRule="atLeast"/>
            <w:ind w:right="357"/>
            <w:rPr>
              <w:rFonts w:ascii="TradeGothic" w:hAnsi="TradeGothic"/>
              <w:b/>
              <w:bCs/>
              <w:sz w:val="16"/>
            </w:rPr>
          </w:pPr>
        </w:p>
      </w:tc>
      <w:tc>
        <w:tcPr>
          <w:tcW w:w="4111" w:type="dxa"/>
          <w:tcMar>
            <w:left w:w="567" w:type="dxa"/>
          </w:tcMar>
        </w:tcPr>
        <w:p w:rsidR="00A52F91" w:rsidRPr="00E4548D" w:rsidRDefault="00A52F91">
          <w:pPr>
            <w:pStyle w:val="Sidhuvud"/>
            <w:ind w:right="360"/>
          </w:pPr>
        </w:p>
      </w:tc>
      <w:tc>
        <w:tcPr>
          <w:tcW w:w="1525" w:type="dxa"/>
        </w:tcPr>
        <w:p w:rsidR="00A52F91" w:rsidRPr="00E4548D" w:rsidRDefault="00A52F91">
          <w:pPr>
            <w:pStyle w:val="Sidhuvud"/>
            <w:ind w:right="360"/>
          </w:pPr>
        </w:p>
      </w:tc>
    </w:tr>
  </w:tbl>
  <w:p w:rsidR="00A52F91" w:rsidRPr="00E4548D" w:rsidRDefault="00A52F9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F91" w:rsidRPr="00E4548D" w:rsidRDefault="00E4548D">
    <w:pPr>
      <w:framePr w:w="2948" w:h="1321" w:hRule="exact" w:wrap="notBeside" w:vAnchor="page" w:hAnchor="page" w:x="1362" w:y="653"/>
    </w:pPr>
    <w:r w:rsidRPr="00E4548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52F91" w:rsidRPr="00E4548D" w:rsidRDefault="00A52F91">
    <w:pPr>
      <w:pStyle w:val="RKrubrik"/>
      <w:keepNext w:val="0"/>
      <w:tabs>
        <w:tab w:val="clear" w:pos="1134"/>
        <w:tab w:val="clear" w:pos="2835"/>
      </w:tabs>
      <w:spacing w:before="0" w:after="0" w:line="320" w:lineRule="atLeast"/>
      <w:rPr>
        <w:bCs/>
      </w:rPr>
    </w:pPr>
  </w:p>
  <w:p w:rsidR="00A52F91" w:rsidRPr="00E4548D" w:rsidRDefault="00A52F91">
    <w:pPr>
      <w:rPr>
        <w:rFonts w:ascii="TradeGothic" w:hAnsi="TradeGothic"/>
        <w:b/>
        <w:bCs/>
        <w:spacing w:val="12"/>
        <w:sz w:val="22"/>
      </w:rPr>
    </w:pPr>
  </w:p>
  <w:p w:rsidR="00A52F91" w:rsidRPr="00E4548D" w:rsidRDefault="00A52F91">
    <w:pPr>
      <w:pStyle w:val="RKrubrik"/>
      <w:keepNext w:val="0"/>
      <w:tabs>
        <w:tab w:val="clear" w:pos="1134"/>
        <w:tab w:val="clear" w:pos="2835"/>
      </w:tabs>
      <w:spacing w:before="0" w:after="0" w:line="320" w:lineRule="atLeast"/>
      <w:rPr>
        <w:bCs/>
      </w:rPr>
    </w:pPr>
  </w:p>
  <w:p w:rsidR="00A52F91" w:rsidRPr="00E4548D" w:rsidRDefault="00A52F9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642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F649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AAB3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065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7423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0AAF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CA90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02BA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340D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C09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C480E9C"/>
    <w:lvl w:ilvl="0">
      <w:numFmt w:val="decimal"/>
      <w:lvlText w:val="*"/>
      <w:lvlJc w:val="left"/>
    </w:lvl>
  </w:abstractNum>
  <w:abstractNum w:abstractNumId="11" w15:restartNumberingAfterBreak="0">
    <w:nsid w:val="077A0A51"/>
    <w:multiLevelType w:val="hybridMultilevel"/>
    <w:tmpl w:val="F0D6C370"/>
    <w:lvl w:ilvl="0" w:tplc="04090001">
      <w:start w:val="1"/>
      <w:numFmt w:val="bullet"/>
      <w:lvlText w:val=""/>
      <w:lvlJc w:val="left"/>
      <w:pPr>
        <w:tabs>
          <w:tab w:val="num" w:pos="720"/>
        </w:tabs>
        <w:ind w:left="720" w:hanging="360"/>
      </w:pPr>
      <w:rPr>
        <w:rFonts w:ascii="Symbol" w:hAnsi="Symbol" w:hint="default"/>
      </w:rPr>
    </w:lvl>
    <w:lvl w:ilvl="1" w:tplc="041D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6918E8"/>
    <w:multiLevelType w:val="hybridMultilevel"/>
    <w:tmpl w:val="89F2A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54CA0"/>
    <w:multiLevelType w:val="hybridMultilevel"/>
    <w:tmpl w:val="DA1294C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2B31FD"/>
    <w:multiLevelType w:val="hybridMultilevel"/>
    <w:tmpl w:val="F1CCA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E773CF"/>
    <w:multiLevelType w:val="hybridMultilevel"/>
    <w:tmpl w:val="30AEE0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E5605B"/>
    <w:multiLevelType w:val="hybridMultilevel"/>
    <w:tmpl w:val="F06E5D74"/>
    <w:lvl w:ilvl="0" w:tplc="041D0001">
      <w:start w:val="1"/>
      <w:numFmt w:val="bullet"/>
      <w:lvlText w:val=""/>
      <w:lvlJc w:val="left"/>
      <w:pPr>
        <w:tabs>
          <w:tab w:val="num" w:pos="502"/>
        </w:tabs>
        <w:ind w:left="502" w:hanging="360"/>
      </w:pPr>
      <w:rPr>
        <w:rFonts w:ascii="Symbol" w:hAnsi="Symbol" w:hint="default"/>
      </w:rPr>
    </w:lvl>
    <w:lvl w:ilvl="1" w:tplc="041D0003" w:tentative="1">
      <w:start w:val="1"/>
      <w:numFmt w:val="bullet"/>
      <w:lvlText w:val="o"/>
      <w:lvlJc w:val="left"/>
      <w:pPr>
        <w:tabs>
          <w:tab w:val="num" w:pos="1222"/>
        </w:tabs>
        <w:ind w:left="1222" w:hanging="360"/>
      </w:pPr>
      <w:rPr>
        <w:rFonts w:ascii="Courier New" w:hAnsi="Courier New" w:cs="Courier New" w:hint="default"/>
      </w:rPr>
    </w:lvl>
    <w:lvl w:ilvl="2" w:tplc="041D0005" w:tentative="1">
      <w:start w:val="1"/>
      <w:numFmt w:val="bullet"/>
      <w:lvlText w:val=""/>
      <w:lvlJc w:val="left"/>
      <w:pPr>
        <w:tabs>
          <w:tab w:val="num" w:pos="1942"/>
        </w:tabs>
        <w:ind w:left="1942" w:hanging="360"/>
      </w:pPr>
      <w:rPr>
        <w:rFonts w:ascii="Wingdings" w:hAnsi="Wingdings" w:hint="default"/>
      </w:rPr>
    </w:lvl>
    <w:lvl w:ilvl="3" w:tplc="041D0001" w:tentative="1">
      <w:start w:val="1"/>
      <w:numFmt w:val="bullet"/>
      <w:lvlText w:val=""/>
      <w:lvlJc w:val="left"/>
      <w:pPr>
        <w:tabs>
          <w:tab w:val="num" w:pos="2662"/>
        </w:tabs>
        <w:ind w:left="2662" w:hanging="360"/>
      </w:pPr>
      <w:rPr>
        <w:rFonts w:ascii="Symbol" w:hAnsi="Symbol" w:hint="default"/>
      </w:rPr>
    </w:lvl>
    <w:lvl w:ilvl="4" w:tplc="041D0003" w:tentative="1">
      <w:start w:val="1"/>
      <w:numFmt w:val="bullet"/>
      <w:lvlText w:val="o"/>
      <w:lvlJc w:val="left"/>
      <w:pPr>
        <w:tabs>
          <w:tab w:val="num" w:pos="3382"/>
        </w:tabs>
        <w:ind w:left="3382" w:hanging="360"/>
      </w:pPr>
      <w:rPr>
        <w:rFonts w:ascii="Courier New" w:hAnsi="Courier New" w:cs="Courier New" w:hint="default"/>
      </w:rPr>
    </w:lvl>
    <w:lvl w:ilvl="5" w:tplc="041D0005" w:tentative="1">
      <w:start w:val="1"/>
      <w:numFmt w:val="bullet"/>
      <w:lvlText w:val=""/>
      <w:lvlJc w:val="left"/>
      <w:pPr>
        <w:tabs>
          <w:tab w:val="num" w:pos="4102"/>
        </w:tabs>
        <w:ind w:left="4102" w:hanging="360"/>
      </w:pPr>
      <w:rPr>
        <w:rFonts w:ascii="Wingdings" w:hAnsi="Wingdings" w:hint="default"/>
      </w:rPr>
    </w:lvl>
    <w:lvl w:ilvl="6" w:tplc="041D0001" w:tentative="1">
      <w:start w:val="1"/>
      <w:numFmt w:val="bullet"/>
      <w:lvlText w:val=""/>
      <w:lvlJc w:val="left"/>
      <w:pPr>
        <w:tabs>
          <w:tab w:val="num" w:pos="4822"/>
        </w:tabs>
        <w:ind w:left="4822" w:hanging="360"/>
      </w:pPr>
      <w:rPr>
        <w:rFonts w:ascii="Symbol" w:hAnsi="Symbol" w:hint="default"/>
      </w:rPr>
    </w:lvl>
    <w:lvl w:ilvl="7" w:tplc="041D0003" w:tentative="1">
      <w:start w:val="1"/>
      <w:numFmt w:val="bullet"/>
      <w:lvlText w:val="o"/>
      <w:lvlJc w:val="left"/>
      <w:pPr>
        <w:tabs>
          <w:tab w:val="num" w:pos="5542"/>
        </w:tabs>
        <w:ind w:left="5542" w:hanging="360"/>
      </w:pPr>
      <w:rPr>
        <w:rFonts w:ascii="Courier New" w:hAnsi="Courier New" w:cs="Courier New" w:hint="default"/>
      </w:rPr>
    </w:lvl>
    <w:lvl w:ilvl="8" w:tplc="041D0005" w:tentative="1">
      <w:start w:val="1"/>
      <w:numFmt w:val="bullet"/>
      <w:lvlText w:val=""/>
      <w:lvlJc w:val="left"/>
      <w:pPr>
        <w:tabs>
          <w:tab w:val="num" w:pos="6262"/>
        </w:tabs>
        <w:ind w:left="6262" w:hanging="360"/>
      </w:pPr>
      <w:rPr>
        <w:rFonts w:ascii="Wingdings" w:hAnsi="Wingdings" w:hint="default"/>
      </w:rPr>
    </w:lvl>
  </w:abstractNum>
  <w:num w:numId="1" w16cid:durableId="164542806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37581957">
    <w:abstractNumId w:val="12"/>
  </w:num>
  <w:num w:numId="3" w16cid:durableId="1967081173">
    <w:abstractNumId w:val="14"/>
  </w:num>
  <w:num w:numId="4" w16cid:durableId="759763647">
    <w:abstractNumId w:val="13"/>
  </w:num>
  <w:num w:numId="5" w16cid:durableId="1581597115">
    <w:abstractNumId w:val="8"/>
  </w:num>
  <w:num w:numId="6" w16cid:durableId="1994601267">
    <w:abstractNumId w:val="3"/>
  </w:num>
  <w:num w:numId="7" w16cid:durableId="1907258037">
    <w:abstractNumId w:val="2"/>
  </w:num>
  <w:num w:numId="8" w16cid:durableId="1573732074">
    <w:abstractNumId w:val="1"/>
  </w:num>
  <w:num w:numId="9" w16cid:durableId="1205483119">
    <w:abstractNumId w:val="0"/>
  </w:num>
  <w:num w:numId="10" w16cid:durableId="181480412">
    <w:abstractNumId w:val="9"/>
  </w:num>
  <w:num w:numId="11" w16cid:durableId="1144202446">
    <w:abstractNumId w:val="7"/>
  </w:num>
  <w:num w:numId="12" w16cid:durableId="895091384">
    <w:abstractNumId w:val="6"/>
  </w:num>
  <w:num w:numId="13" w16cid:durableId="154685354">
    <w:abstractNumId w:val="5"/>
  </w:num>
  <w:num w:numId="14" w16cid:durableId="2018581123">
    <w:abstractNumId w:val="4"/>
  </w:num>
  <w:num w:numId="15" w16cid:durableId="1286111228">
    <w:abstractNumId w:val="15"/>
  </w:num>
  <w:num w:numId="16" w16cid:durableId="1191188761">
    <w:abstractNumId w:val="16"/>
  </w:num>
  <w:num w:numId="17" w16cid:durableId="20625093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numFmt w:val="lowerLette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5D4A75"/>
    <w:rsid w:val="0000285A"/>
    <w:rsid w:val="00003890"/>
    <w:rsid w:val="0000785D"/>
    <w:rsid w:val="0002311D"/>
    <w:rsid w:val="00027825"/>
    <w:rsid w:val="00036DB4"/>
    <w:rsid w:val="00040198"/>
    <w:rsid w:val="00045DB5"/>
    <w:rsid w:val="00050125"/>
    <w:rsid w:val="000501D9"/>
    <w:rsid w:val="000520C9"/>
    <w:rsid w:val="00070006"/>
    <w:rsid w:val="000D55C5"/>
    <w:rsid w:val="000D6E83"/>
    <w:rsid w:val="000E5302"/>
    <w:rsid w:val="000E5E5E"/>
    <w:rsid w:val="00114427"/>
    <w:rsid w:val="001232D7"/>
    <w:rsid w:val="001425DA"/>
    <w:rsid w:val="00161168"/>
    <w:rsid w:val="00165B27"/>
    <w:rsid w:val="00172AF9"/>
    <w:rsid w:val="001748BC"/>
    <w:rsid w:val="001815B9"/>
    <w:rsid w:val="00181CD4"/>
    <w:rsid w:val="00182587"/>
    <w:rsid w:val="0018476D"/>
    <w:rsid w:val="001A7753"/>
    <w:rsid w:val="001D3B3C"/>
    <w:rsid w:val="001E2D59"/>
    <w:rsid w:val="002079E5"/>
    <w:rsid w:val="00211087"/>
    <w:rsid w:val="00211F0F"/>
    <w:rsid w:val="00223F75"/>
    <w:rsid w:val="00243D57"/>
    <w:rsid w:val="002445CF"/>
    <w:rsid w:val="002471EC"/>
    <w:rsid w:val="0026176E"/>
    <w:rsid w:val="00274BA4"/>
    <w:rsid w:val="002918EF"/>
    <w:rsid w:val="002A6FAE"/>
    <w:rsid w:val="002A7815"/>
    <w:rsid w:val="002C3193"/>
    <w:rsid w:val="002C6CA1"/>
    <w:rsid w:val="002C7C21"/>
    <w:rsid w:val="002E6C60"/>
    <w:rsid w:val="00341A20"/>
    <w:rsid w:val="00341B1A"/>
    <w:rsid w:val="00353C01"/>
    <w:rsid w:val="00387246"/>
    <w:rsid w:val="003B6BF3"/>
    <w:rsid w:val="003B6E3B"/>
    <w:rsid w:val="003B7410"/>
    <w:rsid w:val="003C07AE"/>
    <w:rsid w:val="003E0D82"/>
    <w:rsid w:val="003F6265"/>
    <w:rsid w:val="0040190B"/>
    <w:rsid w:val="00451605"/>
    <w:rsid w:val="00454466"/>
    <w:rsid w:val="00470F9E"/>
    <w:rsid w:val="00481586"/>
    <w:rsid w:val="00494816"/>
    <w:rsid w:val="004A2A29"/>
    <w:rsid w:val="004A2F0D"/>
    <w:rsid w:val="004C5CB3"/>
    <w:rsid w:val="004D03D4"/>
    <w:rsid w:val="004D0907"/>
    <w:rsid w:val="004E139E"/>
    <w:rsid w:val="004E5286"/>
    <w:rsid w:val="004E5C79"/>
    <w:rsid w:val="004F255A"/>
    <w:rsid w:val="004F4B70"/>
    <w:rsid w:val="005036C1"/>
    <w:rsid w:val="00505461"/>
    <w:rsid w:val="00510E7F"/>
    <w:rsid w:val="00527DBD"/>
    <w:rsid w:val="00554958"/>
    <w:rsid w:val="005719A7"/>
    <w:rsid w:val="00576372"/>
    <w:rsid w:val="005853B9"/>
    <w:rsid w:val="00590E30"/>
    <w:rsid w:val="00596B18"/>
    <w:rsid w:val="005C3CFB"/>
    <w:rsid w:val="005C4FAE"/>
    <w:rsid w:val="005D4A75"/>
    <w:rsid w:val="005E1698"/>
    <w:rsid w:val="005F6345"/>
    <w:rsid w:val="0060734F"/>
    <w:rsid w:val="00614554"/>
    <w:rsid w:val="00633526"/>
    <w:rsid w:val="006636AF"/>
    <w:rsid w:val="00691979"/>
    <w:rsid w:val="00694F14"/>
    <w:rsid w:val="006B0ED6"/>
    <w:rsid w:val="006B2A11"/>
    <w:rsid w:val="006D3D89"/>
    <w:rsid w:val="006D5C2E"/>
    <w:rsid w:val="006E487B"/>
    <w:rsid w:val="006F3E7C"/>
    <w:rsid w:val="00701C73"/>
    <w:rsid w:val="007058ED"/>
    <w:rsid w:val="0072417A"/>
    <w:rsid w:val="007456CA"/>
    <w:rsid w:val="00754EEA"/>
    <w:rsid w:val="00756C09"/>
    <w:rsid w:val="00763918"/>
    <w:rsid w:val="00780D30"/>
    <w:rsid w:val="0079009E"/>
    <w:rsid w:val="00793E16"/>
    <w:rsid w:val="007B6A4E"/>
    <w:rsid w:val="007D30D8"/>
    <w:rsid w:val="007F5996"/>
    <w:rsid w:val="007F7ECE"/>
    <w:rsid w:val="00803695"/>
    <w:rsid w:val="008313BD"/>
    <w:rsid w:val="0086466D"/>
    <w:rsid w:val="00871B96"/>
    <w:rsid w:val="00873572"/>
    <w:rsid w:val="008A359F"/>
    <w:rsid w:val="008B5600"/>
    <w:rsid w:val="008C4764"/>
    <w:rsid w:val="008D4A76"/>
    <w:rsid w:val="008F111F"/>
    <w:rsid w:val="008F66BD"/>
    <w:rsid w:val="00901B4B"/>
    <w:rsid w:val="00902FC5"/>
    <w:rsid w:val="00922BA3"/>
    <w:rsid w:val="00923ACA"/>
    <w:rsid w:val="00941D23"/>
    <w:rsid w:val="00964660"/>
    <w:rsid w:val="009830E6"/>
    <w:rsid w:val="009845DF"/>
    <w:rsid w:val="009B3219"/>
    <w:rsid w:val="009D0D5B"/>
    <w:rsid w:val="009E6A25"/>
    <w:rsid w:val="009E6D9E"/>
    <w:rsid w:val="009E792C"/>
    <w:rsid w:val="009F3AE4"/>
    <w:rsid w:val="009F491A"/>
    <w:rsid w:val="00A076D1"/>
    <w:rsid w:val="00A1191B"/>
    <w:rsid w:val="00A2780F"/>
    <w:rsid w:val="00A27DB7"/>
    <w:rsid w:val="00A3223B"/>
    <w:rsid w:val="00A3474A"/>
    <w:rsid w:val="00A52F91"/>
    <w:rsid w:val="00A8457E"/>
    <w:rsid w:val="00A967BE"/>
    <w:rsid w:val="00AA2F9E"/>
    <w:rsid w:val="00AA759F"/>
    <w:rsid w:val="00AD1128"/>
    <w:rsid w:val="00AD6008"/>
    <w:rsid w:val="00AF0DBE"/>
    <w:rsid w:val="00B00DF1"/>
    <w:rsid w:val="00B066F8"/>
    <w:rsid w:val="00B10526"/>
    <w:rsid w:val="00B13A25"/>
    <w:rsid w:val="00B37A89"/>
    <w:rsid w:val="00B472EE"/>
    <w:rsid w:val="00B54D30"/>
    <w:rsid w:val="00B9316E"/>
    <w:rsid w:val="00B93A0A"/>
    <w:rsid w:val="00BA3440"/>
    <w:rsid w:val="00BC42B1"/>
    <w:rsid w:val="00BD5F9D"/>
    <w:rsid w:val="00BE07B1"/>
    <w:rsid w:val="00BF2DD7"/>
    <w:rsid w:val="00C00AA5"/>
    <w:rsid w:val="00C02550"/>
    <w:rsid w:val="00C04650"/>
    <w:rsid w:val="00C1103D"/>
    <w:rsid w:val="00C347A2"/>
    <w:rsid w:val="00C34B3E"/>
    <w:rsid w:val="00C35AF2"/>
    <w:rsid w:val="00C6314D"/>
    <w:rsid w:val="00CC3CFA"/>
    <w:rsid w:val="00CC4C59"/>
    <w:rsid w:val="00CF1FD0"/>
    <w:rsid w:val="00D078AA"/>
    <w:rsid w:val="00D47505"/>
    <w:rsid w:val="00D55FF0"/>
    <w:rsid w:val="00D65CA9"/>
    <w:rsid w:val="00D72709"/>
    <w:rsid w:val="00D72B24"/>
    <w:rsid w:val="00D847CF"/>
    <w:rsid w:val="00D92009"/>
    <w:rsid w:val="00DB4498"/>
    <w:rsid w:val="00DC61CA"/>
    <w:rsid w:val="00DE371A"/>
    <w:rsid w:val="00E137FF"/>
    <w:rsid w:val="00E25F0D"/>
    <w:rsid w:val="00E34465"/>
    <w:rsid w:val="00E4548D"/>
    <w:rsid w:val="00E460BA"/>
    <w:rsid w:val="00E566EA"/>
    <w:rsid w:val="00E66FAD"/>
    <w:rsid w:val="00E73B95"/>
    <w:rsid w:val="00E82161"/>
    <w:rsid w:val="00E92B03"/>
    <w:rsid w:val="00EA1484"/>
    <w:rsid w:val="00EB3CB1"/>
    <w:rsid w:val="00EB4B7C"/>
    <w:rsid w:val="00EB66D3"/>
    <w:rsid w:val="00ED1F96"/>
    <w:rsid w:val="00ED71BC"/>
    <w:rsid w:val="00EE3779"/>
    <w:rsid w:val="00EF3C9D"/>
    <w:rsid w:val="00F02F00"/>
    <w:rsid w:val="00F3718A"/>
    <w:rsid w:val="00F46F41"/>
    <w:rsid w:val="00F57989"/>
    <w:rsid w:val="00F63EA8"/>
    <w:rsid w:val="00F70462"/>
    <w:rsid w:val="00F835B7"/>
    <w:rsid w:val="00F85B11"/>
    <w:rsid w:val="00F925FC"/>
    <w:rsid w:val="00FA744A"/>
    <w:rsid w:val="00FD211C"/>
    <w:rsid w:val="00FD41D5"/>
    <w:rsid w:val="00FD540F"/>
    <w:rsid w:val="00FD674D"/>
    <w:rsid w:val="00FE1431"/>
    <w:rsid w:val="00FF329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B023DEE-9946-4767-8F36-E0A5FC7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C02550"/>
    <w:rPr>
      <w:rFonts w:ascii="OrigGarmnd BT" w:hAnsi="OrigGarmnd BT"/>
      <w:sz w:val="24"/>
      <w:lang w:val="sv-SE" w:eastAsia="en-US" w:bidi="ar-SA"/>
    </w:rPr>
  </w:style>
  <w:style w:type="paragraph" w:styleId="Fotnotstext">
    <w:name w:val="footnote text"/>
    <w:basedOn w:val="Normal"/>
    <w:semiHidden/>
    <w:rsid w:val="00922BA3"/>
    <w:rPr>
      <w:sz w:val="20"/>
    </w:rPr>
  </w:style>
  <w:style w:type="character" w:styleId="Fotnotsreferens">
    <w:name w:val="footnote reference"/>
    <w:basedOn w:val="Standardstycketeckensnitt"/>
    <w:semiHidden/>
    <w:rsid w:val="00922BA3"/>
    <w:rPr>
      <w:vertAlign w:val="superscript"/>
    </w:rPr>
  </w:style>
  <w:style w:type="paragraph" w:styleId="Ballongtext">
    <w:name w:val="Balloon Text"/>
    <w:basedOn w:val="Normal"/>
    <w:semiHidden/>
    <w:rsid w:val="000038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49626">
      <w:bodyDiv w:val="1"/>
      <w:marLeft w:val="0"/>
      <w:marRight w:val="0"/>
      <w:marTop w:val="0"/>
      <w:marBottom w:val="0"/>
      <w:divBdr>
        <w:top w:val="none" w:sz="0" w:space="0" w:color="auto"/>
        <w:left w:val="none" w:sz="0" w:space="0" w:color="auto"/>
        <w:bottom w:val="none" w:sz="0" w:space="0" w:color="auto"/>
        <w:right w:val="none" w:sz="0" w:space="0" w:color="auto"/>
      </w:divBdr>
    </w:div>
    <w:div w:id="814447791">
      <w:bodyDiv w:val="1"/>
      <w:marLeft w:val="0"/>
      <w:marRight w:val="0"/>
      <w:marTop w:val="0"/>
      <w:marBottom w:val="0"/>
      <w:divBdr>
        <w:top w:val="none" w:sz="0" w:space="0" w:color="auto"/>
        <w:left w:val="none" w:sz="0" w:space="0" w:color="auto"/>
        <w:bottom w:val="none" w:sz="0" w:space="0" w:color="auto"/>
        <w:right w:val="none" w:sz="0" w:space="0" w:color="auto"/>
      </w:divBdr>
    </w:div>
    <w:div w:id="1043478465">
      <w:bodyDiv w:val="1"/>
      <w:marLeft w:val="0"/>
      <w:marRight w:val="0"/>
      <w:marTop w:val="0"/>
      <w:marBottom w:val="0"/>
      <w:divBdr>
        <w:top w:val="none" w:sz="0" w:space="0" w:color="auto"/>
        <w:left w:val="none" w:sz="0" w:space="0" w:color="auto"/>
        <w:bottom w:val="none" w:sz="0" w:space="0" w:color="auto"/>
        <w:right w:val="none" w:sz="0" w:space="0" w:color="auto"/>
      </w:divBdr>
    </w:div>
    <w:div w:id="208503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1135</Words>
  <Characters>7292</Characters>
  <Application>Microsoft Office Word</Application>
  <DocSecurity>4</DocSecurity>
  <Lines>202</Lines>
  <Paragraphs>47</Paragraphs>
  <ScaleCrop>false</ScaleCrop>
  <HeadingPairs>
    <vt:vector size="2" baseType="variant">
      <vt:variant>
        <vt:lpstr>Rubrik</vt:lpstr>
      </vt:variant>
      <vt:variant>
        <vt:i4>1</vt:i4>
      </vt:variant>
    </vt:vector>
  </HeadingPairs>
  <TitlesOfParts>
    <vt:vector size="1" baseType="lpstr">
      <vt:lpstr>Rådets första läsning av EU:s budget för 2006</vt:lpstr>
    </vt:vector>
  </TitlesOfParts>
  <Company>Regeringskansliet</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första läsning av EU:s budget för 2006</dc:title>
  <dc:subject>Rådets första läsning av EU:s budget för 2006</dc:subject>
  <dc:creator>Riksdagen</dc:creator>
  <cp:keywords>Riksdagen</cp:keywords>
  <dc:description/>
  <cp:lastModifiedBy>Lars Brink</cp:lastModifiedBy>
  <cp:revision>2</cp:revision>
  <cp:lastPrinted>2009-11-09T13:53:00Z</cp:lastPrinted>
  <dcterms:created xsi:type="dcterms:W3CDTF">2025-12-17T23:55:00Z</dcterms:created>
  <dcterms:modified xsi:type="dcterms:W3CDTF">2025-12-17T23:55:00Z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6;0;0;256</vt:lpwstr>
  </property>
  <property fmtid="{D5CDD505-2E9C-101B-9397-08002B2CF9AE}" pid="3" name="Sprak">
    <vt:lpwstr>Svenska</vt:lpwstr>
  </property>
  <property fmtid="{D5CDD505-2E9C-101B-9397-08002B2CF9AE}" pid="4" name="DokID">
    <vt:i4>7</vt:i4>
  </property>
</Properties>
</file>