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8F0638" w14:paraId="4F1675F6" w14:textId="77777777">
        <w:tblPrEx>
          <w:tblCellMar>
            <w:top w:w="0" w:type="dxa"/>
            <w:bottom w:w="0" w:type="dxa"/>
          </w:tblCellMar>
        </w:tblPrEx>
        <w:tc>
          <w:tcPr>
            <w:tcW w:w="2268" w:type="dxa"/>
          </w:tcPr>
          <w:p w14:paraId="675F2D2A" w14:textId="77777777" w:rsidR="00A9071C" w:rsidRPr="008F0638" w:rsidRDefault="00A9071C">
            <w:pPr>
              <w:framePr w:w="4400" w:h="1644" w:wrap="notBeside" w:vAnchor="page" w:hAnchor="page" w:x="6573" w:y="721"/>
              <w:rPr>
                <w:rFonts w:ascii="TradeGothic" w:hAnsi="TradeGothic"/>
                <w:i/>
                <w:sz w:val="18"/>
              </w:rPr>
            </w:pPr>
          </w:p>
        </w:tc>
        <w:tc>
          <w:tcPr>
            <w:tcW w:w="2347" w:type="dxa"/>
            <w:gridSpan w:val="2"/>
          </w:tcPr>
          <w:p w14:paraId="4954A3A3" w14:textId="77777777" w:rsidR="00A9071C" w:rsidRPr="008F0638" w:rsidRDefault="00A9071C">
            <w:pPr>
              <w:framePr w:w="4400" w:h="1644" w:wrap="notBeside" w:vAnchor="page" w:hAnchor="page" w:x="6573" w:y="721"/>
              <w:rPr>
                <w:rFonts w:ascii="TradeGothic" w:hAnsi="TradeGothic"/>
                <w:i/>
                <w:sz w:val="18"/>
              </w:rPr>
            </w:pPr>
          </w:p>
        </w:tc>
      </w:tr>
      <w:tr w:rsidR="00000000" w:rsidRPr="008F0638" w14:paraId="564B2FAC" w14:textId="77777777">
        <w:tblPrEx>
          <w:tblCellMar>
            <w:top w:w="0" w:type="dxa"/>
            <w:bottom w:w="0" w:type="dxa"/>
          </w:tblCellMar>
        </w:tblPrEx>
        <w:trPr>
          <w:cantSplit/>
        </w:trPr>
        <w:tc>
          <w:tcPr>
            <w:tcW w:w="4615" w:type="dxa"/>
            <w:gridSpan w:val="3"/>
          </w:tcPr>
          <w:p w14:paraId="2BB83EBA" w14:textId="77777777" w:rsidR="00A9071C" w:rsidRPr="008F0638" w:rsidRDefault="00A9071C">
            <w:pPr>
              <w:framePr w:w="4400" w:h="1644" w:wrap="notBeside" w:vAnchor="page" w:hAnchor="page" w:x="6573" w:y="721"/>
              <w:rPr>
                <w:rFonts w:ascii="TradeGothic" w:hAnsi="TradeGothic"/>
                <w:b/>
                <w:sz w:val="22"/>
              </w:rPr>
            </w:pPr>
            <w:r w:rsidRPr="008F0638">
              <w:rPr>
                <w:rFonts w:ascii="TradeGothic" w:hAnsi="TradeGothic"/>
                <w:b/>
                <w:sz w:val="22"/>
              </w:rPr>
              <w:t>Rådspromemoria</w:t>
            </w:r>
            <w:r w:rsidRPr="008F0638">
              <w:rPr>
                <w:rFonts w:ascii="TradeGothic" w:hAnsi="TradeGothic"/>
                <w:i/>
                <w:sz w:val="18"/>
              </w:rPr>
              <w:t xml:space="preserve">                 </w:t>
            </w:r>
            <w:r w:rsidRPr="008F0638">
              <w:rPr>
                <w:iCs/>
              </w:rPr>
              <w:t>N/2006/XXX/EIS</w:t>
            </w:r>
          </w:p>
        </w:tc>
      </w:tr>
      <w:tr w:rsidR="00000000" w:rsidRPr="008F0638" w14:paraId="4A20B612" w14:textId="77777777">
        <w:tblPrEx>
          <w:tblCellMar>
            <w:top w:w="0" w:type="dxa"/>
            <w:bottom w:w="0" w:type="dxa"/>
          </w:tblCellMar>
        </w:tblPrEx>
        <w:tc>
          <w:tcPr>
            <w:tcW w:w="3402" w:type="dxa"/>
            <w:gridSpan w:val="2"/>
          </w:tcPr>
          <w:p w14:paraId="1D70CBFA" w14:textId="77777777" w:rsidR="00A9071C" w:rsidRPr="008F0638" w:rsidRDefault="00A9071C">
            <w:pPr>
              <w:framePr w:w="4400" w:h="1644" w:wrap="notBeside" w:vAnchor="page" w:hAnchor="page" w:x="6573" w:y="721"/>
            </w:pPr>
          </w:p>
        </w:tc>
        <w:tc>
          <w:tcPr>
            <w:tcW w:w="1213" w:type="dxa"/>
          </w:tcPr>
          <w:p w14:paraId="0B4DFE48" w14:textId="77777777" w:rsidR="00A9071C" w:rsidRPr="008F0638" w:rsidRDefault="00A9071C">
            <w:pPr>
              <w:framePr w:w="4400" w:h="1644" w:wrap="notBeside" w:vAnchor="page" w:hAnchor="page" w:x="6573" w:y="721"/>
            </w:pPr>
          </w:p>
        </w:tc>
      </w:tr>
      <w:tr w:rsidR="00000000" w:rsidRPr="008F0638" w14:paraId="6338E910" w14:textId="77777777">
        <w:tblPrEx>
          <w:tblCellMar>
            <w:top w:w="0" w:type="dxa"/>
            <w:bottom w:w="0" w:type="dxa"/>
          </w:tblCellMar>
        </w:tblPrEx>
        <w:tc>
          <w:tcPr>
            <w:tcW w:w="2268" w:type="dxa"/>
          </w:tcPr>
          <w:p w14:paraId="63F5A6EE" w14:textId="77777777" w:rsidR="00A9071C" w:rsidRPr="008F0638" w:rsidRDefault="00A9071C">
            <w:pPr>
              <w:framePr w:w="4400" w:h="1644" w:wrap="notBeside" w:vAnchor="page" w:hAnchor="page" w:x="6573" w:y="721"/>
            </w:pPr>
            <w:r w:rsidRPr="008F0638">
              <w:t>2006-05-18</w:t>
            </w:r>
          </w:p>
        </w:tc>
        <w:tc>
          <w:tcPr>
            <w:tcW w:w="2347" w:type="dxa"/>
            <w:gridSpan w:val="2"/>
          </w:tcPr>
          <w:p w14:paraId="6211E2DB" w14:textId="77777777" w:rsidR="00A9071C" w:rsidRPr="008F0638" w:rsidRDefault="00A9071C">
            <w:pPr>
              <w:framePr w:w="4400" w:h="1644" w:wrap="notBeside" w:vAnchor="page" w:hAnchor="page" w:x="6573" w:y="721"/>
            </w:pPr>
          </w:p>
        </w:tc>
      </w:tr>
      <w:tr w:rsidR="00000000" w:rsidRPr="008F0638" w14:paraId="3D77E71C" w14:textId="77777777">
        <w:tblPrEx>
          <w:tblCellMar>
            <w:top w:w="0" w:type="dxa"/>
            <w:bottom w:w="0" w:type="dxa"/>
          </w:tblCellMar>
        </w:tblPrEx>
        <w:tc>
          <w:tcPr>
            <w:tcW w:w="2268" w:type="dxa"/>
          </w:tcPr>
          <w:p w14:paraId="1951EE2C" w14:textId="77777777" w:rsidR="00A9071C" w:rsidRPr="008F0638" w:rsidRDefault="00A9071C">
            <w:pPr>
              <w:framePr w:w="4400" w:h="1644" w:wrap="notBeside" w:vAnchor="page" w:hAnchor="page" w:x="6573" w:y="721"/>
            </w:pPr>
          </w:p>
        </w:tc>
        <w:tc>
          <w:tcPr>
            <w:tcW w:w="2347" w:type="dxa"/>
            <w:gridSpan w:val="2"/>
          </w:tcPr>
          <w:p w14:paraId="772ABBEA" w14:textId="77777777" w:rsidR="00A9071C" w:rsidRPr="008F0638" w:rsidRDefault="00A9071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8F0638" w14:paraId="195A03E7" w14:textId="77777777">
        <w:tblPrEx>
          <w:tblCellMar>
            <w:top w:w="0" w:type="dxa"/>
            <w:bottom w:w="0" w:type="dxa"/>
          </w:tblCellMar>
        </w:tblPrEx>
        <w:trPr>
          <w:trHeight w:val="284"/>
        </w:trPr>
        <w:tc>
          <w:tcPr>
            <w:tcW w:w="4911" w:type="dxa"/>
          </w:tcPr>
          <w:p w14:paraId="3BE9F49D" w14:textId="77777777" w:rsidR="00A9071C" w:rsidRPr="008F0638" w:rsidRDefault="00A9071C">
            <w:pPr>
              <w:pStyle w:val="Avsndare"/>
              <w:framePr w:h="2483" w:wrap="notBeside" w:x="1504"/>
              <w:rPr>
                <w:b/>
                <w:i w:val="0"/>
                <w:sz w:val="22"/>
              </w:rPr>
            </w:pPr>
            <w:r w:rsidRPr="008F0638">
              <w:rPr>
                <w:b/>
                <w:i w:val="0"/>
                <w:sz w:val="22"/>
              </w:rPr>
              <w:t>Näringsdepartementet</w:t>
            </w:r>
          </w:p>
        </w:tc>
      </w:tr>
      <w:tr w:rsidR="00000000" w:rsidRPr="008F0638" w14:paraId="1CA8602C" w14:textId="77777777">
        <w:tblPrEx>
          <w:tblCellMar>
            <w:top w:w="0" w:type="dxa"/>
            <w:bottom w:w="0" w:type="dxa"/>
          </w:tblCellMar>
        </w:tblPrEx>
        <w:trPr>
          <w:trHeight w:val="284"/>
        </w:trPr>
        <w:tc>
          <w:tcPr>
            <w:tcW w:w="4911" w:type="dxa"/>
          </w:tcPr>
          <w:p w14:paraId="2D5478BB" w14:textId="77777777" w:rsidR="00A9071C" w:rsidRPr="008F0638" w:rsidRDefault="00A9071C">
            <w:pPr>
              <w:pStyle w:val="Avsndare"/>
              <w:framePr w:h="2483" w:wrap="notBeside" w:x="1504"/>
              <w:rPr>
                <w:bCs/>
                <w:iCs/>
              </w:rPr>
            </w:pPr>
          </w:p>
        </w:tc>
      </w:tr>
      <w:tr w:rsidR="00000000" w:rsidRPr="008F0638" w14:paraId="409D79C7" w14:textId="77777777">
        <w:tblPrEx>
          <w:tblCellMar>
            <w:top w:w="0" w:type="dxa"/>
            <w:bottom w:w="0" w:type="dxa"/>
          </w:tblCellMar>
        </w:tblPrEx>
        <w:trPr>
          <w:trHeight w:val="284"/>
        </w:trPr>
        <w:tc>
          <w:tcPr>
            <w:tcW w:w="4911" w:type="dxa"/>
          </w:tcPr>
          <w:p w14:paraId="027E4158" w14:textId="77777777" w:rsidR="00A9071C" w:rsidRPr="008F0638" w:rsidRDefault="00A9071C">
            <w:pPr>
              <w:pStyle w:val="Avsndare"/>
              <w:framePr w:h="2483" w:wrap="notBeside" w:x="1504"/>
              <w:rPr>
                <w:bCs/>
                <w:iCs/>
              </w:rPr>
            </w:pPr>
            <w:r w:rsidRPr="008F0638">
              <w:rPr>
                <w:bCs/>
                <w:iCs/>
              </w:rPr>
              <w:t>Sekretariatet för EU och Internationell Samordning</w:t>
            </w:r>
          </w:p>
        </w:tc>
      </w:tr>
      <w:tr w:rsidR="00000000" w:rsidRPr="008F0638" w14:paraId="11E5D71E" w14:textId="77777777">
        <w:tblPrEx>
          <w:tblCellMar>
            <w:top w:w="0" w:type="dxa"/>
            <w:bottom w:w="0" w:type="dxa"/>
          </w:tblCellMar>
        </w:tblPrEx>
        <w:trPr>
          <w:trHeight w:val="284"/>
        </w:trPr>
        <w:tc>
          <w:tcPr>
            <w:tcW w:w="4911" w:type="dxa"/>
          </w:tcPr>
          <w:p w14:paraId="74559298" w14:textId="77777777" w:rsidR="00A9071C" w:rsidRPr="008F0638" w:rsidRDefault="00A9071C">
            <w:pPr>
              <w:pStyle w:val="Avsndare"/>
              <w:framePr w:h="2483" w:wrap="notBeside" w:x="1504"/>
              <w:rPr>
                <w:bCs/>
                <w:iCs/>
              </w:rPr>
            </w:pPr>
          </w:p>
        </w:tc>
      </w:tr>
      <w:tr w:rsidR="00000000" w:rsidRPr="008F0638" w14:paraId="2761063C" w14:textId="77777777">
        <w:tblPrEx>
          <w:tblCellMar>
            <w:top w:w="0" w:type="dxa"/>
            <w:bottom w:w="0" w:type="dxa"/>
          </w:tblCellMar>
        </w:tblPrEx>
        <w:trPr>
          <w:trHeight w:val="284"/>
        </w:trPr>
        <w:tc>
          <w:tcPr>
            <w:tcW w:w="4911" w:type="dxa"/>
          </w:tcPr>
          <w:p w14:paraId="397A6427" w14:textId="77777777" w:rsidR="00A9071C" w:rsidRPr="008F0638" w:rsidRDefault="00A9071C">
            <w:pPr>
              <w:pStyle w:val="Avsndare"/>
              <w:framePr w:h="2483" w:wrap="notBeside" w:x="1504"/>
              <w:rPr>
                <w:bCs/>
                <w:iCs/>
              </w:rPr>
            </w:pPr>
          </w:p>
        </w:tc>
      </w:tr>
      <w:tr w:rsidR="00000000" w:rsidRPr="008F0638" w14:paraId="32C2FC1E" w14:textId="77777777">
        <w:tblPrEx>
          <w:tblCellMar>
            <w:top w:w="0" w:type="dxa"/>
            <w:bottom w:w="0" w:type="dxa"/>
          </w:tblCellMar>
        </w:tblPrEx>
        <w:trPr>
          <w:trHeight w:val="284"/>
        </w:trPr>
        <w:tc>
          <w:tcPr>
            <w:tcW w:w="4911" w:type="dxa"/>
          </w:tcPr>
          <w:p w14:paraId="5038EC02" w14:textId="77777777" w:rsidR="00A9071C" w:rsidRPr="008F0638" w:rsidRDefault="00A9071C">
            <w:pPr>
              <w:pStyle w:val="Avsndare"/>
              <w:framePr w:h="2483" w:wrap="notBeside" w:x="1504"/>
              <w:rPr>
                <w:bCs/>
                <w:iCs/>
              </w:rPr>
            </w:pPr>
          </w:p>
        </w:tc>
      </w:tr>
      <w:tr w:rsidR="00000000" w:rsidRPr="008F0638" w14:paraId="55178A70" w14:textId="77777777">
        <w:tblPrEx>
          <w:tblCellMar>
            <w:top w:w="0" w:type="dxa"/>
            <w:bottom w:w="0" w:type="dxa"/>
          </w:tblCellMar>
        </w:tblPrEx>
        <w:trPr>
          <w:trHeight w:val="284"/>
        </w:trPr>
        <w:tc>
          <w:tcPr>
            <w:tcW w:w="4911" w:type="dxa"/>
          </w:tcPr>
          <w:p w14:paraId="7D4EDA3E" w14:textId="77777777" w:rsidR="00A9071C" w:rsidRPr="008F0638" w:rsidRDefault="00A9071C">
            <w:pPr>
              <w:pStyle w:val="Avsndare"/>
              <w:framePr w:h="2483" w:wrap="notBeside" w:x="1504"/>
              <w:rPr>
                <w:bCs/>
                <w:iCs/>
              </w:rPr>
            </w:pPr>
          </w:p>
        </w:tc>
      </w:tr>
      <w:tr w:rsidR="00000000" w:rsidRPr="008F0638" w14:paraId="017C3EA6" w14:textId="77777777">
        <w:tblPrEx>
          <w:tblCellMar>
            <w:top w:w="0" w:type="dxa"/>
            <w:bottom w:w="0" w:type="dxa"/>
          </w:tblCellMar>
        </w:tblPrEx>
        <w:trPr>
          <w:trHeight w:val="284"/>
        </w:trPr>
        <w:tc>
          <w:tcPr>
            <w:tcW w:w="4911" w:type="dxa"/>
          </w:tcPr>
          <w:p w14:paraId="0326C5BB" w14:textId="77777777" w:rsidR="00A9071C" w:rsidRPr="008F0638" w:rsidRDefault="00A9071C">
            <w:pPr>
              <w:pStyle w:val="Avsndare"/>
              <w:framePr w:h="2483" w:wrap="notBeside" w:x="1504"/>
              <w:rPr>
                <w:bCs/>
                <w:iCs/>
              </w:rPr>
            </w:pPr>
          </w:p>
        </w:tc>
      </w:tr>
      <w:tr w:rsidR="00000000" w:rsidRPr="008F0638" w14:paraId="3382A47B" w14:textId="77777777">
        <w:tblPrEx>
          <w:tblCellMar>
            <w:top w:w="0" w:type="dxa"/>
            <w:bottom w:w="0" w:type="dxa"/>
          </w:tblCellMar>
        </w:tblPrEx>
        <w:trPr>
          <w:trHeight w:val="284"/>
        </w:trPr>
        <w:tc>
          <w:tcPr>
            <w:tcW w:w="4911" w:type="dxa"/>
          </w:tcPr>
          <w:p w14:paraId="167C2420" w14:textId="77777777" w:rsidR="00A9071C" w:rsidRPr="008F0638" w:rsidRDefault="00A9071C">
            <w:pPr>
              <w:pStyle w:val="Avsndare"/>
              <w:framePr w:h="2483" w:wrap="notBeside" w:x="1504"/>
              <w:rPr>
                <w:bCs/>
                <w:iCs/>
              </w:rPr>
            </w:pPr>
          </w:p>
        </w:tc>
      </w:tr>
    </w:tbl>
    <w:p w14:paraId="35ECC6A0" w14:textId="77777777" w:rsidR="00A9071C" w:rsidRPr="008F0638" w:rsidRDefault="00A9071C">
      <w:pPr>
        <w:framePr w:w="4400" w:h="2523" w:wrap="notBeside" w:vAnchor="page" w:hAnchor="page" w:x="6453" w:y="2445"/>
        <w:ind w:left="142"/>
        <w:rPr>
          <w:b/>
        </w:rPr>
      </w:pPr>
    </w:p>
    <w:p w14:paraId="578CC02A" w14:textId="77777777" w:rsidR="00A9071C" w:rsidRPr="008F0638" w:rsidRDefault="00A9071C">
      <w:pPr>
        <w:pStyle w:val="RKrubrik"/>
        <w:pBdr>
          <w:bottom w:val="single" w:sz="6" w:space="1" w:color="auto"/>
        </w:pBdr>
      </w:pPr>
      <w:bookmarkStart w:id="0" w:name="bRubrik"/>
      <w:bookmarkEnd w:id="0"/>
      <w:r w:rsidRPr="008F0638">
        <w:t>Rådets möte (Sysselsättning, socialpolitik, hälsa och konsument) den 1 juni 2006</w:t>
      </w:r>
    </w:p>
    <w:p w14:paraId="4DB4F581" w14:textId="77777777" w:rsidR="00A9071C" w:rsidRPr="008F0638" w:rsidRDefault="00A9071C">
      <w:pPr>
        <w:pStyle w:val="RKnormal"/>
      </w:pPr>
    </w:p>
    <w:p w14:paraId="323B456F" w14:textId="77777777" w:rsidR="00A9071C" w:rsidRPr="008F0638" w:rsidRDefault="00A9071C">
      <w:pPr>
        <w:pStyle w:val="RKnormal"/>
      </w:pPr>
      <w:r w:rsidRPr="008F0638">
        <w:t>Dagordningspunkt 11</w:t>
      </w:r>
    </w:p>
    <w:p w14:paraId="26E3788F" w14:textId="77777777" w:rsidR="00A9071C" w:rsidRPr="008F0638" w:rsidRDefault="00A9071C">
      <w:pPr>
        <w:pStyle w:val="RKnormal"/>
      </w:pPr>
    </w:p>
    <w:p w14:paraId="7F94D97E" w14:textId="77777777" w:rsidR="00A9071C" w:rsidRPr="008F0638" w:rsidRDefault="00A9071C">
      <w:pPr>
        <w:pStyle w:val="RKnormal"/>
      </w:pPr>
      <w:r w:rsidRPr="008F0638">
        <w:t>Rubrik: PROGRESS</w:t>
      </w:r>
    </w:p>
    <w:p w14:paraId="0C68A4EC" w14:textId="77777777" w:rsidR="00A9071C" w:rsidRPr="008F0638" w:rsidRDefault="00A9071C">
      <w:pPr>
        <w:pStyle w:val="RKnormal"/>
      </w:pPr>
    </w:p>
    <w:p w14:paraId="258BA5D0" w14:textId="77777777" w:rsidR="00A9071C" w:rsidRPr="008F0638" w:rsidRDefault="00A9071C">
      <w:pPr>
        <w:pStyle w:val="RKnormal"/>
      </w:pPr>
      <w:r w:rsidRPr="008F0638">
        <w:t>Dokument: 13691/05 SOC 413 ECOFIN 326 CADREFIN 214 CODEC 936</w:t>
      </w:r>
    </w:p>
    <w:p w14:paraId="7964D940" w14:textId="77777777" w:rsidR="00A9071C" w:rsidRPr="008F0638" w:rsidRDefault="00A9071C">
      <w:pPr>
        <w:pStyle w:val="RKnormal"/>
      </w:pPr>
    </w:p>
    <w:p w14:paraId="2CEF7166" w14:textId="77777777" w:rsidR="00A9071C" w:rsidRPr="008F0638" w:rsidRDefault="00A9071C">
      <w:pPr>
        <w:pStyle w:val="RKnormal"/>
      </w:pPr>
      <w:r w:rsidRPr="008F0638">
        <w:t>Tidigare dokument: Regeringskansliets Faktapromemoria 2004/05:FPM12, RådsPM inför samråd med EUN den 25 februari 2005.</w:t>
      </w:r>
    </w:p>
    <w:p w14:paraId="78DE2759" w14:textId="77777777" w:rsidR="00A9071C" w:rsidRPr="008F0638" w:rsidRDefault="00A9071C">
      <w:pPr>
        <w:pStyle w:val="RKnormal"/>
      </w:pPr>
    </w:p>
    <w:p w14:paraId="7D98849A" w14:textId="77777777" w:rsidR="00A9071C" w:rsidRPr="008F0638" w:rsidRDefault="00A9071C">
      <w:pPr>
        <w:pStyle w:val="RKnormal"/>
      </w:pPr>
      <w:r w:rsidRPr="008F0638">
        <w:t>Tidigare behandlad vid samråd med EU-nämnden den 25 februari 2005 samt den 2 december 2005.</w:t>
      </w:r>
    </w:p>
    <w:p w14:paraId="5F241123" w14:textId="77777777" w:rsidR="00A9071C" w:rsidRPr="008F0638" w:rsidRDefault="00A9071C">
      <w:pPr>
        <w:pStyle w:val="RKnormal"/>
      </w:pPr>
    </w:p>
    <w:p w14:paraId="05B25C09" w14:textId="77777777" w:rsidR="00A9071C" w:rsidRPr="008F0638" w:rsidRDefault="00A9071C">
      <w:pPr>
        <w:pStyle w:val="RKrubrik"/>
      </w:pPr>
      <w:r w:rsidRPr="008F0638">
        <w:t>Bakgrund</w:t>
      </w:r>
    </w:p>
    <w:p w14:paraId="26818376" w14:textId="77777777" w:rsidR="00A9071C" w:rsidRPr="008F0638" w:rsidRDefault="00A9071C">
      <w:pPr>
        <w:pStyle w:val="RKnormal"/>
      </w:pPr>
      <w:r w:rsidRPr="008F0638">
        <w:t>Kommissionen förslår ett gemenskapsprogram för sysselsättning och social solidaritet, PROGRESS, som skall ge finansiellt stöd till genomförandet av EU:s mål på det sysselsättnings- och socialpolitiska området och därigenom bidra till att nå Lissabonstrategins mål på dessa områden. Programmet skall löpa från den 1 januari 2007 till den 31 december 2013. PROGRESS är tänkt att fungera som ett integrerat program som fortsätter och vidareutvecklar av de verksamheter som inleddes genom inrättande av gemenskapens</w:t>
      </w:r>
      <w:r w:rsidRPr="008F0638">
        <w:t xml:space="preserve"> handlingsprogram mot diskriminering (2001–2006)</w:t>
      </w:r>
      <w:r w:rsidRPr="008F0638">
        <w:rPr>
          <w:rStyle w:val="Fotnotsreferens"/>
        </w:rPr>
        <w:t xml:space="preserve"> </w:t>
      </w:r>
      <w:r w:rsidRPr="008F0638">
        <w:rPr>
          <w:rStyle w:val="Fotnotsreferens"/>
        </w:rPr>
        <w:footnoteReference w:id="1"/>
      </w:r>
      <w:r w:rsidRPr="008F0638">
        <w:t>, inrättande av gemenskapens handlingsprogram avseende gemenskapens strategi för jämställdhet mellan kvinnor och män</w:t>
      </w:r>
      <w:r w:rsidRPr="008F0638">
        <w:rPr>
          <w:rStyle w:val="Fotnotsreferens"/>
        </w:rPr>
        <w:footnoteReference w:id="2"/>
      </w:r>
      <w:r w:rsidRPr="008F0638">
        <w:t>, inrättande av ett program för gemenskapsåtgärder som skall uppmuntra medlemsstaterna att samarbeta för att motverka social utslagning</w:t>
      </w:r>
      <w:r w:rsidRPr="008F0638">
        <w:rPr>
          <w:rStyle w:val="Fotnotsreferens"/>
        </w:rPr>
        <w:footnoteReference w:id="3"/>
      </w:r>
      <w:r w:rsidRPr="008F0638">
        <w:t xml:space="preserve"> gemenskapens stödåtgärder inom sysselsättningsområdet</w:t>
      </w:r>
      <w:r w:rsidRPr="008F0638">
        <w:rPr>
          <w:rStyle w:val="Fotnotsreferens"/>
        </w:rPr>
        <w:footnoteReference w:id="4"/>
      </w:r>
      <w:r w:rsidRPr="008F0638">
        <w:t>, samt den verksamhet som bedrivs på gemenskapsnivå avseende arbetsvillkor.</w:t>
      </w:r>
    </w:p>
    <w:p w14:paraId="519D1690" w14:textId="77777777" w:rsidR="00A9071C" w:rsidRPr="008F0638" w:rsidRDefault="00A9071C">
      <w:pPr>
        <w:pStyle w:val="RKnormal"/>
      </w:pPr>
    </w:p>
    <w:p w14:paraId="12778435" w14:textId="77777777" w:rsidR="00A9071C" w:rsidRPr="008F0638" w:rsidRDefault="00A9071C">
      <w:pPr>
        <w:pStyle w:val="RKnormal"/>
      </w:pPr>
      <w:r w:rsidRPr="008F0638">
        <w:t>Förslaget rör enbart de finansieringsinstrument som förvaltas direkt av kommissionen och syftar till att rationalisera dessa.</w:t>
      </w:r>
    </w:p>
    <w:p w14:paraId="0E179C54" w14:textId="77777777" w:rsidR="00A9071C" w:rsidRPr="008F0638" w:rsidRDefault="00A9071C">
      <w:pPr>
        <w:pStyle w:val="RKnormal"/>
      </w:pPr>
    </w:p>
    <w:p w14:paraId="3AD50966" w14:textId="77777777" w:rsidR="00A9071C" w:rsidRPr="008F0638" w:rsidRDefault="00A9071C">
      <w:pPr>
        <w:pStyle w:val="RKnormal"/>
      </w:pPr>
      <w:r w:rsidRPr="008F0638">
        <w:t xml:space="preserve">Rådet har den 8 december 2005 antagit en partiell gemensam ståndpunkt där  artikel 17 (budget och budgetfördelning) undantogs då beslut om EU:s långsiktiga budget ännu inte hade tagits. </w:t>
      </w:r>
    </w:p>
    <w:p w14:paraId="19D66174" w14:textId="77777777" w:rsidR="00A9071C" w:rsidRPr="008F0638" w:rsidRDefault="00A9071C">
      <w:pPr>
        <w:pStyle w:val="RKnormal"/>
      </w:pPr>
    </w:p>
    <w:p w14:paraId="506558FC" w14:textId="77777777" w:rsidR="00A9071C" w:rsidRPr="008F0638" w:rsidRDefault="00A9071C">
      <w:pPr>
        <w:pStyle w:val="RKnormal"/>
      </w:pPr>
      <w:r w:rsidRPr="008F0638">
        <w:t>Uppgörelse om EU:s långtidsbudget har för PROGRESS inneburit en viss ökning av den totala budgeten, som nu är 657 miljoner Euro över programperioden.</w:t>
      </w:r>
    </w:p>
    <w:p w14:paraId="5B139E14" w14:textId="77777777" w:rsidR="00A9071C" w:rsidRPr="008F0638" w:rsidRDefault="00A9071C">
      <w:pPr>
        <w:pStyle w:val="RKnormal"/>
      </w:pPr>
    </w:p>
    <w:p w14:paraId="1AA439A3" w14:textId="77777777" w:rsidR="00A9071C" w:rsidRPr="008F0638" w:rsidRDefault="00A9071C">
      <w:pPr>
        <w:pStyle w:val="RKnormal"/>
      </w:pPr>
      <w:r w:rsidRPr="008F0638">
        <w:t>Det österrikiska ordförandeskapet har under våren lett diskussionerna kring medelsfördelningen inom programmet och förslagit följande:</w:t>
      </w:r>
    </w:p>
    <w:p w14:paraId="2943E9EC" w14:textId="77777777" w:rsidR="00A9071C" w:rsidRPr="008F0638" w:rsidRDefault="00A9071C">
      <w:pPr>
        <w:pStyle w:val="RKnormal"/>
      </w:pPr>
    </w:p>
    <w:p w14:paraId="2D71D60E" w14:textId="77777777" w:rsidR="00A9071C" w:rsidRPr="008F0638" w:rsidRDefault="00A9071C">
      <w:pPr>
        <w:pStyle w:val="RKnormal"/>
      </w:pPr>
      <w:r w:rsidRPr="008F0638">
        <w:t>(1) Sysselsättning</w:t>
      </w:r>
      <w:r w:rsidRPr="008F0638">
        <w:tab/>
        <w:t>23%</w:t>
      </w:r>
    </w:p>
    <w:p w14:paraId="032DB054" w14:textId="77777777" w:rsidR="00A9071C" w:rsidRPr="008F0638" w:rsidRDefault="00A9071C">
      <w:pPr>
        <w:pStyle w:val="RKnormal"/>
      </w:pPr>
    </w:p>
    <w:p w14:paraId="0AD246CF" w14:textId="77777777" w:rsidR="00A9071C" w:rsidRPr="008F0638" w:rsidRDefault="00A9071C">
      <w:pPr>
        <w:pStyle w:val="RKnormal"/>
      </w:pPr>
      <w:r w:rsidRPr="008F0638">
        <w:t xml:space="preserve">(2) Social trygghet och </w:t>
      </w:r>
      <w:r w:rsidRPr="008F0638">
        <w:tab/>
        <w:t>30 %</w:t>
      </w:r>
    </w:p>
    <w:p w14:paraId="3FF320D5" w14:textId="77777777" w:rsidR="00A9071C" w:rsidRPr="008F0638" w:rsidRDefault="00A9071C">
      <w:pPr>
        <w:pStyle w:val="RKnormal"/>
      </w:pPr>
      <w:r w:rsidRPr="008F0638">
        <w:t>social integration</w:t>
      </w:r>
    </w:p>
    <w:p w14:paraId="6D3F6D99" w14:textId="77777777" w:rsidR="00A9071C" w:rsidRPr="008F0638" w:rsidRDefault="00A9071C">
      <w:pPr>
        <w:pStyle w:val="RKnormal"/>
      </w:pPr>
    </w:p>
    <w:p w14:paraId="355C7C85" w14:textId="77777777" w:rsidR="00A9071C" w:rsidRPr="008F0638" w:rsidRDefault="00A9071C">
      <w:pPr>
        <w:pStyle w:val="RKnormal"/>
      </w:pPr>
      <w:r w:rsidRPr="008F0638">
        <w:t>(3) Arbetsmiljö</w:t>
      </w:r>
      <w:r w:rsidRPr="008F0638">
        <w:tab/>
        <w:t>10 %</w:t>
      </w:r>
    </w:p>
    <w:p w14:paraId="3821D08F" w14:textId="77777777" w:rsidR="00A9071C" w:rsidRPr="008F0638" w:rsidRDefault="00A9071C">
      <w:pPr>
        <w:pStyle w:val="RKnormal"/>
      </w:pPr>
    </w:p>
    <w:p w14:paraId="044ADA6A" w14:textId="77777777" w:rsidR="00A9071C" w:rsidRPr="008F0638" w:rsidRDefault="00A9071C">
      <w:pPr>
        <w:pStyle w:val="RKnormal"/>
      </w:pPr>
      <w:r w:rsidRPr="008F0638">
        <w:t xml:space="preserve">(4) Antidiskriminering </w:t>
      </w:r>
      <w:r w:rsidRPr="008F0638">
        <w:tab/>
        <w:t>23 %</w:t>
      </w:r>
    </w:p>
    <w:p w14:paraId="46A9CD87" w14:textId="77777777" w:rsidR="00A9071C" w:rsidRPr="008F0638" w:rsidRDefault="00A9071C">
      <w:pPr>
        <w:pStyle w:val="RKnormal"/>
      </w:pPr>
      <w:r w:rsidRPr="008F0638">
        <w:t>och mångfald</w:t>
      </w:r>
    </w:p>
    <w:p w14:paraId="7B3E96A5" w14:textId="77777777" w:rsidR="00A9071C" w:rsidRPr="008F0638" w:rsidRDefault="00A9071C">
      <w:pPr>
        <w:pStyle w:val="RKnormal"/>
      </w:pPr>
    </w:p>
    <w:p w14:paraId="2B2639A5" w14:textId="77777777" w:rsidR="00A9071C" w:rsidRPr="008F0638" w:rsidRDefault="00A9071C">
      <w:pPr>
        <w:pStyle w:val="RKnormal"/>
      </w:pPr>
      <w:r w:rsidRPr="008F0638">
        <w:t>(5) Jämställdhet</w:t>
      </w:r>
      <w:r w:rsidRPr="008F0638">
        <w:tab/>
        <w:t>12 %</w:t>
      </w:r>
    </w:p>
    <w:p w14:paraId="747E3299" w14:textId="77777777" w:rsidR="00A9071C" w:rsidRPr="008F0638" w:rsidRDefault="00A9071C">
      <w:pPr>
        <w:pStyle w:val="RKnormal"/>
      </w:pPr>
    </w:p>
    <w:p w14:paraId="2868189C" w14:textId="77777777" w:rsidR="00A9071C" w:rsidRPr="008F0638" w:rsidRDefault="00A9071C">
      <w:pPr>
        <w:pStyle w:val="RKnormal"/>
      </w:pPr>
      <w:r w:rsidRPr="008F0638">
        <w:t xml:space="preserve">Förslaget innebär en ökning med 2 % inom områden 1, 2 och 3 och med 4 % inom område 5. </w:t>
      </w:r>
    </w:p>
    <w:p w14:paraId="3C84EA6B" w14:textId="77777777" w:rsidR="00A9071C" w:rsidRPr="008F0638" w:rsidRDefault="00A9071C">
      <w:pPr>
        <w:pStyle w:val="RKnormal"/>
      </w:pPr>
    </w:p>
    <w:p w14:paraId="5221EB3A" w14:textId="77777777" w:rsidR="00A9071C" w:rsidRPr="008F0638" w:rsidRDefault="00A9071C">
      <w:pPr>
        <w:pStyle w:val="RKnormal"/>
      </w:pPr>
      <w:r w:rsidRPr="008F0638">
        <w:t xml:space="preserve">Förslaget innebär även att den marginal för flexibilitet mellan olika år, som i kommissionens ursprungliga förslag uppgick till 10 %, försvinner. </w:t>
      </w:r>
    </w:p>
    <w:p w14:paraId="7A4A0089" w14:textId="77777777" w:rsidR="00A9071C" w:rsidRPr="008F0638" w:rsidRDefault="00A9071C">
      <w:pPr>
        <w:pStyle w:val="RKnormal"/>
      </w:pPr>
    </w:p>
    <w:p w14:paraId="04037A44" w14:textId="77777777" w:rsidR="00A9071C" w:rsidRPr="008F0638" w:rsidRDefault="00A9071C">
      <w:pPr>
        <w:pStyle w:val="RKnormal"/>
      </w:pPr>
      <w:r w:rsidRPr="008F0638">
        <w:t>Alla medlemsstater har kunnat acceptera förslaget. Förslaget går även Europaparlamentet till mötes vad gäller fördelningen mellan programmets delar.</w:t>
      </w:r>
    </w:p>
    <w:p w14:paraId="147624CC" w14:textId="77777777" w:rsidR="00A9071C" w:rsidRPr="008F0638" w:rsidRDefault="00A9071C">
      <w:pPr>
        <w:pStyle w:val="RKrubrik"/>
      </w:pPr>
      <w:r w:rsidRPr="008F0638">
        <w:t>Rättslig grund och beslutsförfarande</w:t>
      </w:r>
    </w:p>
    <w:p w14:paraId="136E7264" w14:textId="77777777" w:rsidR="00A9071C" w:rsidRPr="008F0638" w:rsidRDefault="00A9071C">
      <w:pPr>
        <w:rPr>
          <w:b/>
        </w:rPr>
      </w:pPr>
      <w:r w:rsidRPr="008F0638">
        <w:t>Artiklar 13.2, 40, 129 och 137.1 a/b/j/k. Beslut sker med kvalificerad majoritet och medbeslutande med Europaparlamentet</w:t>
      </w:r>
      <w:r w:rsidRPr="008F0638">
        <w:rPr>
          <w:rStyle w:val="Kommentarsreferens"/>
          <w:b/>
          <w:vanish/>
          <w:sz w:val="19"/>
        </w:rPr>
        <w:t xml:space="preserve"> </w:t>
      </w:r>
      <w:commentRangeStart w:id="1"/>
      <w:commentRangeStart w:id="2"/>
      <w:commentRangeEnd w:id="2"/>
      <w:r w:rsidRPr="008F0638">
        <w:rPr>
          <w:rStyle w:val="Kommentarsreferens"/>
          <w:b/>
          <w:sz w:val="24"/>
        </w:rPr>
        <w:commentReference w:id="2"/>
      </w:r>
      <w:commentRangeEnd w:id="1"/>
      <w:r w:rsidRPr="008F0638">
        <w:rPr>
          <w:rStyle w:val="Kommentarsreferens"/>
          <w:b/>
          <w:sz w:val="24"/>
        </w:rPr>
        <w:commentReference w:id="1"/>
      </w:r>
    </w:p>
    <w:p w14:paraId="0F27165C" w14:textId="77777777" w:rsidR="00A9071C" w:rsidRPr="008F0638" w:rsidRDefault="00A9071C">
      <w:pPr>
        <w:pStyle w:val="RKrubrik"/>
        <w:rPr>
          <w:i/>
          <w:iCs/>
        </w:rPr>
      </w:pPr>
      <w:r w:rsidRPr="008F0638">
        <w:rPr>
          <w:i/>
          <w:iCs/>
        </w:rPr>
        <w:t>Svensk ståndpunkt</w:t>
      </w:r>
    </w:p>
    <w:p w14:paraId="69918B74" w14:textId="77777777" w:rsidR="00A9071C" w:rsidRPr="008F0638" w:rsidRDefault="00A9071C">
      <w:pPr>
        <w:pStyle w:val="RKrubrik"/>
        <w:rPr>
          <w:rFonts w:ascii="OrigGarmnd BT" w:hAnsi="OrigGarmnd BT"/>
          <w:b w:val="0"/>
          <w:sz w:val="24"/>
        </w:rPr>
      </w:pPr>
      <w:r w:rsidRPr="008F0638">
        <w:rPr>
          <w:rFonts w:ascii="OrigGarmnd BT" w:hAnsi="OrigGarmnd BT"/>
          <w:b w:val="0"/>
          <w:sz w:val="24"/>
        </w:rPr>
        <w:t>Sverige kan anta det österrikiska ordförandeskapets förslag gällande artikel 17.</w:t>
      </w:r>
    </w:p>
    <w:p w14:paraId="0F9FDEA6" w14:textId="77777777" w:rsidR="00A9071C" w:rsidRPr="008F0638" w:rsidRDefault="00A9071C">
      <w:pPr>
        <w:pStyle w:val="RKrubrik"/>
      </w:pPr>
      <w:r w:rsidRPr="008F0638">
        <w:t>Europaparlamentets inställning</w:t>
      </w:r>
    </w:p>
    <w:p w14:paraId="032D434D" w14:textId="77777777" w:rsidR="00A9071C" w:rsidRPr="008F0638" w:rsidRDefault="00A9071C">
      <w:pPr>
        <w:pStyle w:val="RKnormal"/>
      </w:pPr>
      <w:r w:rsidRPr="008F0638">
        <w:t xml:space="preserve">Rapporten från Europaparlamentets första läsning presenterades den 26 juni 2005. Europaparlamentets vill dels öka PROGRESS totala budget med c:a 50 %, dels se en ökad medelsfördelning till områdena ”social trygghet och social integration” och ”jämställdhet”. </w:t>
      </w:r>
    </w:p>
    <w:p w14:paraId="7A7B8EE7" w14:textId="77777777" w:rsidR="00A9071C" w:rsidRPr="008F0638" w:rsidRDefault="00A9071C">
      <w:pPr>
        <w:pStyle w:val="RKrubrik"/>
        <w:rPr>
          <w:i/>
          <w:iCs/>
        </w:rPr>
      </w:pPr>
      <w:r w:rsidRPr="008F0638">
        <w:rPr>
          <w:i/>
          <w:iCs/>
        </w:rPr>
        <w:t>Förslaget</w:t>
      </w:r>
    </w:p>
    <w:p w14:paraId="71261B05" w14:textId="77777777" w:rsidR="00A9071C" w:rsidRPr="008F0638" w:rsidRDefault="00A9071C">
      <w:pPr>
        <w:pStyle w:val="RKnormal"/>
      </w:pPr>
      <w:r w:rsidRPr="008F0638">
        <w:t>I fördraget framhålls att Europeiska unionen har som mål att främja en hög sysselsättningsnivå och ett starkt socialt skydd, förbättrade arbetsvillkor, antidiskriminering, jämställdhet, fri rörlighet för arbetstagare och dialog mellan arbetsmarknadens parter. Fastän medlemsstaterna har huvudansvaret på dessa områden, framhåller kommissionen att det även framöver kommer att behövas vissa begränsade medel för stödverksamhet av väsentligen följande skäl: (1) enhetlig implementering av EU-lagstiftning; (2) gem</w:t>
      </w:r>
      <w:r w:rsidRPr="008F0638">
        <w:t>enskapsfinansiering av den öppna samordningsmetoden; samt (3) för att kommissionen skall kunna utföra sin fördragsfästa autonoma behörighet att främja samråd mellan parterna på gemenskapsnivå.</w:t>
      </w:r>
    </w:p>
    <w:p w14:paraId="5DE77D56" w14:textId="77777777" w:rsidR="00A9071C" w:rsidRPr="008F0638" w:rsidRDefault="00A9071C">
      <w:pPr>
        <w:pStyle w:val="RKnormal"/>
      </w:pPr>
    </w:p>
    <w:p w14:paraId="14C02316" w14:textId="77777777" w:rsidR="00A9071C" w:rsidRPr="008F0638" w:rsidRDefault="00A9071C">
      <w:pPr>
        <w:pStyle w:val="RKnormal"/>
      </w:pPr>
      <w:r w:rsidRPr="008F0638">
        <w:t>För att förenkla och rationalisera den rådande situationen, föreslår kommissionen att åtgärderna inom det sysselsättnings- och socialpolitiska området delas upp på två områden med en budgetpost var:</w:t>
      </w:r>
    </w:p>
    <w:p w14:paraId="2A0ECA7A" w14:textId="77777777" w:rsidR="00A9071C" w:rsidRPr="008F0638" w:rsidRDefault="00A9071C">
      <w:pPr>
        <w:pStyle w:val="RKnormal"/>
      </w:pPr>
      <w:r w:rsidRPr="008F0638">
        <w:t>1. Det första området föreslås bli ett integrerat program för sysselsättning och social solidaritet (PROGRESS) för åren 2007–2013. Programmet införs genom att Europaparlamentet och rådet antar det i förslaget bifogade beslutet. Programmet skall ta över de fyra nuvarande gemenskapsprogrammen för genomförande av den socialpolitiska dagordningen och även några budgetposter för arbetsvillkor. Dess anslag kommer att uppgå till 628,8 miljoner euro under löptiden.</w:t>
      </w:r>
    </w:p>
    <w:p w14:paraId="147A68BD" w14:textId="77777777" w:rsidR="00A9071C" w:rsidRPr="008F0638" w:rsidRDefault="00A9071C">
      <w:pPr>
        <w:pStyle w:val="RKnormal"/>
      </w:pPr>
      <w:r w:rsidRPr="008F0638">
        <w:t>2. Det andra området, ”Stöd till den sociala dialogen, fri rörlighet för arbetstagare samt undersökningar och särskilda rapporter på det sociala området”, kommer att tas upp i ett särskilt meddelande eftersom inga särskilda rättsakter krävs. Detta område kommer att omfatta utgifter i enlighet med befintliga förordningar och kommissionens egen behörighet i enlighet med artikel 49.2 c i budgetförordningen och artikel 33.1 i dess genomförandebestämmelser. Denna andra budgetpost kommer att uppgå till 479,9 mil</w:t>
      </w:r>
      <w:r w:rsidRPr="008F0638">
        <w:t>joner euro under åren 2007–2013.</w:t>
      </w:r>
    </w:p>
    <w:p w14:paraId="3710D9E7" w14:textId="77777777" w:rsidR="00A9071C" w:rsidRPr="008F0638" w:rsidRDefault="00A9071C">
      <w:pPr>
        <w:pStyle w:val="RKnormal"/>
      </w:pPr>
    </w:p>
    <w:p w14:paraId="1C843216" w14:textId="77777777" w:rsidR="00A9071C" w:rsidRPr="008F0638" w:rsidRDefault="00A9071C">
      <w:pPr>
        <w:pStyle w:val="RKnormal"/>
      </w:pPr>
      <w:r w:rsidRPr="008F0638">
        <w:t>PROGRESS, skall således ge finansiellt stöd till genomförandet av EU:s mål på det sysselsättnings- och socialpolitiska området och därigenom bidra till att nå Lissabonstrategins mål på dessa områden. Programmet skall löpa från den 1 januari 2007 till den 31 december 2013.</w:t>
      </w:r>
    </w:p>
    <w:p w14:paraId="16822E31" w14:textId="77777777" w:rsidR="00A9071C" w:rsidRPr="008F0638" w:rsidRDefault="00A9071C">
      <w:pPr>
        <w:pStyle w:val="RKnormal"/>
      </w:pPr>
    </w:p>
    <w:p w14:paraId="1B32CA1F" w14:textId="77777777" w:rsidR="00A9071C" w:rsidRPr="008F0638" w:rsidRDefault="00A9071C">
      <w:pPr>
        <w:pStyle w:val="RKnormal"/>
      </w:pPr>
      <w:r w:rsidRPr="008F0638">
        <w:t>Programmet föreslås få följande allmänna mål:</w:t>
      </w:r>
    </w:p>
    <w:p w14:paraId="0680C335" w14:textId="77777777" w:rsidR="00A9071C" w:rsidRPr="008F0638" w:rsidRDefault="00A9071C">
      <w:pPr>
        <w:pStyle w:val="RKnormal"/>
      </w:pPr>
      <w:r w:rsidRPr="008F0638">
        <w:t>(a) Förbättra kunskapen om och förståelsen för situationen i medlemsstaterna (och i andra medverkande länder) genom analys, utvärdering och övervakning av politiska åtgärder.</w:t>
      </w:r>
    </w:p>
    <w:p w14:paraId="14CD87B9" w14:textId="77777777" w:rsidR="00A9071C" w:rsidRPr="008F0638" w:rsidRDefault="00A9071C">
      <w:pPr>
        <w:pStyle w:val="RKnormal"/>
      </w:pPr>
      <w:r w:rsidRPr="008F0638">
        <w:t>(b) Stödja utvecklingen av statistiska verktyg och metoder och gemensamma indikatorer på de områden som programmet omfattar.</w:t>
      </w:r>
    </w:p>
    <w:p w14:paraId="2BDC71EA" w14:textId="77777777" w:rsidR="00A9071C" w:rsidRPr="008F0638" w:rsidRDefault="00A9071C">
      <w:pPr>
        <w:pStyle w:val="RKnormal"/>
      </w:pPr>
      <w:r w:rsidRPr="008F0638">
        <w:t>(c) Stödja och övervaka genomförandet av EU:s lagstiftning och politiska mål i medlemsstaterna och utvärdera deras inverkan.</w:t>
      </w:r>
    </w:p>
    <w:p w14:paraId="430AF034" w14:textId="77777777" w:rsidR="00A9071C" w:rsidRPr="008F0638" w:rsidRDefault="00A9071C">
      <w:pPr>
        <w:pStyle w:val="RKnormal"/>
      </w:pPr>
      <w:r w:rsidRPr="008F0638">
        <w:t>(d) Främja nätverk, ömsesidigt lärande och kartläggning och spridning av bra lösningar på EU-nivå.</w:t>
      </w:r>
    </w:p>
    <w:p w14:paraId="15ADDEB3" w14:textId="77777777" w:rsidR="00A9071C" w:rsidRPr="008F0638" w:rsidRDefault="00A9071C">
      <w:pPr>
        <w:pStyle w:val="RKnormal"/>
      </w:pPr>
      <w:r w:rsidRPr="008F0638">
        <w:t>(e) Öka de berörda parternas och allmänhetens medvetenhet om de EU-politiska mål som eftersträvas under vart och ett av de fem avsnitten.</w:t>
      </w:r>
    </w:p>
    <w:p w14:paraId="4A452A68" w14:textId="77777777" w:rsidR="00A9071C" w:rsidRPr="008F0638" w:rsidRDefault="00A9071C">
      <w:pPr>
        <w:pStyle w:val="RKnormal"/>
      </w:pPr>
      <w:r w:rsidRPr="008F0638">
        <w:t>(f) Öka centrala EU-nätverks kapacitet att främja och stödja EU:s politik.</w:t>
      </w:r>
    </w:p>
    <w:p w14:paraId="5A78A628" w14:textId="77777777" w:rsidR="00A9071C" w:rsidRPr="008F0638" w:rsidRDefault="00A9071C">
      <w:pPr>
        <w:pStyle w:val="RKnormal"/>
      </w:pPr>
    </w:p>
    <w:p w14:paraId="618B2638" w14:textId="77777777" w:rsidR="00A9071C" w:rsidRPr="008F0638" w:rsidRDefault="00A9071C">
      <w:pPr>
        <w:pStyle w:val="RKnormal"/>
      </w:pPr>
      <w:r w:rsidRPr="008F0638">
        <w:t>Programmet kommer att indelas i fem avsnitt, som motsvarar de fem viktigaste verksamhetsområdena:</w:t>
      </w:r>
    </w:p>
    <w:p w14:paraId="32461C72" w14:textId="77777777" w:rsidR="00A9071C" w:rsidRPr="008F0638" w:rsidRDefault="00A9071C">
      <w:pPr>
        <w:pStyle w:val="RKnormal"/>
      </w:pPr>
      <w:r w:rsidRPr="008F0638">
        <w:t>(1) Sysselsättning</w:t>
      </w:r>
    </w:p>
    <w:p w14:paraId="46BDFCAF" w14:textId="77777777" w:rsidR="00A9071C" w:rsidRPr="008F0638" w:rsidRDefault="00A9071C">
      <w:pPr>
        <w:pStyle w:val="RKnormal"/>
      </w:pPr>
      <w:r w:rsidRPr="008F0638">
        <w:t>(2) Socialt skydd och social integration</w:t>
      </w:r>
    </w:p>
    <w:p w14:paraId="0193930E" w14:textId="77777777" w:rsidR="00A9071C" w:rsidRPr="008F0638" w:rsidRDefault="00A9071C">
      <w:pPr>
        <w:pStyle w:val="RKnormal"/>
      </w:pPr>
      <w:r w:rsidRPr="008F0638">
        <w:t>(3) Arbetsvillkor</w:t>
      </w:r>
    </w:p>
    <w:p w14:paraId="157D2C85" w14:textId="77777777" w:rsidR="00A9071C" w:rsidRPr="008F0638" w:rsidRDefault="00A9071C">
      <w:pPr>
        <w:pStyle w:val="RKnormal"/>
      </w:pPr>
      <w:r w:rsidRPr="008F0638">
        <w:t>(4) Antidiskriminering och mångfald</w:t>
      </w:r>
    </w:p>
    <w:p w14:paraId="7E21B924" w14:textId="77777777" w:rsidR="00A9071C" w:rsidRPr="008F0638" w:rsidRDefault="00A9071C">
      <w:pPr>
        <w:pStyle w:val="RKnormal"/>
      </w:pPr>
      <w:r w:rsidRPr="008F0638">
        <w:t>(5) Jämställdhet</w:t>
      </w:r>
    </w:p>
    <w:p w14:paraId="6EC882B7" w14:textId="77777777" w:rsidR="00A9071C" w:rsidRPr="008F0638" w:rsidRDefault="00A9071C">
      <w:pPr>
        <w:pStyle w:val="RKrubrik"/>
        <w:rPr>
          <w:i/>
          <w:iCs/>
        </w:rPr>
      </w:pPr>
      <w:r w:rsidRPr="008F0638">
        <w:rPr>
          <w:i/>
          <w:iCs/>
        </w:rPr>
        <w:t>Gällande svenska regler och förslagets effekter på dessa</w:t>
      </w:r>
    </w:p>
    <w:p w14:paraId="1D4B869E" w14:textId="77777777" w:rsidR="00A9071C" w:rsidRPr="008F0638" w:rsidRDefault="00A9071C">
      <w:pPr>
        <w:pStyle w:val="RKnormal"/>
      </w:pPr>
      <w:r w:rsidRPr="008F0638">
        <w:t>Förslaget påverkar inte svenska lagar eller förordningar.</w:t>
      </w:r>
    </w:p>
    <w:p w14:paraId="757810AB" w14:textId="77777777" w:rsidR="00A9071C" w:rsidRPr="008F0638" w:rsidRDefault="00A9071C">
      <w:pPr>
        <w:pStyle w:val="RKrubrik"/>
      </w:pPr>
      <w:r w:rsidRPr="008F0638">
        <w:t>Ekonomiska konsekvenser</w:t>
      </w:r>
    </w:p>
    <w:p w14:paraId="1A2475F2" w14:textId="77777777" w:rsidR="00A9071C" w:rsidRPr="008F0638" w:rsidRDefault="00A9071C">
      <w:pPr>
        <w:pStyle w:val="RKnormal"/>
        <w:rPr>
          <w:color w:val="FF0000"/>
        </w:rPr>
      </w:pPr>
      <w:r w:rsidRPr="008F0638">
        <w:rPr>
          <w:highlight w:val="yellow"/>
        </w:rPr>
        <w:t>Sveriges andel av utgifterna från EU:s budget är i innevarande finansiella perspektiv 2,9 procent. Kommissionens förslag till program skulle alltså få en utgiftseffekt på 2,9 procent av programmets slutliga budget.</w:t>
      </w:r>
      <w:r w:rsidRPr="008F0638">
        <w:t xml:space="preserve"> </w:t>
      </w:r>
      <w:r w:rsidRPr="008F0638">
        <w:rPr>
          <w:color w:val="FF0000"/>
        </w:rPr>
        <w:t>[Tacksam ev. uppdatering från FI]</w:t>
      </w:r>
    </w:p>
    <w:p w14:paraId="03CD8847" w14:textId="77777777" w:rsidR="00A9071C" w:rsidRPr="008F0638" w:rsidRDefault="00A9071C">
      <w:pPr>
        <w:pStyle w:val="RKrubrik"/>
      </w:pPr>
      <w:r w:rsidRPr="008F0638">
        <w:t>Övrigt</w:t>
      </w:r>
    </w:p>
    <w:p w14:paraId="7EF1CA94" w14:textId="77777777" w:rsidR="00A9071C" w:rsidRPr="008F0638" w:rsidRDefault="00A9071C">
      <w:pPr>
        <w:pStyle w:val="RKnormal"/>
      </w:pPr>
    </w:p>
    <w:p w14:paraId="1CF59836" w14:textId="77777777" w:rsidR="00A9071C" w:rsidRPr="008F0638" w:rsidRDefault="00A9071C">
      <w:pPr>
        <w:pStyle w:val="RKnormal"/>
        <w:rPr>
          <w:i/>
          <w:iCs/>
        </w:rPr>
      </w:pPr>
    </w:p>
    <w:p w14:paraId="14DD209E" w14:textId="77777777" w:rsidR="00A9071C" w:rsidRPr="008F0638" w:rsidRDefault="00A9071C">
      <w:pPr>
        <w:pStyle w:val="RKnormal"/>
        <w:ind w:left="-1134"/>
      </w:pPr>
    </w:p>
    <w:p w14:paraId="02390E71" w14:textId="77777777" w:rsidR="00A9071C" w:rsidRPr="008F0638" w:rsidRDefault="00A9071C">
      <w:pPr>
        <w:pStyle w:val="RKrubrik"/>
        <w:spacing w:before="0" w:after="0"/>
      </w:pPr>
    </w:p>
    <w:p w14:paraId="61EBABA3" w14:textId="77777777" w:rsidR="00A9071C" w:rsidRPr="008F0638" w:rsidRDefault="00A9071C">
      <w:pPr>
        <w:pStyle w:val="RKnormal"/>
      </w:pPr>
    </w:p>
    <w:p w14:paraId="29247AF7" w14:textId="77777777" w:rsidR="00A9071C" w:rsidRPr="008F0638" w:rsidRDefault="00A9071C">
      <w:pPr>
        <w:pStyle w:val="RKnormal"/>
      </w:pPr>
    </w:p>
    <w:sectPr w:rsidR="00A9071C" w:rsidRPr="008F0638">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ot" w:initials="N">
    <w:p w14:paraId="1F62E3A9" w14:textId="77777777" w:rsidR="00A9071C" w:rsidRPr="008F0638" w:rsidRDefault="00A9071C">
      <w:pPr>
        <w:pStyle w:val="Kommentarer"/>
      </w:pPr>
      <w:r w:rsidRPr="008F0638">
        <w:fldChar w:fldCharType="begin" w:fldLock="1"/>
      </w:r>
      <w:r w:rsidRPr="008F0638">
        <w:instrText>PAGE \# "'Sidan: '#'</w:instrText>
      </w:r>
      <w:r w:rsidRPr="008F0638">
        <w:br/>
        <w:instrText>'"</w:instrText>
      </w:r>
      <w:r w:rsidRPr="008F0638">
        <w:rPr>
          <w:rStyle w:val="Kommentarsreferens"/>
        </w:rPr>
        <w:instrText xml:space="preserve">  </w:instrText>
      </w:r>
      <w:r w:rsidRPr="008F0638">
        <w:fldChar w:fldCharType="end"/>
      </w:r>
      <w:r w:rsidRPr="008F0638">
        <w:rPr>
          <w:rStyle w:val="Kommentarsreferens"/>
        </w:rPr>
        <w:annotationRef/>
      </w:r>
      <w:r w:rsidRPr="008F0638">
        <w:t>Ange KOMs förslag till rättslig grund, ev. invändningar samt relevanta artiklar i grundfördragen. Ange vidare om frågan kräver enkel majoritet, kvalificerad majoritet eller enhällighet och om EP är medbeslutande.</w:t>
      </w:r>
    </w:p>
  </w:comment>
  <w:comment w:id="1" w:author="Not" w:initials="N">
    <w:p w14:paraId="2FC48EF5" w14:textId="77777777" w:rsidR="00A9071C" w:rsidRPr="008F0638" w:rsidRDefault="00A9071C">
      <w:pPr>
        <w:pStyle w:val="Kommentarer"/>
      </w:pPr>
      <w:r w:rsidRPr="008F0638">
        <w:fldChar w:fldCharType="begin" w:fldLock="1"/>
      </w:r>
      <w:r w:rsidRPr="008F0638">
        <w:instrText>PAGE \# "'Sidan: '#'</w:instrText>
      </w:r>
      <w:r w:rsidRPr="008F0638">
        <w:br/>
        <w:instrText>'"</w:instrText>
      </w:r>
      <w:r w:rsidRPr="008F0638">
        <w:rPr>
          <w:rStyle w:val="Kommentarsreferens"/>
        </w:rPr>
        <w:instrText xml:space="preserve">  </w:instrText>
      </w:r>
      <w:r w:rsidRPr="008F0638">
        <w:fldChar w:fldCharType="end"/>
      </w:r>
      <w:r w:rsidRPr="008F0638">
        <w:rPr>
          <w:rStyle w:val="Kommentarsreferens"/>
        </w:rPr>
        <w:annotationRef/>
      </w:r>
      <w:r w:rsidRPr="008F0638">
        <w:t>Ange KOMs förslag till rättslig grund, ev. invändningar samt relevanta artiklar i grundfördragen. Ange vidare om frågan kräver enkel majoritet, kvalificerad majoritet eller enhällighet och om EP är medbeslutande.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2E3A9" w15:done="0"/>
  <w15:commentEx w15:paraId="2FC48E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2E3A9" w16cid:durableId="06562BCB"/>
  <w16cid:commentId w16cid:paraId="2FC48EF5" w16cid:durableId="52EEF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FA2A" w14:textId="77777777" w:rsidR="00A9071C" w:rsidRPr="008F0638" w:rsidRDefault="00A9071C">
      <w:pPr>
        <w:spacing w:line="240" w:lineRule="auto"/>
      </w:pPr>
      <w:r w:rsidRPr="008F0638">
        <w:separator/>
      </w:r>
    </w:p>
  </w:endnote>
  <w:endnote w:type="continuationSeparator" w:id="0">
    <w:p w14:paraId="1EE388DB" w14:textId="77777777" w:rsidR="00A9071C" w:rsidRPr="008F0638" w:rsidRDefault="00A9071C">
      <w:pPr>
        <w:spacing w:line="240" w:lineRule="auto"/>
      </w:pPr>
      <w:r w:rsidRPr="008F06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158C" w14:textId="77777777" w:rsidR="00A9071C" w:rsidRPr="008F0638" w:rsidRDefault="00A9071C">
      <w:pPr>
        <w:spacing w:line="240" w:lineRule="auto"/>
      </w:pPr>
      <w:r w:rsidRPr="008F0638">
        <w:separator/>
      </w:r>
    </w:p>
  </w:footnote>
  <w:footnote w:type="continuationSeparator" w:id="0">
    <w:p w14:paraId="7AA240B5" w14:textId="77777777" w:rsidR="00A9071C" w:rsidRPr="008F0638" w:rsidRDefault="00A9071C">
      <w:pPr>
        <w:spacing w:line="240" w:lineRule="auto"/>
      </w:pPr>
      <w:r w:rsidRPr="008F0638">
        <w:continuationSeparator/>
      </w:r>
    </w:p>
  </w:footnote>
  <w:footnote w:id="1">
    <w:p w14:paraId="1BC818A4" w14:textId="77777777" w:rsidR="00A9071C" w:rsidRPr="008F0638" w:rsidRDefault="00A9071C">
      <w:pPr>
        <w:pStyle w:val="Fotnotstext"/>
      </w:pPr>
      <w:r w:rsidRPr="008F0638">
        <w:rPr>
          <w:rStyle w:val="Fotnotsreferens"/>
        </w:rPr>
        <w:footnoteRef/>
      </w:r>
      <w:r w:rsidRPr="008F0638">
        <w:t xml:space="preserve"> Rådets beslut 2000/750/EG </w:t>
      </w:r>
    </w:p>
  </w:footnote>
  <w:footnote w:id="2">
    <w:p w14:paraId="6665FFE0" w14:textId="77777777" w:rsidR="00A9071C" w:rsidRPr="008F0638" w:rsidRDefault="00A9071C">
      <w:pPr>
        <w:pStyle w:val="Fotnotstext"/>
      </w:pPr>
      <w:r w:rsidRPr="008F0638">
        <w:rPr>
          <w:rStyle w:val="Fotnotsreferens"/>
        </w:rPr>
        <w:footnoteRef/>
      </w:r>
      <w:r w:rsidRPr="008F0638">
        <w:t xml:space="preserve"> Rådets beslut 2001/51/EG </w:t>
      </w:r>
    </w:p>
  </w:footnote>
  <w:footnote w:id="3">
    <w:p w14:paraId="72162C55" w14:textId="77777777" w:rsidR="00A9071C" w:rsidRPr="008F0638" w:rsidRDefault="00A9071C">
      <w:pPr>
        <w:pStyle w:val="Fotnotstext"/>
      </w:pPr>
      <w:r w:rsidRPr="008F0638">
        <w:rPr>
          <w:rStyle w:val="Fotnotsreferens"/>
        </w:rPr>
        <w:footnoteRef/>
      </w:r>
      <w:r w:rsidRPr="008F0638">
        <w:t xml:space="preserve"> Europaparlamentets och rådets beslut nr 50/2002/EG </w:t>
      </w:r>
    </w:p>
  </w:footnote>
  <w:footnote w:id="4">
    <w:p w14:paraId="57AFB1AA" w14:textId="77777777" w:rsidR="00A9071C" w:rsidRPr="008F0638" w:rsidRDefault="00A9071C">
      <w:pPr>
        <w:pStyle w:val="Fotnotstext"/>
      </w:pPr>
      <w:r w:rsidRPr="008F0638">
        <w:rPr>
          <w:rStyle w:val="Fotnotsreferens"/>
        </w:rPr>
        <w:footnoteRef/>
      </w:r>
      <w:r w:rsidRPr="008F0638">
        <w:t xml:space="preserve"> Europaparlamentets och rådets beslut nr 1145/2002/EG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DDB5" w14:textId="77777777" w:rsidR="00A9071C" w:rsidRPr="008F0638" w:rsidRDefault="00A9071C">
    <w:pPr>
      <w:pStyle w:val="Sidhuvud"/>
      <w:framePr w:wrap="around" w:vAnchor="text" w:hAnchor="margin" w:xAlign="right" w:y="1"/>
      <w:rPr>
        <w:rStyle w:val="Sidnummer"/>
      </w:rPr>
    </w:pPr>
    <w:r w:rsidRPr="008F0638">
      <w:rPr>
        <w:rStyle w:val="Sidnummer"/>
      </w:rPr>
      <w:fldChar w:fldCharType="begin" w:fldLock="1"/>
    </w:r>
    <w:r w:rsidRPr="008F0638">
      <w:rPr>
        <w:rStyle w:val="Sidnummer"/>
      </w:rPr>
      <w:instrText xml:space="preserve">PAGE  </w:instrText>
    </w:r>
    <w:r w:rsidRPr="008F0638">
      <w:rPr>
        <w:rStyle w:val="Sidnummer"/>
      </w:rPr>
      <w:fldChar w:fldCharType="separate"/>
    </w:r>
    <w:r w:rsidRPr="008F0638">
      <w:rPr>
        <w:rStyle w:val="Sidnummer"/>
      </w:rPr>
      <w:t>4</w:t>
    </w:r>
    <w:r w:rsidRPr="008F0638">
      <w:rPr>
        <w:rStyle w:val="Sidnummer"/>
      </w:rPr>
      <w:fldChar w:fldCharType="end"/>
    </w:r>
  </w:p>
  <w:p w14:paraId="48BE0DEB" w14:textId="77777777" w:rsidR="00A9071C" w:rsidRPr="008F0638" w:rsidRDefault="00A9071C">
    <w:pPr>
      <w:pStyle w:val="Sidhuvud"/>
      <w:ind w:right="360"/>
    </w:pPr>
  </w:p>
  <w:p w14:paraId="3E28CDCF" w14:textId="77777777" w:rsidR="00A9071C" w:rsidRPr="008F0638" w:rsidRDefault="00A9071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0A06" w14:textId="77777777" w:rsidR="00A9071C" w:rsidRPr="008F0638" w:rsidRDefault="00A9071C">
    <w:pPr>
      <w:pStyle w:val="Sidhuvud"/>
      <w:framePr w:wrap="around" w:vAnchor="text" w:hAnchor="margin" w:xAlign="right" w:y="1"/>
      <w:rPr>
        <w:rStyle w:val="Sidnummer"/>
      </w:rPr>
    </w:pPr>
    <w:r w:rsidRPr="008F0638">
      <w:rPr>
        <w:rStyle w:val="Sidnummer"/>
      </w:rPr>
      <w:fldChar w:fldCharType="begin" w:fldLock="1"/>
    </w:r>
    <w:r w:rsidRPr="008F0638">
      <w:rPr>
        <w:rStyle w:val="Sidnummer"/>
      </w:rPr>
      <w:instrText xml:space="preserve">PAGE  </w:instrText>
    </w:r>
    <w:r w:rsidRPr="008F0638">
      <w:rPr>
        <w:rStyle w:val="Sidnummer"/>
      </w:rPr>
      <w:fldChar w:fldCharType="separate"/>
    </w:r>
    <w:r w:rsidRPr="008F0638">
      <w:rPr>
        <w:rStyle w:val="Sidnummer"/>
      </w:rPr>
      <w:t>3</w:t>
    </w:r>
    <w:r w:rsidRPr="008F0638">
      <w:rPr>
        <w:rStyle w:val="Sidnummer"/>
      </w:rPr>
      <w:fldChar w:fldCharType="end"/>
    </w:r>
  </w:p>
  <w:p w14:paraId="3BC46863" w14:textId="77777777" w:rsidR="00A9071C" w:rsidRPr="008F0638" w:rsidRDefault="00A9071C">
    <w:pPr>
      <w:pStyle w:val="Sidhuvud"/>
      <w:ind w:right="360"/>
    </w:pPr>
  </w:p>
  <w:p w14:paraId="78E5807E" w14:textId="77777777" w:rsidR="00A9071C" w:rsidRPr="008F0638" w:rsidRDefault="00A9071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AF16" w14:textId="49475040" w:rsidR="00A9071C" w:rsidRPr="008F0638" w:rsidRDefault="008F0638">
    <w:pPr>
      <w:framePr w:w="2948" w:h="1321" w:hRule="exact" w:wrap="notBeside" w:vAnchor="page" w:hAnchor="page" w:x="1362" w:y="653"/>
    </w:pPr>
    <w:r w:rsidRPr="008F0638">
      <w:rPr>
        <w:noProof/>
      </w:rPr>
      <w:drawing>
        <wp:inline distT="0" distB="0" distL="0" distR="0" wp14:anchorId="295E2542" wp14:editId="2345D69F">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5DA599E2" w14:textId="77777777" w:rsidR="00A9071C" w:rsidRPr="008F0638" w:rsidRDefault="00A9071C">
    <w:pPr>
      <w:pStyle w:val="RKrubrik"/>
      <w:keepNext w:val="0"/>
      <w:tabs>
        <w:tab w:val="clear" w:pos="1134"/>
        <w:tab w:val="clear" w:pos="2835"/>
      </w:tabs>
      <w:spacing w:before="0" w:after="0" w:line="320" w:lineRule="atLeast"/>
      <w:rPr>
        <w:bCs/>
      </w:rPr>
    </w:pPr>
  </w:p>
  <w:p w14:paraId="350D6A77" w14:textId="77777777" w:rsidR="00A9071C" w:rsidRPr="008F0638" w:rsidRDefault="00A9071C">
    <w:pPr>
      <w:rPr>
        <w:rFonts w:ascii="TradeGothic" w:hAnsi="TradeGothic"/>
        <w:b/>
        <w:bCs/>
        <w:spacing w:val="12"/>
        <w:sz w:val="22"/>
      </w:rPr>
    </w:pPr>
  </w:p>
  <w:p w14:paraId="5EBA1844" w14:textId="77777777" w:rsidR="00A9071C" w:rsidRPr="008F0638" w:rsidRDefault="00A9071C">
    <w:pPr>
      <w:pStyle w:val="RKrubrik"/>
      <w:keepNext w:val="0"/>
      <w:tabs>
        <w:tab w:val="clear" w:pos="1134"/>
        <w:tab w:val="clear" w:pos="2835"/>
      </w:tabs>
      <w:spacing w:before="0" w:after="0" w:line="320" w:lineRule="atLeast"/>
      <w:rPr>
        <w:bCs/>
      </w:rPr>
    </w:pPr>
  </w:p>
  <w:p w14:paraId="2441DC05" w14:textId="77777777" w:rsidR="00A9071C" w:rsidRPr="008F0638" w:rsidRDefault="00A9071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2161DC"/>
    <w:rsid w:val="002161DC"/>
    <w:rsid w:val="008F0638"/>
    <w:rsid w:val="00A907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585A1"/>
  <w15:chartTrackingRefBased/>
  <w15:docId w15:val="{C549784A-8529-4706-92C5-1108684C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Normaltindrag">
    <w:name w:val="Normal Indent"/>
    <w:basedOn w:val="Normal"/>
    <w:semiHidden/>
    <w:pPr>
      <w:overflowPunct/>
      <w:autoSpaceDE/>
      <w:autoSpaceDN/>
      <w:adjustRightInd/>
      <w:spacing w:line="245" w:lineRule="exact"/>
      <w:ind w:firstLine="170"/>
      <w:jc w:val="both"/>
      <w:textAlignment w:val="auto"/>
    </w:pPr>
    <w:rPr>
      <w:rFonts w:ascii="Times New Roman" w:hAnsi="Times New Roman"/>
      <w:sz w:val="19"/>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character" w:styleId="Kommentarsreferens">
    <w:name w:val="annotation reference"/>
    <w:basedOn w:val="Standardstycketeckensnitt"/>
    <w:semiHidden/>
    <w:rPr>
      <w:sz w:val="16"/>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922</Words>
  <Characters>5897</Characters>
  <Application>Microsoft Office Word</Application>
  <DocSecurity>4</DocSecurity>
  <Lines>173</Lines>
  <Paragraphs>64</Paragraphs>
  <ScaleCrop>false</ScaleCrop>
  <HeadingPairs>
    <vt:vector size="2" baseType="variant">
      <vt:variant>
        <vt:lpstr>Titel</vt:lpstr>
      </vt:variant>
      <vt:variant>
        <vt:i4>1</vt:i4>
      </vt:variant>
    </vt:vector>
  </HeadingPairs>
  <TitlesOfParts>
    <vt:vector size="1" baseType="lpstr">
      <vt:lpstr>Rådspromemoria                 N/2006/XXX/EIS</vt:lpstr>
    </vt:vector>
  </TitlesOfParts>
  <Company>Regeringskansliet</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N/2006/XXX/EIS</dc:title>
  <dc:subject>Rådspromemoria                 N/2006/XXX/EIS</dc:subject>
  <dc:creator>Riksdagen</dc:creator>
  <cp:keywords>Riksdagen</cp:keywords>
  <dc:description/>
  <cp:lastModifiedBy>Lars Brink</cp:lastModifiedBy>
  <cp:revision>2</cp:revision>
  <cp:lastPrinted>2000-01-21T13:02:00Z</cp:lastPrinted>
  <dcterms:created xsi:type="dcterms:W3CDTF">2025-12-16T23:10:00Z</dcterms:created>
  <dcterms:modified xsi:type="dcterms:W3CDTF">2025-12-16T23:10:00Z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10;0;0;293</vt:lpwstr>
  </property>
  <property fmtid="{D5CDD505-2E9C-101B-9397-08002B2CF9AE}" pid="3" name="Sprak">
    <vt:lpwstr>Svenska</vt:lpwstr>
  </property>
  <property fmtid="{D5CDD505-2E9C-101B-9397-08002B2CF9AE}" pid="4" name="DokID">
    <vt:i4>60</vt:i4>
  </property>
</Properties>
</file>