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B46" w:rsidRDefault="00700892" w14:paraId="23718B70" w14:textId="77777777">
      <w:pPr>
        <w:pStyle w:val="RubrikFrslagTIllRiksdagsbeslut"/>
      </w:pPr>
      <w:sdt>
        <w:sdtPr>
          <w:alias w:val="CC_Boilerplate_4"/>
          <w:tag w:val="CC_Boilerplate_4"/>
          <w:id w:val="-1644581176"/>
          <w:lock w:val="sdtContentLocked"/>
          <w:placeholder>
            <w:docPart w:val="9CA2D22BACF44AFFA5D28DD079F3C977"/>
          </w:placeholder>
          <w:text/>
        </w:sdtPr>
        <w:sdtEndPr/>
        <w:sdtContent>
          <w:r w:rsidRPr="009B062B" w:rsidR="00AF30DD">
            <w:t>Förslag till riksdagsbeslut</w:t>
          </w:r>
        </w:sdtContent>
      </w:sdt>
      <w:bookmarkEnd w:id="0"/>
      <w:bookmarkEnd w:id="1"/>
    </w:p>
    <w:sdt>
      <w:sdtPr>
        <w:alias w:val="Yrkande 1"/>
        <w:tag w:val="41417086-3de4-4de8-ba24-d82cc9d86598"/>
        <w:id w:val="-1548376364"/>
        <w:lock w:val="sdtLocked"/>
      </w:sdtPr>
      <w:sdtEndPr/>
      <w:sdtContent>
        <w:p w:rsidR="00634A95" w:rsidRDefault="00F278CD" w14:paraId="0DAC5434"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96ef4e3c-4606-4f72-941a-bb00928416f4"/>
        <w:id w:val="-591547435"/>
        <w:lock w:val="sdtLocked"/>
      </w:sdtPr>
      <w:sdtEndPr/>
      <w:sdtContent>
        <w:p w:rsidR="00634A95" w:rsidRDefault="00F278CD" w14:paraId="3FE5CFBD"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7f4dd9f0-f1da-4846-be9b-d8d58f0b5937"/>
        <w:id w:val="-225536874"/>
        <w:lock w:val="sdtLocked"/>
      </w:sdtPr>
      <w:sdtEndPr/>
      <w:sdtContent>
        <w:p w:rsidR="00634A95" w:rsidRDefault="00F278CD" w14:paraId="34DC0F66" w14:textId="77777777">
          <w:pPr>
            <w:pStyle w:val="Frslagstext"/>
          </w:pPr>
          <w:r>
            <w:t>Riksdagen ställer sig bakom det som anförs i motionen om att den svenska regeringen ska ta initiativ till att de nordiska regeringarna etablerar kommunikations- och samarbetsstrukturer för kristillfällen, och detta tillkännager riksdagen för regeringen.</w:t>
          </w:r>
        </w:p>
      </w:sdtContent>
    </w:sdt>
    <w:sdt>
      <w:sdtPr>
        <w:alias w:val="Yrkande 4"/>
        <w:tag w:val="b5f247ef-900a-4b8b-92b7-456d36a469bc"/>
        <w:id w:val="-867762253"/>
        <w:lock w:val="sdtLocked"/>
      </w:sdtPr>
      <w:sdtEndPr/>
      <w:sdtContent>
        <w:p w:rsidR="00634A95" w:rsidRDefault="00F278CD" w14:paraId="4947E4DC"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16b28e16-6918-473d-826a-63a04ddc04aa"/>
        <w:id w:val="708772314"/>
        <w:lock w:val="sdtLocked"/>
      </w:sdtPr>
      <w:sdtEndPr/>
      <w:sdtContent>
        <w:p w:rsidR="00634A95" w:rsidRDefault="00F278CD" w14:paraId="7841F34D"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6"/>
        <w:tag w:val="eff662d5-ea84-4155-bee3-9d11ff3e480a"/>
        <w:id w:val="-1183283730"/>
        <w:lock w:val="sdtLocked"/>
      </w:sdtPr>
      <w:sdtEndPr/>
      <w:sdtContent>
        <w:p w:rsidR="00634A95" w:rsidRDefault="00F278CD" w14:paraId="316DCF74"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5e5c7fe7-1a76-4abe-8661-ca5f5644a806"/>
        <w:id w:val="531002505"/>
        <w:lock w:val="sdtLocked"/>
      </w:sdtPr>
      <w:sdtEndPr/>
      <w:sdtContent>
        <w:p w:rsidR="00634A95" w:rsidRDefault="00F278CD" w14:paraId="34F400E6" w14:textId="77777777">
          <w:pPr>
            <w:pStyle w:val="Frslagstext"/>
          </w:pPr>
          <w:r>
            <w:t>Riksdagen ställer sig bakom det som anförs i motionen om att få till stånd en mer rättvis a</w:t>
          </w:r>
          <w:r>
            <w:noBreakHyphen/>
            <w:t>kassa för gränspendlare och tillkännager detta för regeringen.</w:t>
          </w:r>
        </w:p>
      </w:sdtContent>
    </w:sdt>
    <w:sdt>
      <w:sdtPr>
        <w:alias w:val="Yrkande 8"/>
        <w:tag w:val="50c8bb00-e877-4f4b-9cdb-adbd8f2d5dad"/>
        <w:id w:val="1124278975"/>
        <w:lock w:val="sdtLocked"/>
      </w:sdtPr>
      <w:sdtEndPr/>
      <w:sdtContent>
        <w:p w:rsidR="00634A95" w:rsidRDefault="00F278CD" w14:paraId="06C07CD7" w14:textId="77777777">
          <w:pPr>
            <w:pStyle w:val="Frslagstext"/>
          </w:pPr>
          <w:r>
            <w:t>Riksdagen ställer sig bakom det som anförs i motionen om att dubbelbeskattning av pensioner måste stoppas och tillkännager detta för regeringen.</w:t>
          </w:r>
        </w:p>
      </w:sdtContent>
    </w:sdt>
    <w:sdt>
      <w:sdtPr>
        <w:alias w:val="Yrkande 9"/>
        <w:tag w:val="e613a59a-1ef7-42e5-90bc-38d22bfc22e4"/>
        <w:id w:val="-1377303880"/>
        <w:lock w:val="sdtLocked"/>
      </w:sdtPr>
      <w:sdtEndPr/>
      <w:sdtContent>
        <w:p w:rsidR="00634A95" w:rsidRDefault="00F278CD" w14:paraId="2C265E19" w14:textId="77777777">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B5C7920E1428D827C0C9D12396936"/>
        </w:placeholder>
        <w:text/>
      </w:sdtPr>
      <w:sdtEndPr/>
      <w:sdtContent>
        <w:p w:rsidRPr="009B062B" w:rsidR="006D79C9" w:rsidP="00333E95" w:rsidRDefault="006D79C9" w14:paraId="357FC331" w14:textId="77777777">
          <w:pPr>
            <w:pStyle w:val="Rubrik1"/>
          </w:pPr>
          <w:r>
            <w:t>Motivering</w:t>
          </w:r>
        </w:p>
      </w:sdtContent>
    </w:sdt>
    <w:bookmarkEnd w:displacedByCustomXml="prev" w:id="3"/>
    <w:bookmarkEnd w:displacedByCustomXml="prev" w:id="4"/>
    <w:p w:rsidR="00BA3F65" w:rsidP="00700892" w:rsidRDefault="00BA3F65" w14:paraId="1F791B63" w14:textId="1AA9D5A3">
      <w:pPr>
        <w:pStyle w:val="Normalutanindragellerluft"/>
      </w:pPr>
      <w:r>
        <w:t>Ja, jag vill leva</w:t>
      </w:r>
      <w:r w:rsidR="00C35628">
        <w:t>,</w:t>
      </w:r>
      <w:r>
        <w:t xml:space="preserve"> jag vill dö i Norden!</w:t>
      </w:r>
    </w:p>
    <w:p w:rsidR="00BA3F65" w:rsidP="00700892" w:rsidRDefault="00BA3F65" w14:paraId="041C7238" w14:textId="77777777">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mot vardagens gränshinder.</w:t>
      </w:r>
    </w:p>
    <w:p w:rsidR="00BA3F65" w:rsidP="00BA3F65" w:rsidRDefault="00BA3F65" w14:paraId="52568C3C" w14:textId="47935BCD">
      <w:pPr>
        <w:pStyle w:val="Normalutanindragellerluft"/>
      </w:pPr>
      <w:r>
        <w:t xml:space="preserve">Danska och svenska statsministrarna har skrivit under en gemensam deklaration för bättre fungerande </w:t>
      </w:r>
      <w:r w:rsidR="00C35628">
        <w:t>Öresundsintegration</w:t>
      </w:r>
      <w:r>
        <w:t>, men ännu har det inte blivit till så mycket verksamhet.</w:t>
      </w:r>
    </w:p>
    <w:p w:rsidR="00BA3F65" w:rsidP="00700892" w:rsidRDefault="00BA3F65" w14:paraId="5D4EB4FC" w14:textId="77777777">
      <w:r>
        <w:t xml:space="preserve">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transnationella samarbetet och utlovat förändringar. </w:t>
      </w:r>
    </w:p>
    <w:p w:rsidR="00BA3F65" w:rsidP="00700892" w:rsidRDefault="00BA3F65" w14:paraId="2F82038F" w14:textId="77777777">
      <w:r>
        <w:t xml:space="preserve">Under covid-19 har problemen visat sig än tydligare när pendlare har fångats mellan olika system. </w:t>
      </w:r>
    </w:p>
    <w:p w:rsidR="00BA3F65" w:rsidP="00700892" w:rsidRDefault="00BA3F65" w14:paraId="29CF60E3" w14:textId="655BD2D6">
      <w:r>
        <w:t>Vid konkurs i danska bolag har danska medarbetare rätt till ersättning. Denna ersättning betalas av Lönmodtagernes Garantifond (LG) och uppgår till maximalt 160</w:t>
      </w:r>
      <w:r w:rsidR="007B0759">
        <w:t> </w:t>
      </w:r>
      <w:r>
        <w:t xml:space="preserve">000 danska kronor som för danska medarbetare är skattefria. Men för piloter med adress i Sverige och anställning i Danmark avkrävs skatt av svenska staten enligt </w:t>
      </w:r>
      <w:r w:rsidRPr="00700892">
        <w:rPr>
          <w:spacing w:val="-1"/>
        </w:rPr>
        <w:t>reglerna om internationell trafik. Danska fackförbund har kritiserat detta</w:t>
      </w:r>
      <w:r w:rsidRPr="00700892" w:rsidR="007B0759">
        <w:rPr>
          <w:spacing w:val="-1"/>
        </w:rPr>
        <w:t>,</w:t>
      </w:r>
      <w:r w:rsidRPr="00700892">
        <w:rPr>
          <w:spacing w:val="-1"/>
        </w:rPr>
        <w:t xml:space="preserve"> men problemet</w:t>
      </w:r>
      <w:r>
        <w:t xml:space="preserve"> kvarstår. Regeringen bör se till att ersättningarna antingen inte beskattas i Sverige då de inte har intjänats vid internationell trafik eller påverka den danska regeringen så att det förtydligas att ersättningar vid konkurs ska täcka ev. skatte</w:t>
      </w:r>
      <w:r w:rsidR="00700892">
        <w:softHyphen/>
      </w:r>
      <w:r>
        <w:t xml:space="preserve">kostnader för medarbetare från andra länder. </w:t>
      </w:r>
    </w:p>
    <w:p w:rsidR="00BA3F65" w:rsidP="00700892" w:rsidRDefault="00BA3F65" w14:paraId="13C4B970" w14:textId="0EB4544E">
      <w:r>
        <w:t>Kraven från danska myndigheter och svenska myndigheter har även varit osamman</w:t>
      </w:r>
      <w:r w:rsidR="00700892">
        <w:softHyphen/>
      </w:r>
      <w:r>
        <w:t>hängande och icke-kompatibla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BA3F65" w:rsidP="00700892" w:rsidRDefault="00BA3F65" w14:paraId="7D0AB069" w14:textId="77777777">
      <w:r>
        <w:t xml:space="preserve">Under covid-19 stängdes också gränser utan förvarning. Från dag till dag etablerades nya regler och procedurer för gränspendlare. Olika krav på underlag för att bevisa bostad och arbetsplats infördes. Gränser öppnades och stängdes mot olika regioner från vecka till vecka. Och pendlingstiderna har ökat kraftigt. De nordiska regeringarna måste etablera ett bättre samarbete vid kriser så att insatser som påverkar gränserna – och de invånare som rör sig över dessa – samordnas och kommuniceras till varandra. Svenska regeringen ska ta initiativ till att de nordiska regeringarna etablerar kommunikations- och samarbetsstrukturer för kristillfällen. </w:t>
      </w:r>
    </w:p>
    <w:p w:rsidR="00BA3F65" w:rsidP="00700892" w:rsidRDefault="00BA3F65" w14:paraId="1E1EAB3A" w14:textId="77777777">
      <w:r>
        <w:t>Nordiska gränspendlare som har jobbat hemifrån under coronapandemin kan tvingas betala skatt i två länder. Det är följden av att de nordiska finansministrarna inte går med på ett undantag från gällande skatteregler.</w:t>
      </w:r>
    </w:p>
    <w:p w:rsidR="00BA3F65" w:rsidP="00700892" w:rsidRDefault="00BA3F65" w14:paraId="199B85F2" w14:textId="40490BC9">
      <w:r>
        <w:t>Enligt det nordiska skatteavtalet ska en gränspendlare betala skatt i det land där personen arbetar. Under coronapandemin har många pendlare på anmodan av sina arbetsgivare jobbat hemifrån</w:t>
      </w:r>
      <w:r w:rsidR="007B0759">
        <w:t>,</w:t>
      </w:r>
      <w:r>
        <w:t xml:space="preserve"> vilket innebär att pendlarna ska betala skatt i det land där de bor för varje dag som arbetet sker hemifrån. I Öresundsregionen finns även ett särskilt skatteavtal, Öresundsavtalet, som innebär att om hemarbetet pågått mer än 50 </w:t>
      </w:r>
      <w:r>
        <w:lastRenderedPageBreak/>
        <w:t>procent under en period på tre månader gäller inte de vanliga reglerna, utan då ska skatten betalas i det land där man bor.</w:t>
      </w:r>
    </w:p>
    <w:p w:rsidR="00BA3F65" w:rsidP="00700892" w:rsidRDefault="00BA3F65" w14:paraId="7E6E5F64" w14:textId="77777777">
      <w:r>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BA3F65" w:rsidP="00700892" w:rsidRDefault="00BA3F65" w14:paraId="6B4E6E4B" w14:textId="3712F1C7">
      <w:r>
        <w:t>Inom socialförsäkringen och arbetslöshetsförsäkringen har en lösning på denna problematik hittats, där arbetstagaren kvarstår i arbetslandet. En liknande lösning bör införas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w:t>
      </w:r>
      <w:r w:rsidR="00700892">
        <w:softHyphen/>
      </w:r>
      <w:r>
        <w:t>gränser.</w:t>
      </w:r>
    </w:p>
    <w:p w:rsidR="00BA3F65" w:rsidP="00700892" w:rsidRDefault="00BA3F65" w14:paraId="45D5D3C0" w14:textId="6CD23708">
      <w:r>
        <w:t>Men problemen för gränspendlarna är inte begränsade till situationen i samband med covid-19.</w:t>
      </w:r>
      <w:r w:rsidR="007B0759">
        <w:t xml:space="preserve"> </w:t>
      </w:r>
      <w:r>
        <w:t>Ett återkommande problem för gränspendlare i Öresundsregionen är social</w:t>
      </w:r>
      <w:r w:rsidR="00700892">
        <w:softHyphen/>
      </w:r>
      <w:r>
        <w:t>försäkringen. Gång på gång hamnar folk i kläm. Inte minst om de vill vara goda samhällsmedborgare och bidra till välfärden i Sverige.</w:t>
      </w:r>
    </w:p>
    <w:p w:rsidR="00BA3F65" w:rsidP="00700892" w:rsidRDefault="00BA3F65" w14:paraId="37293462" w14:textId="2260E314">
      <w:r>
        <w:t>Ett exempel är en man som jobbar som kabinpersonal i Danmark men även var brandman på deltid. Reglerna tillåter inte att en person arbetar i Sverige mer än vad som motsvarar 25</w:t>
      </w:r>
      <w:r w:rsidR="007B0759">
        <w:t> </w:t>
      </w:r>
      <w:r>
        <w:t>% av arbetstiden i Danmark. Som kabinpersonal fluktuerar timtalet kraftigt mellan veckor och vissa veckor kunde arbetstiden bli så lite som 10</w:t>
      </w:r>
      <w:r w:rsidR="007B0759">
        <w:t> </w:t>
      </w:r>
      <w:r>
        <w:t>timmar. Det innebar att han enligt reglerna inte fick arbeta mer än 2,5 timmar i Sverige en sådan vecka. Mannen har på ett år använt mer än 75</w:t>
      </w:r>
      <w:r w:rsidR="007B0759">
        <w:t> </w:t>
      </w:r>
      <w:r>
        <w:t>000</w:t>
      </w:r>
      <w:r w:rsidR="007B0759">
        <w:t> </w:t>
      </w:r>
      <w:r>
        <w:t>kr på advokater för att inte förlora rätten till socialförsäkring. Regeringen måste säkra att socialförsäkringsreglerna för gränspendlare får ökad flexibilitet.</w:t>
      </w:r>
    </w:p>
    <w:p w:rsidR="00BA3F65" w:rsidP="00700892" w:rsidRDefault="00BA3F65" w14:paraId="42CB5FF4" w14:textId="04E5F72A">
      <w:r>
        <w:t>Ett annat talande exempel är en kvinna som tog hand om sin mycket sjuka man i Sverige samtidigt som hon arbetade i Danmark. Kvinnan har i 22 år jobbat för samma företag i Danmark medan hon bott i Malmö. För 8</w:t>
      </w:r>
      <w:r w:rsidR="007B0759">
        <w:t> </w:t>
      </w:r>
      <w:r>
        <w:t>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7B0759">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700892">
        <w:softHyphen/>
      </w:r>
      <w:r>
        <w:t>ordning som hon betalat till i årtionden. Allt detta för att hon tagit hand om sin sjuka man till fördel för både mannen och det svenska välfärdssystemet. Regeringen måste i samarbete med regeringarna i Danmark och övriga nordiska grannländer utöka möjlig</w:t>
      </w:r>
      <w:r w:rsidR="00700892">
        <w:softHyphen/>
      </w:r>
      <w:r>
        <w:t>heterna till undantag i socialförsäkringsreglerna för gränspendlare.</w:t>
      </w:r>
    </w:p>
    <w:p w:rsidR="00BA3F65" w:rsidP="00700892" w:rsidRDefault="00BA3F65" w14:paraId="0F2CF101" w14:textId="16612616">
      <w:r>
        <w:t>För personer som pendlar från Sverige till Danmark uppstår även en problematik vid uppsägning. Under tiden en person arbetar i Danmark betalas det avgift till dansk a</w:t>
      </w:r>
      <w:r w:rsidR="007B0759">
        <w:noBreakHyphen/>
      </w:r>
      <w:r>
        <w:t>kassa. Det är en högre avgift än i Sverige. Vid uppsägning övergår dock personen till svensk a</w:t>
      </w:r>
      <w:r w:rsidR="007B0759">
        <w:noBreakHyphen/>
      </w:r>
      <w:r>
        <w:t xml:space="preserve">kassa där ersättningen är mycket lägre än i Danmark. Gränspendlare betalar </w:t>
      </w:r>
      <w:r>
        <w:lastRenderedPageBreak/>
        <w:t>alltså högsta avgift men får lägsta ersättning. Därtill kommer att nyutbildade i Danmark kan ingå i och betala till a</w:t>
      </w:r>
      <w:r w:rsidR="007B0759">
        <w:noBreakHyphen/>
      </w:r>
      <w:r>
        <w:t>kassan. Men vid uppsägning utgår ingen ersättning från svensk a</w:t>
      </w:r>
      <w:r w:rsidR="007B0759">
        <w:noBreakHyphen/>
      </w:r>
      <w:r>
        <w:t>kassa då reglerna i Sverige – i motsats till Danmark – inte täcker personer med mindre än ett år i arbetslivet. Regeringen måste ta initiativ till att få till stånd en mer rättvis modell för betalning till och ersättning från a</w:t>
      </w:r>
      <w:r w:rsidR="007B0759">
        <w:noBreakHyphen/>
      </w:r>
      <w:r>
        <w:t xml:space="preserve">kassa för gränspendlare. </w:t>
      </w:r>
    </w:p>
    <w:p w:rsidR="00BA3F65" w:rsidP="00700892" w:rsidRDefault="00BA3F65" w14:paraId="4A267347" w14:textId="08F0E2FE">
      <w:r>
        <w:t xml:space="preserve">Flera personer i Öresundsregionen får problem med pensionen. Ett exempel är en person som bor i Sverige och har avsatt pengar till sin pension genom sitt företag i </w:t>
      </w:r>
      <w:r w:rsidRPr="00700892">
        <w:rPr>
          <w:spacing w:val="-1"/>
        </w:rPr>
        <w:t>Danmark. Svenska Skatteverket anser att dessa pengar ska beskattas det år som pengarna</w:t>
      </w:r>
      <w:r>
        <w:t xml:space="preserve"> betalats in. Danska Skat anser att de ska beskattas vid uttag. Det innebär att personen kommer beskattas i båda länder</w:t>
      </w:r>
      <w:r w:rsidR="00F278CD">
        <w:t>na</w:t>
      </w:r>
      <w:r>
        <w:t xml:space="preserve"> trots att det uttryckligt inte är tillåtet med dubbel</w:t>
      </w:r>
      <w:r w:rsidR="00700892">
        <w:softHyphen/>
      </w:r>
      <w:r>
        <w:t>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w:t>
      </w:r>
      <w:r w:rsidR="00F278CD">
        <w:t>e</w:t>
      </w:r>
      <w:r>
        <w:t>r och därför i praktiken har raderats. Dubbelbeskattning i denna form måste stoppas.</w:t>
      </w:r>
    </w:p>
    <w:p w:rsidRPr="00422B9E" w:rsidR="00422B9E" w:rsidP="00700892" w:rsidRDefault="00BA3F65" w14:paraId="01700E6A" w14:textId="7D6E589A">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9795259262F14A738B31A84026336EC1"/>
        </w:placeholder>
      </w:sdtPr>
      <w:sdtEndPr/>
      <w:sdtContent>
        <w:p w:rsidR="002B1B46" w:rsidP="000534D7" w:rsidRDefault="002B1B46" w14:paraId="3893FE88" w14:textId="77777777"/>
        <w:p w:rsidR="002B1B46" w:rsidP="000534D7" w:rsidRDefault="00700892" w14:paraId="42B480C1" w14:textId="6EF957C3"/>
      </w:sdtContent>
    </w:sdt>
    <w:tbl>
      <w:tblPr>
        <w:tblW w:w="5000" w:type="pct"/>
        <w:tblLook w:val="04A0" w:firstRow="1" w:lastRow="0" w:firstColumn="1" w:lastColumn="0" w:noHBand="0" w:noVBand="1"/>
        <w:tblCaption w:val="underskrifter"/>
      </w:tblPr>
      <w:tblGrid>
        <w:gridCol w:w="4252"/>
        <w:gridCol w:w="4252"/>
      </w:tblGrid>
      <w:tr w:rsidR="00634A95" w14:paraId="2603027A" w14:textId="77777777">
        <w:trPr>
          <w:cantSplit/>
        </w:trPr>
        <w:tc>
          <w:tcPr>
            <w:tcW w:w="50" w:type="pct"/>
            <w:vAlign w:val="bottom"/>
          </w:tcPr>
          <w:p w:rsidR="00634A95" w:rsidRDefault="00F278CD" w14:paraId="5200B047" w14:textId="77777777">
            <w:pPr>
              <w:pStyle w:val="Underskrifter"/>
              <w:spacing w:after="0"/>
            </w:pPr>
            <w:r>
              <w:t>Niels Paarup-Petersen (C)</w:t>
            </w:r>
          </w:p>
        </w:tc>
        <w:tc>
          <w:tcPr>
            <w:tcW w:w="50" w:type="pct"/>
            <w:vAlign w:val="bottom"/>
          </w:tcPr>
          <w:p w:rsidR="00634A95" w:rsidRDefault="00634A95" w14:paraId="7F777CFD" w14:textId="77777777">
            <w:pPr>
              <w:pStyle w:val="Underskrifter"/>
              <w:spacing w:after="0"/>
            </w:pPr>
          </w:p>
        </w:tc>
      </w:tr>
    </w:tbl>
    <w:p w:rsidRPr="008E0FE2" w:rsidR="004801AC" w:rsidP="00DF3554" w:rsidRDefault="004801AC" w14:paraId="313DB1E2" w14:textId="21BC55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CACF" w14:textId="77777777" w:rsidR="00BA3F65" w:rsidRDefault="00BA3F65" w:rsidP="000C1CAD">
      <w:pPr>
        <w:spacing w:line="240" w:lineRule="auto"/>
      </w:pPr>
      <w:r>
        <w:separator/>
      </w:r>
    </w:p>
  </w:endnote>
  <w:endnote w:type="continuationSeparator" w:id="0">
    <w:p w14:paraId="73176565" w14:textId="77777777" w:rsidR="00BA3F65" w:rsidRDefault="00BA3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8FF" w14:textId="14128149" w:rsidR="00262EA3" w:rsidRPr="000534D7" w:rsidRDefault="00262EA3" w:rsidP="0005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8DA5" w14:textId="77777777" w:rsidR="00BA3F65" w:rsidRDefault="00BA3F65" w:rsidP="000C1CAD">
      <w:pPr>
        <w:spacing w:line="240" w:lineRule="auto"/>
      </w:pPr>
      <w:r>
        <w:separator/>
      </w:r>
    </w:p>
  </w:footnote>
  <w:footnote w:type="continuationSeparator" w:id="0">
    <w:p w14:paraId="313BD9CD" w14:textId="77777777" w:rsidR="00BA3F65" w:rsidRDefault="00BA3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B1B21" wp14:editId="4FBCA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B1B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v:textbox>
              <w10:wrap anchorx="page"/>
            </v:shape>
          </w:pict>
        </mc:Fallback>
      </mc:AlternateContent>
    </w:r>
  </w:p>
  <w:p w14:paraId="08B4E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0A0" w14:textId="77777777" w:rsidR="00262EA3" w:rsidRDefault="00262EA3" w:rsidP="008563AC">
    <w:pPr>
      <w:jc w:val="right"/>
    </w:pPr>
  </w:p>
  <w:p w14:paraId="0886A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15C0" w14:textId="77777777" w:rsidR="00262EA3" w:rsidRDefault="00700892" w:rsidP="008563AC">
    <w:pPr>
      <w:jc w:val="right"/>
    </w:pPr>
    <w:sdt>
      <w:sdtPr>
        <w:alias w:val="cc_Logo"/>
        <w:tag w:val="cc_Logo"/>
        <w:id w:val="-2124838662"/>
        <w:lock w:val="sdtContentLocked"/>
        <w:placeholder>
          <w:docPart w:val="685B8473E459431D91378E7145E3AD24"/>
        </w:placeholder>
      </w:sdtPr>
      <w:sdtEndPr/>
      <w:sdtContent>
        <w:r w:rsidR="00C02AE8">
          <w:rPr>
            <w:noProof/>
            <w:lang w:eastAsia="sv-SE"/>
          </w:rPr>
          <w:drawing>
            <wp:anchor distT="0" distB="0" distL="114300" distR="114300" simplePos="0" relativeHeight="251663360" behindDoc="0" locked="0" layoutInCell="1" allowOverlap="1" wp14:anchorId="14B1647B" wp14:editId="74687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84623" w14:textId="3C114F24" w:rsidR="00262EA3" w:rsidRDefault="00700892" w:rsidP="00A314CF">
    <w:pPr>
      <w:pStyle w:val="FSHNormal"/>
      <w:spacing w:before="40"/>
    </w:pPr>
    <w:sdt>
      <w:sdtPr>
        <w:alias w:val="CC_Noformat_Motionstyp"/>
        <w:tag w:val="CC_Noformat_Motionstyp"/>
        <w:id w:val="1162973129"/>
        <w:lock w:val="sdtContentLocked"/>
        <w15:appearance w15:val="hidden"/>
        <w:text/>
      </w:sdtPr>
      <w:sdtEndPr/>
      <w:sdtContent>
        <w:r w:rsidR="000534D7">
          <w:t>Enskild motion</w:t>
        </w:r>
      </w:sdtContent>
    </w:sdt>
    <w:r w:rsidR="00821B36">
      <w:t xml:space="preserve"> </w:t>
    </w:r>
    <w:sdt>
      <w:sdtPr>
        <w:alias w:val="CC_Noformat_Partikod"/>
        <w:tag w:val="CC_Noformat_Partikod"/>
        <w:id w:val="1471015553"/>
        <w:placeholder>
          <w:docPart w:val="9BD074EC5F104F3287B882B2E760B643"/>
        </w:placeholder>
        <w:text/>
      </w:sdtPr>
      <w:sdtEndPr/>
      <w:sdtContent>
        <w:r w:rsidR="00BA3F65">
          <w:t>C</w:t>
        </w:r>
      </w:sdtContent>
    </w:sdt>
    <w:sdt>
      <w:sdtPr>
        <w:alias w:val="CC_Noformat_Partinummer"/>
        <w:tag w:val="CC_Noformat_Partinummer"/>
        <w:id w:val="-2014525982"/>
        <w:placeholder>
          <w:docPart w:val="A677C63F9CEC481FBAA25117068AB0DB"/>
        </w:placeholder>
        <w:showingPlcHdr/>
        <w:text/>
      </w:sdtPr>
      <w:sdtEndPr/>
      <w:sdtContent>
        <w:r w:rsidR="00821B36">
          <w:t xml:space="preserve"> </w:t>
        </w:r>
      </w:sdtContent>
    </w:sdt>
  </w:p>
  <w:p w14:paraId="112768F6" w14:textId="77777777" w:rsidR="00262EA3" w:rsidRPr="008227B3" w:rsidRDefault="00700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25A58" w14:textId="07A43392" w:rsidR="00262EA3" w:rsidRPr="008227B3" w:rsidRDefault="00700892" w:rsidP="00B37A37">
    <w:pPr>
      <w:pStyle w:val="MotionTIllRiksdagen"/>
    </w:pPr>
    <w:sdt>
      <w:sdtPr>
        <w:rPr>
          <w:rStyle w:val="BeteckningChar"/>
        </w:rPr>
        <w:alias w:val="CC_Noformat_Riksmote"/>
        <w:tag w:val="CC_Noformat_Riksmote"/>
        <w:id w:val="1201050710"/>
        <w:lock w:val="sdtContentLocked"/>
        <w:placeholder>
          <w:docPart w:val="1E4619FDD4C34A4E89E5D705E1418082"/>
        </w:placeholder>
        <w15:appearance w15:val="hidden"/>
        <w:text/>
      </w:sdtPr>
      <w:sdtEndPr>
        <w:rPr>
          <w:rStyle w:val="Rubrik1Char"/>
          <w:rFonts w:asciiTheme="majorHAnsi" w:hAnsiTheme="majorHAnsi"/>
          <w:sz w:val="38"/>
        </w:rPr>
      </w:sdtEndPr>
      <w:sdtContent>
        <w:r w:rsidR="000534D7">
          <w:t>2025/26</w:t>
        </w:r>
      </w:sdtContent>
    </w:sdt>
    <w:sdt>
      <w:sdtPr>
        <w:rPr>
          <w:rStyle w:val="BeteckningChar"/>
        </w:rPr>
        <w:alias w:val="CC_Noformat_Partibet"/>
        <w:tag w:val="CC_Noformat_Partibet"/>
        <w:id w:val="405810658"/>
        <w:lock w:val="sdtContentLocked"/>
        <w:placeholder>
          <w:docPart w:val="980E978BF8A845B180FDBD94290D59EE"/>
        </w:placeholder>
        <w:showingPlcHdr/>
        <w15:appearance w15:val="hidden"/>
        <w:text/>
      </w:sdtPr>
      <w:sdtEndPr>
        <w:rPr>
          <w:rStyle w:val="Rubrik1Char"/>
          <w:rFonts w:asciiTheme="majorHAnsi" w:hAnsiTheme="majorHAnsi"/>
          <w:sz w:val="38"/>
        </w:rPr>
      </w:sdtEndPr>
      <w:sdtContent>
        <w:r w:rsidR="000534D7">
          <w:t>:1537</w:t>
        </w:r>
      </w:sdtContent>
    </w:sdt>
  </w:p>
  <w:p w14:paraId="7F80A58D" w14:textId="5C6E90F8" w:rsidR="00262EA3" w:rsidRDefault="00700892" w:rsidP="00E03A3D">
    <w:pPr>
      <w:pStyle w:val="Motionr"/>
    </w:pPr>
    <w:sdt>
      <w:sdtPr>
        <w:alias w:val="CC_Noformat_Avtext"/>
        <w:tag w:val="CC_Noformat_Avtext"/>
        <w:id w:val="-2020768203"/>
        <w:lock w:val="sdtContentLocked"/>
        <w:placeholder>
          <w:docPart w:val="BE1D11688BF14B2E853C60D62031C729"/>
        </w:placeholder>
        <w15:appearance w15:val="hidden"/>
        <w:text/>
      </w:sdtPr>
      <w:sdtEndPr/>
      <w:sdtContent>
        <w:r w:rsidR="000534D7">
          <w:t>av Niels Paarup-Petersen (C)</w:t>
        </w:r>
      </w:sdtContent>
    </w:sdt>
  </w:p>
  <w:sdt>
    <w:sdtPr>
      <w:alias w:val="CC_Noformat_Rubtext"/>
      <w:tag w:val="CC_Noformat_Rubtext"/>
      <w:id w:val="-218060500"/>
      <w:lock w:val="sdtLocked"/>
      <w:placeholder>
        <w:docPart w:val="51BF884618E54E5BAE137961B0F348D5"/>
      </w:placeholder>
      <w:text/>
    </w:sdtPr>
    <w:sdtEndPr/>
    <w:sdtContent>
      <w:p w14:paraId="055C0C49" w14:textId="1DF149AA" w:rsidR="00262EA3" w:rsidRDefault="00BA3F65"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374FF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F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D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6"/>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E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92"/>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3B"/>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5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2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65"/>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62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CD"/>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76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57D21"/>
  <w15:chartTrackingRefBased/>
  <w15:docId w15:val="{6A924624-6767-42FC-9AF0-AA9BB78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22BACF44AFFA5D28DD079F3C977"/>
        <w:category>
          <w:name w:val="Allmänt"/>
          <w:gallery w:val="placeholder"/>
        </w:category>
        <w:types>
          <w:type w:val="bbPlcHdr"/>
        </w:types>
        <w:behaviors>
          <w:behavior w:val="content"/>
        </w:behaviors>
        <w:guid w:val="{6B588E4D-36A2-4C71-951A-CE586D60494B}"/>
      </w:docPartPr>
      <w:docPartBody>
        <w:p w:rsidR="000030B6" w:rsidRDefault="008A07E4">
          <w:pPr>
            <w:pStyle w:val="9CA2D22BACF44AFFA5D28DD079F3C977"/>
          </w:pPr>
          <w:r w:rsidRPr="005A0A93">
            <w:rPr>
              <w:rStyle w:val="Platshllartext"/>
            </w:rPr>
            <w:t>Förslag till riksdagsbeslut</w:t>
          </w:r>
        </w:p>
      </w:docPartBody>
    </w:docPart>
    <w:docPart>
      <w:docPartPr>
        <w:name w:val="DA0B5C7920E1428D827C0C9D12396936"/>
        <w:category>
          <w:name w:val="Allmänt"/>
          <w:gallery w:val="placeholder"/>
        </w:category>
        <w:types>
          <w:type w:val="bbPlcHdr"/>
        </w:types>
        <w:behaviors>
          <w:behavior w:val="content"/>
        </w:behaviors>
        <w:guid w:val="{52315EA3-4826-4A89-9ADF-91936427741D}"/>
      </w:docPartPr>
      <w:docPartBody>
        <w:p w:rsidR="000030B6" w:rsidRDefault="008A07E4">
          <w:pPr>
            <w:pStyle w:val="DA0B5C7920E1428D827C0C9D12396936"/>
          </w:pPr>
          <w:r w:rsidRPr="005A0A93">
            <w:rPr>
              <w:rStyle w:val="Platshllartext"/>
            </w:rPr>
            <w:t>Motivering</w:t>
          </w:r>
        </w:p>
      </w:docPartBody>
    </w:docPart>
    <w:docPart>
      <w:docPartPr>
        <w:name w:val="BE1D11688BF14B2E853C60D62031C729"/>
        <w:category>
          <w:name w:val="Allmänt"/>
          <w:gallery w:val="placeholder"/>
        </w:category>
        <w:types>
          <w:type w:val="bbPlcHdr"/>
        </w:types>
        <w:behaviors>
          <w:behavior w:val="content"/>
        </w:behaviors>
        <w:guid w:val="{80B60AF8-9FA1-4A95-BEB3-07F910EBD753}"/>
      </w:docPartPr>
      <w:docPartBody>
        <w:p w:rsidR="000030B6" w:rsidRDefault="008A07E4">
          <w:pPr>
            <w:pStyle w:val="BE1D11688BF14B2E853C60D62031C729"/>
          </w:pPr>
          <w:r>
            <w:rPr>
              <w:rStyle w:val="Platshllartext"/>
            </w:rPr>
            <w:t xml:space="preserve"> </w:t>
          </w:r>
        </w:p>
      </w:docPartBody>
    </w:docPart>
    <w:docPart>
      <w:docPartPr>
        <w:name w:val="51BF884618E54E5BAE137961B0F348D5"/>
        <w:category>
          <w:name w:val="Allmänt"/>
          <w:gallery w:val="placeholder"/>
        </w:category>
        <w:types>
          <w:type w:val="bbPlcHdr"/>
        </w:types>
        <w:behaviors>
          <w:behavior w:val="content"/>
        </w:behaviors>
        <w:guid w:val="{DB601C56-159E-463A-81F2-0D94B2CF332D}"/>
      </w:docPartPr>
      <w:docPartBody>
        <w:p w:rsidR="000030B6" w:rsidRDefault="008A07E4">
          <w:pPr>
            <w:pStyle w:val="51BF884618E54E5BAE137961B0F348D5"/>
          </w:pPr>
          <w:r>
            <w:t xml:space="preserve"> </w:t>
          </w:r>
        </w:p>
      </w:docPartBody>
    </w:docPart>
    <w:docPart>
      <w:docPartPr>
        <w:name w:val="1E4619FDD4C34A4E89E5D705E1418082"/>
        <w:category>
          <w:name w:val="Allmänt"/>
          <w:gallery w:val="placeholder"/>
        </w:category>
        <w:types>
          <w:type w:val="bbPlcHdr"/>
        </w:types>
        <w:behaviors>
          <w:behavior w:val="content"/>
        </w:behaviors>
        <w:guid w:val="{92929AAC-156C-4A49-880A-8C85D1B83131}"/>
      </w:docPartPr>
      <w:docPartBody>
        <w:p w:rsidR="000030B6" w:rsidRDefault="008A07E4">
          <w:r w:rsidRPr="001F693F">
            <w:rPr>
              <w:rStyle w:val="Platshllartext"/>
            </w:rPr>
            <w:t>[ange din text här]</w:t>
          </w:r>
        </w:p>
      </w:docPartBody>
    </w:docPart>
    <w:docPart>
      <w:docPartPr>
        <w:name w:val="9BD074EC5F104F3287B882B2E760B643"/>
        <w:category>
          <w:name w:val="Allmänt"/>
          <w:gallery w:val="placeholder"/>
        </w:category>
        <w:types>
          <w:type w:val="bbPlcHdr"/>
        </w:types>
        <w:behaviors>
          <w:behavior w:val="content"/>
        </w:behaviors>
        <w:guid w:val="{101AFAC1-C357-4D40-B983-6AB3BEAEC135}"/>
      </w:docPartPr>
      <w:docPartBody>
        <w:p w:rsidR="000030B6" w:rsidRDefault="008A07E4">
          <w:r w:rsidRPr="001F693F">
            <w:rPr>
              <w:rStyle w:val="Platshllartext"/>
            </w:rPr>
            <w:t>[ange din text här]</w:t>
          </w:r>
        </w:p>
      </w:docPartBody>
    </w:docPart>
    <w:docPart>
      <w:docPartPr>
        <w:name w:val="A677C63F9CEC481FBAA25117068AB0DB"/>
        <w:category>
          <w:name w:val="Allmänt"/>
          <w:gallery w:val="placeholder"/>
        </w:category>
        <w:types>
          <w:type w:val="bbPlcHdr"/>
        </w:types>
        <w:behaviors>
          <w:behavior w:val="content"/>
        </w:behaviors>
        <w:guid w:val="{8D8E426D-DEF1-49E0-A54B-4261CC727798}"/>
      </w:docPartPr>
      <w:docPartBody>
        <w:p w:rsidR="000030B6" w:rsidRDefault="008A07E4">
          <w:r w:rsidRPr="001F693F">
            <w:rPr>
              <w:rStyle w:val="Platshllartext"/>
            </w:rPr>
            <w:t>[ange din text här]</w:t>
          </w:r>
        </w:p>
      </w:docPartBody>
    </w:docPart>
    <w:docPart>
      <w:docPartPr>
        <w:name w:val="685B8473E459431D91378E7145E3AD24"/>
        <w:category>
          <w:name w:val="Allmänt"/>
          <w:gallery w:val="placeholder"/>
        </w:category>
        <w:types>
          <w:type w:val="bbPlcHdr"/>
        </w:types>
        <w:behaviors>
          <w:behavior w:val="content"/>
        </w:behaviors>
        <w:guid w:val="{05A8B565-6D6F-4CEA-9AA5-76A0E2CB7BDD}"/>
      </w:docPartPr>
      <w:docPartBody>
        <w:p w:rsidR="000030B6" w:rsidRDefault="008A07E4">
          <w:r w:rsidRPr="001F693F">
            <w:rPr>
              <w:rStyle w:val="Platshllartext"/>
            </w:rPr>
            <w:t>[ange din text här]</w:t>
          </w:r>
        </w:p>
      </w:docPartBody>
    </w:docPart>
    <w:docPart>
      <w:docPartPr>
        <w:name w:val="980E978BF8A845B180FDBD94290D59EE"/>
        <w:category>
          <w:name w:val="Allmänt"/>
          <w:gallery w:val="placeholder"/>
        </w:category>
        <w:types>
          <w:type w:val="bbPlcHdr"/>
        </w:types>
        <w:behaviors>
          <w:behavior w:val="content"/>
        </w:behaviors>
        <w:guid w:val="{5AB53315-F3A2-45DC-AA73-6FDA4C42FDAE}"/>
      </w:docPartPr>
      <w:docPartBody>
        <w:p w:rsidR="000030B6" w:rsidRDefault="008A07E4">
          <w:r w:rsidRPr="001F693F">
            <w:rPr>
              <w:rStyle w:val="Platshllartext"/>
            </w:rPr>
            <w:t>[ange din text här]</w:t>
          </w:r>
        </w:p>
      </w:docPartBody>
    </w:docPart>
    <w:docPart>
      <w:docPartPr>
        <w:name w:val="9795259262F14A738B31A84026336EC1"/>
        <w:category>
          <w:name w:val="Allmänt"/>
          <w:gallery w:val="placeholder"/>
        </w:category>
        <w:types>
          <w:type w:val="bbPlcHdr"/>
        </w:types>
        <w:behaviors>
          <w:behavior w:val="content"/>
        </w:behaviors>
        <w:guid w:val="{441BF770-B028-43E5-AEB9-FF494A6FF070}"/>
      </w:docPartPr>
      <w:docPartBody>
        <w:p w:rsidR="00901D27" w:rsidRDefault="00901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4"/>
    <w:rsid w:val="000030B6"/>
    <w:rsid w:val="008A07E4"/>
    <w:rsid w:val="00901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7E4"/>
    <w:rPr>
      <w:color w:val="F4B083" w:themeColor="accent2" w:themeTint="99"/>
    </w:rPr>
  </w:style>
  <w:style w:type="paragraph" w:customStyle="1" w:styleId="9CA2D22BACF44AFFA5D28DD079F3C977">
    <w:name w:val="9CA2D22BACF44AFFA5D28DD079F3C977"/>
  </w:style>
  <w:style w:type="paragraph" w:customStyle="1" w:styleId="DA0B5C7920E1428D827C0C9D12396936">
    <w:name w:val="DA0B5C7920E1428D827C0C9D12396936"/>
  </w:style>
  <w:style w:type="paragraph" w:customStyle="1" w:styleId="BE1D11688BF14B2E853C60D62031C729">
    <w:name w:val="BE1D11688BF14B2E853C60D62031C729"/>
  </w:style>
  <w:style w:type="paragraph" w:customStyle="1" w:styleId="51BF884618E54E5BAE137961B0F348D5">
    <w:name w:val="51BF884618E54E5BAE137961B0F34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822AF-45B1-4715-9EFD-F12DB31A576F}"/>
</file>

<file path=customXml/itemProps2.xml><?xml version="1.0" encoding="utf-8"?>
<ds:datastoreItem xmlns:ds="http://schemas.openxmlformats.org/officeDocument/2006/customXml" ds:itemID="{E6E1FCC8-70D7-47F9-B474-6517851243ED}"/>
</file>

<file path=customXml/itemProps3.xml><?xml version="1.0" encoding="utf-8"?>
<ds:datastoreItem xmlns:ds="http://schemas.openxmlformats.org/officeDocument/2006/customXml" ds:itemID="{D5B11904-80D3-4894-A4CC-7F63BC63CCAF}"/>
</file>

<file path=docProps/app.xml><?xml version="1.0" encoding="utf-8"?>
<Properties xmlns="http://schemas.openxmlformats.org/officeDocument/2006/extended-properties" xmlns:vt="http://schemas.openxmlformats.org/officeDocument/2006/docPropsVTypes">
  <Template>Normal</Template>
  <TotalTime>18</TotalTime>
  <Pages>4</Pages>
  <Words>1634</Words>
  <Characters>9089</Characters>
  <Application>Microsoft Office Word</Application>
  <DocSecurity>0</DocSecurity>
  <Lines>151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