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857B70" w:rsidRPr="00005077">
        <w:tc>
          <w:tcPr>
            <w:tcW w:w="2268" w:type="dxa"/>
          </w:tcPr>
          <w:p w:rsidR="00857B70" w:rsidRPr="00005077" w:rsidRDefault="00857B70" w:rsidP="007242A3">
            <w:pPr>
              <w:framePr w:w="5035" w:h="1644" w:wrap="notBeside" w:vAnchor="page" w:hAnchor="page" w:x="6573" w:y="721"/>
              <w:rPr>
                <w:rFonts w:ascii="TradeGothic" w:hAnsi="TradeGothic"/>
                <w:i/>
                <w:sz w:val="18"/>
              </w:rPr>
            </w:pPr>
          </w:p>
        </w:tc>
        <w:tc>
          <w:tcPr>
            <w:tcW w:w="2999" w:type="dxa"/>
            <w:gridSpan w:val="2"/>
          </w:tcPr>
          <w:p w:rsidR="00857B70" w:rsidRPr="00857B70" w:rsidRDefault="00857B70" w:rsidP="00857B70">
            <w:pPr>
              <w:framePr w:w="5035" w:h="1644" w:wrap="notBeside" w:vAnchor="page" w:hAnchor="page" w:x="6573" w:y="721"/>
              <w:jc w:val="center"/>
              <w:rPr>
                <w:rFonts w:ascii="TradeGothic" w:hAnsi="TradeGothic"/>
                <w:sz w:val="18"/>
                <w:rPrChange w:id="0" w:author="jb0525aa" w:date="2013-02-25T13:15:00Z">
                  <w:rPr>
                    <w:rFonts w:ascii="TradeGothic" w:hAnsi="TradeGothic"/>
                    <w:i/>
                    <w:sz w:val="18"/>
                  </w:rPr>
                </w:rPrChange>
              </w:rPr>
              <w:pPrChange w:id="1" w:author="jb0525aa" w:date="2013-02-25T13:15:00Z">
                <w:pPr>
                  <w:framePr w:w="5035" w:h="1644" w:wrap="notBeside" w:vAnchor="page" w:hAnchor="page" w:x="6573" w:y="721"/>
                </w:pPr>
              </w:pPrChange>
            </w:pPr>
          </w:p>
        </w:tc>
      </w:tr>
      <w:tr w:rsidR="00857B70" w:rsidRPr="00005077">
        <w:tc>
          <w:tcPr>
            <w:tcW w:w="2268" w:type="dxa"/>
          </w:tcPr>
          <w:p w:rsidR="00857B70" w:rsidRPr="00005077" w:rsidRDefault="00857B70"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rsidR="00857B70" w:rsidRPr="00005077" w:rsidRDefault="00857B70" w:rsidP="007242A3">
            <w:pPr>
              <w:framePr w:w="5035" w:h="1644" w:wrap="notBeside" w:vAnchor="page" w:hAnchor="page" w:x="6573" w:y="721"/>
              <w:rPr>
                <w:rFonts w:ascii="TradeGothic" w:hAnsi="TradeGothic"/>
                <w:b/>
                <w:sz w:val="22"/>
              </w:rPr>
            </w:pPr>
          </w:p>
        </w:tc>
      </w:tr>
      <w:tr w:rsidR="00857B70" w:rsidRPr="00005077">
        <w:tc>
          <w:tcPr>
            <w:tcW w:w="3402" w:type="dxa"/>
            <w:gridSpan w:val="2"/>
          </w:tcPr>
          <w:p w:rsidR="00857B70" w:rsidRPr="00005077" w:rsidRDefault="00857B70" w:rsidP="007242A3">
            <w:pPr>
              <w:framePr w:w="5035" w:h="1644" w:wrap="notBeside" w:vAnchor="page" w:hAnchor="page" w:x="6573" w:y="721"/>
            </w:pPr>
          </w:p>
        </w:tc>
        <w:tc>
          <w:tcPr>
            <w:tcW w:w="1865" w:type="dxa"/>
          </w:tcPr>
          <w:p w:rsidR="00857B70" w:rsidRPr="00005077" w:rsidRDefault="00857B70" w:rsidP="007242A3">
            <w:pPr>
              <w:framePr w:w="5035" w:h="1644" w:wrap="notBeside" w:vAnchor="page" w:hAnchor="page" w:x="6573" w:y="721"/>
            </w:pPr>
          </w:p>
        </w:tc>
      </w:tr>
      <w:tr w:rsidR="00857B70" w:rsidRPr="00005077">
        <w:tc>
          <w:tcPr>
            <w:tcW w:w="2268" w:type="dxa"/>
          </w:tcPr>
          <w:p w:rsidR="00857B70" w:rsidRPr="00005077" w:rsidRDefault="00857B70" w:rsidP="00452748">
            <w:pPr>
              <w:framePr w:w="5035" w:h="1644" w:wrap="notBeside" w:vAnchor="page" w:hAnchor="page" w:x="6573" w:y="721"/>
            </w:pPr>
            <w:r>
              <w:t>2013-02-25</w:t>
            </w:r>
          </w:p>
        </w:tc>
        <w:tc>
          <w:tcPr>
            <w:tcW w:w="2999" w:type="dxa"/>
            <w:gridSpan w:val="2"/>
          </w:tcPr>
          <w:p w:rsidR="00857B70" w:rsidRPr="00005077" w:rsidRDefault="00857B70" w:rsidP="00761BFC">
            <w:pPr>
              <w:framePr w:w="5035" w:h="1644" w:wrap="notBeside" w:vAnchor="page" w:hAnchor="page" w:x="6573" w:y="721"/>
              <w:rPr>
                <w:sz w:val="20"/>
              </w:rPr>
            </w:pPr>
            <w:r>
              <w:rPr>
                <w:sz w:val="20"/>
              </w:rPr>
              <w:t>Fi 2013/147</w:t>
            </w:r>
          </w:p>
        </w:tc>
      </w:tr>
      <w:tr w:rsidR="00857B70" w:rsidRPr="00005077">
        <w:tc>
          <w:tcPr>
            <w:tcW w:w="2268" w:type="dxa"/>
          </w:tcPr>
          <w:p w:rsidR="00857B70" w:rsidRPr="00005077" w:rsidRDefault="00857B70" w:rsidP="007242A3">
            <w:pPr>
              <w:framePr w:w="5035" w:h="1644" w:wrap="notBeside" w:vAnchor="page" w:hAnchor="page" w:x="6573" w:y="721"/>
            </w:pPr>
          </w:p>
        </w:tc>
        <w:tc>
          <w:tcPr>
            <w:tcW w:w="2999" w:type="dxa"/>
            <w:gridSpan w:val="2"/>
          </w:tcPr>
          <w:p w:rsidR="00857B70" w:rsidRPr="00005077" w:rsidRDefault="00857B70" w:rsidP="007242A3">
            <w:pPr>
              <w:framePr w:w="5035" w:h="1644" w:wrap="notBeside" w:vAnchor="page" w:hAnchor="page" w:x="6573" w:y="721"/>
            </w:pPr>
          </w:p>
        </w:tc>
      </w:tr>
    </w:tbl>
    <w:p w:rsidR="00857B70" w:rsidRPr="00F31507" w:rsidRDefault="00857B70" w:rsidP="00F31507">
      <w:pPr>
        <w:rPr>
          <w:vanish/>
        </w:rPr>
      </w:pPr>
    </w:p>
    <w:tbl>
      <w:tblPr>
        <w:tblW w:w="0" w:type="auto"/>
        <w:tblLayout w:type="fixed"/>
        <w:tblLook w:val="0000"/>
      </w:tblPr>
      <w:tblGrid>
        <w:gridCol w:w="4911"/>
      </w:tblGrid>
      <w:tr w:rsidR="00857B70" w:rsidRPr="00005077">
        <w:trPr>
          <w:trHeight w:val="284"/>
        </w:trPr>
        <w:tc>
          <w:tcPr>
            <w:tcW w:w="4911" w:type="dxa"/>
          </w:tcPr>
          <w:p w:rsidR="00857B70" w:rsidRPr="00005077" w:rsidRDefault="00857B70">
            <w:pPr>
              <w:pStyle w:val="Avsndare"/>
              <w:framePr w:h="2483" w:wrap="notBeside" w:x="1504"/>
              <w:rPr>
                <w:b/>
                <w:i w:val="0"/>
                <w:sz w:val="22"/>
              </w:rPr>
            </w:pPr>
            <w:r>
              <w:rPr>
                <w:b/>
                <w:i w:val="0"/>
                <w:sz w:val="22"/>
              </w:rPr>
              <w:t>Finansdepartementet</w:t>
            </w:r>
          </w:p>
        </w:tc>
      </w:tr>
      <w:tr w:rsidR="00857B70" w:rsidRPr="00005077">
        <w:trPr>
          <w:trHeight w:val="284"/>
        </w:trPr>
        <w:tc>
          <w:tcPr>
            <w:tcW w:w="4911" w:type="dxa"/>
          </w:tcPr>
          <w:p w:rsidR="00857B70" w:rsidRPr="00005077" w:rsidRDefault="00857B70">
            <w:pPr>
              <w:pStyle w:val="Avsndare"/>
              <w:framePr w:h="2483" w:wrap="notBeside" w:x="1504"/>
              <w:rPr>
                <w:bCs/>
                <w:iCs/>
              </w:rPr>
            </w:pPr>
          </w:p>
        </w:tc>
      </w:tr>
      <w:tr w:rsidR="00857B70" w:rsidRPr="00005077">
        <w:trPr>
          <w:trHeight w:val="284"/>
        </w:trPr>
        <w:tc>
          <w:tcPr>
            <w:tcW w:w="4911" w:type="dxa"/>
          </w:tcPr>
          <w:p w:rsidR="00857B70" w:rsidRPr="00005077" w:rsidRDefault="00857B70">
            <w:pPr>
              <w:pStyle w:val="Avsndare"/>
              <w:framePr w:h="2483" w:wrap="notBeside" w:x="1504"/>
              <w:rPr>
                <w:bCs/>
                <w:iCs/>
              </w:rPr>
            </w:pPr>
          </w:p>
        </w:tc>
      </w:tr>
      <w:tr w:rsidR="00857B70" w:rsidRPr="00005077">
        <w:trPr>
          <w:trHeight w:val="284"/>
        </w:trPr>
        <w:tc>
          <w:tcPr>
            <w:tcW w:w="4911" w:type="dxa"/>
          </w:tcPr>
          <w:p w:rsidR="00857B70" w:rsidRPr="00005077" w:rsidRDefault="00857B70">
            <w:pPr>
              <w:pStyle w:val="Avsndare"/>
              <w:framePr w:h="2483" w:wrap="notBeside" w:x="1504"/>
              <w:rPr>
                <w:bCs/>
                <w:iCs/>
              </w:rPr>
            </w:pPr>
          </w:p>
        </w:tc>
      </w:tr>
      <w:tr w:rsidR="00857B70" w:rsidRPr="00005077">
        <w:trPr>
          <w:trHeight w:val="284"/>
        </w:trPr>
        <w:tc>
          <w:tcPr>
            <w:tcW w:w="4911" w:type="dxa"/>
          </w:tcPr>
          <w:p w:rsidR="00857B70" w:rsidRPr="00005077" w:rsidRDefault="00857B70">
            <w:pPr>
              <w:pStyle w:val="Avsndare"/>
              <w:framePr w:h="2483" w:wrap="notBeside" w:x="1504"/>
              <w:rPr>
                <w:bCs/>
                <w:iCs/>
              </w:rPr>
            </w:pPr>
          </w:p>
        </w:tc>
      </w:tr>
      <w:tr w:rsidR="00857B70" w:rsidRPr="00005077">
        <w:trPr>
          <w:trHeight w:val="284"/>
        </w:trPr>
        <w:tc>
          <w:tcPr>
            <w:tcW w:w="4911" w:type="dxa"/>
          </w:tcPr>
          <w:p w:rsidR="00857B70" w:rsidRPr="00005077" w:rsidRDefault="00857B70">
            <w:pPr>
              <w:pStyle w:val="Avsndare"/>
              <w:framePr w:h="2483" w:wrap="notBeside" w:x="1504"/>
              <w:rPr>
                <w:bCs/>
                <w:iCs/>
              </w:rPr>
            </w:pPr>
          </w:p>
        </w:tc>
      </w:tr>
      <w:tr w:rsidR="00857B70" w:rsidRPr="00005077">
        <w:trPr>
          <w:trHeight w:val="284"/>
        </w:trPr>
        <w:tc>
          <w:tcPr>
            <w:tcW w:w="4911" w:type="dxa"/>
          </w:tcPr>
          <w:p w:rsidR="00857B70" w:rsidRPr="00005077" w:rsidRDefault="00857B70">
            <w:pPr>
              <w:pStyle w:val="Avsndare"/>
              <w:framePr w:h="2483" w:wrap="notBeside" w:x="1504"/>
              <w:rPr>
                <w:bCs/>
                <w:iCs/>
              </w:rPr>
            </w:pPr>
          </w:p>
        </w:tc>
      </w:tr>
    </w:tbl>
    <w:p w:rsidR="00857B70" w:rsidRDefault="00857B70">
      <w:pPr>
        <w:framePr w:w="4400" w:h="2523" w:wrap="notBeside" w:vAnchor="page" w:hAnchor="page" w:x="6453" w:y="2445"/>
        <w:ind w:left="142"/>
      </w:pPr>
      <w:r>
        <w:t>Till: Riksdagen</w:t>
      </w:r>
    </w:p>
    <w:p w:rsidR="00857B70" w:rsidRDefault="00857B70">
      <w:pPr>
        <w:framePr w:w="4400" w:h="2523" w:wrap="notBeside" w:vAnchor="page" w:hAnchor="page" w:x="6453" w:y="2445"/>
        <w:ind w:left="142"/>
      </w:pPr>
    </w:p>
    <w:p w:rsidR="00857B70" w:rsidRDefault="00857B70">
      <w:pPr>
        <w:framePr w:w="4400" w:h="2523" w:wrap="notBeside" w:vAnchor="page" w:hAnchor="page" w:x="6453" w:y="2445"/>
        <w:ind w:left="142"/>
      </w:pPr>
      <w:r>
        <w:t xml:space="preserve">Ekofinrådets möte den </w:t>
      </w:r>
    </w:p>
    <w:p w:rsidR="00857B70" w:rsidRPr="00005077" w:rsidRDefault="00857B70">
      <w:pPr>
        <w:framePr w:w="4400" w:h="2523" w:wrap="notBeside" w:vAnchor="page" w:hAnchor="page" w:x="6453" w:y="2445"/>
        <w:ind w:left="142"/>
      </w:pPr>
      <w:r>
        <w:t>5 mars i Bryssel</w:t>
      </w:r>
    </w:p>
    <w:p w:rsidR="00857B70" w:rsidRPr="00005077" w:rsidRDefault="00857B70" w:rsidP="00005077">
      <w:pPr>
        <w:pStyle w:val="RKrubrik"/>
        <w:pBdr>
          <w:bottom w:val="single" w:sz="4" w:space="1" w:color="000000"/>
        </w:pBdr>
        <w:spacing w:before="0" w:after="0"/>
      </w:pPr>
      <w:r>
        <w:t>Kommenterad dagordning</w:t>
      </w:r>
    </w:p>
    <w:p w:rsidR="00857B70" w:rsidRPr="00005077" w:rsidRDefault="00857B70">
      <w:pPr>
        <w:pStyle w:val="RKnormal"/>
        <w:rPr>
          <w:sz w:val="20"/>
        </w:rPr>
      </w:pPr>
      <w:r>
        <w:rPr>
          <w:sz w:val="20"/>
        </w:rPr>
        <w:t>- enligt den preliminära dagordning som framkom i Coreper den 14 februari</w:t>
      </w:r>
    </w:p>
    <w:p w:rsidR="00857B70" w:rsidRDefault="00857B70" w:rsidP="00013C04">
      <w:pPr>
        <w:pStyle w:val="Heading2"/>
        <w:numPr>
          <w:ilvl w:val="0"/>
          <w:numId w:val="7"/>
        </w:numPr>
        <w:rPr>
          <w:lang w:eastAsia="sv-SE"/>
        </w:rPr>
      </w:pPr>
      <w:r>
        <w:rPr>
          <w:lang w:eastAsia="sv-SE"/>
        </w:rPr>
        <w:t>Godkännande av den preliminära dagordningen</w:t>
      </w:r>
    </w:p>
    <w:p w:rsidR="00857B70" w:rsidRPr="00B40850" w:rsidRDefault="00857B70" w:rsidP="00013C04">
      <w:pPr>
        <w:pStyle w:val="Heading2"/>
        <w:rPr>
          <w:u w:val="single"/>
          <w:lang w:eastAsia="sv-SE"/>
        </w:rPr>
      </w:pPr>
      <w:r>
        <w:rPr>
          <w:u w:val="single"/>
          <w:lang w:eastAsia="sv-SE"/>
        </w:rPr>
        <w:t>Lagstiftningsöverläggningar</w:t>
      </w:r>
    </w:p>
    <w:p w:rsidR="00857B70" w:rsidRDefault="00857B70" w:rsidP="0028134B">
      <w:pPr>
        <w:pStyle w:val="Heading2"/>
        <w:numPr>
          <w:ilvl w:val="0"/>
          <w:numId w:val="7"/>
        </w:numPr>
        <w:rPr>
          <w:rStyle w:val="Strong"/>
          <w:b/>
        </w:rPr>
      </w:pPr>
      <w:r w:rsidRPr="0028134B">
        <w:rPr>
          <w:rStyle w:val="Strong"/>
          <w:b/>
        </w:rPr>
        <w:t>(ev.) Godkännande av listan över A-punkter</w:t>
      </w:r>
    </w:p>
    <w:p w:rsidR="00857B70" w:rsidRPr="00451C5D" w:rsidRDefault="00857B70" w:rsidP="00603DD1">
      <w:pPr>
        <w:pStyle w:val="Heading2"/>
        <w:numPr>
          <w:ilvl w:val="0"/>
          <w:numId w:val="7"/>
        </w:numPr>
      </w:pPr>
      <w:r>
        <w:t>(ev.) Reviderade kapitaltäckningsregler</w:t>
      </w:r>
    </w:p>
    <w:p w:rsidR="00857B70" w:rsidRDefault="00857B70" w:rsidP="00603DD1">
      <w:pPr>
        <w:pStyle w:val="Heading4"/>
      </w:pPr>
      <w:r>
        <w:tab/>
        <w:t>- Reviderad allmän inriktning</w:t>
      </w:r>
    </w:p>
    <w:p w:rsidR="00857B70" w:rsidRDefault="00857B70" w:rsidP="00EF6D83">
      <w:pPr>
        <w:pStyle w:val="RKnormal"/>
        <w:spacing w:line="240" w:lineRule="auto"/>
      </w:pPr>
      <w:r>
        <w:t xml:space="preserve">Ordförandeskapet hoppas på beslut om reviderade kapitaltäckningsregler och skapandet av en s k </w:t>
      </w:r>
      <w:r w:rsidRPr="003E3B33">
        <w:rPr>
          <w:i/>
        </w:rPr>
        <w:t>single rule book</w:t>
      </w:r>
      <w:r>
        <w:t xml:space="preserve"> (CRD4/CRR). </w:t>
      </w:r>
    </w:p>
    <w:p w:rsidR="00857B70" w:rsidRDefault="00857B70" w:rsidP="00EF6D83">
      <w:pPr>
        <w:pStyle w:val="RKnormal"/>
        <w:spacing w:line="240" w:lineRule="auto"/>
      </w:pPr>
    </w:p>
    <w:p w:rsidR="00857B70" w:rsidRDefault="00857B70" w:rsidP="00EF6D83">
      <w:pPr>
        <w:spacing w:line="240" w:lineRule="auto"/>
      </w:pPr>
      <w:r>
        <w:t xml:space="preserve">Samråd har skett med såväl Finansutskottet som EU-nämnden. </w:t>
      </w:r>
      <w:r w:rsidRPr="008C309C">
        <w:t xml:space="preserve">Finansutskottet informerades senast </w:t>
      </w:r>
      <w:r w:rsidRPr="00440086">
        <w:t xml:space="preserve">den 14 februari </w:t>
      </w:r>
      <w:r w:rsidRPr="008C309C">
        <w:t>201</w:t>
      </w:r>
      <w:r>
        <w:t>3</w:t>
      </w:r>
      <w:r w:rsidRPr="008C309C">
        <w:t xml:space="preserve"> och samråd med EU-nämnden </w:t>
      </w:r>
      <w:r>
        <w:t xml:space="preserve">skedde </w:t>
      </w:r>
      <w:r w:rsidRPr="008C309C">
        <w:t>senast inför Ekofinrådets möte</w:t>
      </w:r>
      <w:r>
        <w:t>n</w:t>
      </w:r>
      <w:r w:rsidRPr="008C309C">
        <w:t xml:space="preserve"> den </w:t>
      </w:r>
      <w:r>
        <w:t>4 december 2</w:t>
      </w:r>
      <w:r w:rsidRPr="008C309C">
        <w:t>012.</w:t>
      </w:r>
    </w:p>
    <w:p w:rsidR="00857B70" w:rsidRDefault="00857B70" w:rsidP="00EF6D83">
      <w:pPr>
        <w:spacing w:line="240" w:lineRule="auto"/>
      </w:pPr>
    </w:p>
    <w:p w:rsidR="00857B70" w:rsidRPr="00680E75" w:rsidRDefault="00857B70" w:rsidP="00EF6D83">
      <w:pPr>
        <w:pStyle w:val="RKnormal"/>
        <w:spacing w:line="240" w:lineRule="auto"/>
        <w:rPr>
          <w:color w:val="000000"/>
        </w:rPr>
      </w:pPr>
      <w:r w:rsidRPr="00680E75">
        <w:t>Förslagen syftar till att införa den globala överenskommelsen Basel 3 och att harmonisera gällande kapitaltäckningsregler</w:t>
      </w:r>
      <w:r>
        <w:t>.</w:t>
      </w:r>
      <w:r w:rsidRPr="00B70631">
        <w:rPr>
          <w:color w:val="000000"/>
        </w:rPr>
        <w:t xml:space="preserve"> </w:t>
      </w:r>
      <w:r w:rsidRPr="00680E75">
        <w:rPr>
          <w:color w:val="000000"/>
        </w:rPr>
        <w:t xml:space="preserve">Regeringen är positiv till Basel 3-överenskommelsen och att den ska implementeras i EU. Därför är det viktigt att innehållet i </w:t>
      </w:r>
      <w:r>
        <w:rPr>
          <w:color w:val="000000"/>
        </w:rPr>
        <w:t>Basel 3-</w:t>
      </w:r>
      <w:r w:rsidRPr="00680E75">
        <w:rPr>
          <w:color w:val="000000"/>
        </w:rPr>
        <w:t xml:space="preserve">överenskommelsen inte urvattnas när den genomförs som gällande rätt inom EU. </w:t>
      </w:r>
    </w:p>
    <w:p w:rsidR="00857B70" w:rsidRDefault="00857B70" w:rsidP="00EF6D83">
      <w:pPr>
        <w:spacing w:line="240" w:lineRule="auto"/>
      </w:pPr>
    </w:p>
    <w:p w:rsidR="00857B70" w:rsidRPr="00680E75" w:rsidRDefault="00857B70" w:rsidP="00EF6D83">
      <w:pPr>
        <w:spacing w:line="240" w:lineRule="auto"/>
      </w:pPr>
      <w:r w:rsidRPr="00680E75">
        <w:t>Förslagen består av två delar: ett direktiv och en förordning. De berör EU-reglerna för bland annat kreditinstituts och värdepappersbolags (instituts) kapitaltäckning, skuldsättningsgrad och likviditet. Dessutom innehåller förslaget delar som är inriktade mot bolagsstyrningsfrågor och sanktioner. Förordningen och direktivet ska ersätta de två gällande direktiven 2006/48/EG om rätten att starta och driva verksamhet i kreditinstitut och 2006/49/EG om kapitalkrav för värdepappersbolag och kreditinstitut</w:t>
      </w:r>
      <w:r>
        <w:t xml:space="preserve"> (se vidare faktapromemoria 2010/11:FPM148). </w:t>
      </w:r>
    </w:p>
    <w:p w:rsidR="00857B70" w:rsidRDefault="00857B70" w:rsidP="00EF6D83">
      <w:pPr>
        <w:pStyle w:val="RKnormal"/>
        <w:spacing w:line="240" w:lineRule="auto"/>
        <w:rPr>
          <w:i/>
          <w:color w:val="000000"/>
        </w:rPr>
      </w:pPr>
    </w:p>
    <w:p w:rsidR="00857B70" w:rsidRDefault="00857B70" w:rsidP="00EF6D83">
      <w:pPr>
        <w:pStyle w:val="RKnormal"/>
        <w:spacing w:line="240" w:lineRule="auto"/>
      </w:pPr>
      <w:r w:rsidRPr="003B1B51">
        <w:t xml:space="preserve">Regeringen anser att flexibiliteten </w:t>
      </w:r>
      <w:r>
        <w:t xml:space="preserve">i rådets allmänna inriktning, vad avser medlemsstaternas möjligheter att sätta högre kapitalkravpå systemviktiga institut, </w:t>
      </w:r>
      <w:r w:rsidRPr="003B1B51">
        <w:t xml:space="preserve">är en godtagbar kompromiss. Förslaget innebär att Sverige kan genomföra lejonparten av det kapitalpåslag på de fyra storbankerna som man tillsammans med riksdagen, </w:t>
      </w:r>
      <w:r>
        <w:t>F</w:t>
      </w:r>
      <w:r w:rsidRPr="003B1B51">
        <w:t xml:space="preserve">inansinspektionen och </w:t>
      </w:r>
      <w:r>
        <w:t>R</w:t>
      </w:r>
      <w:r w:rsidRPr="003B1B51">
        <w:t>iksbanken beslutade om i no</w:t>
      </w:r>
      <w:r>
        <w:t xml:space="preserve">vember 2011, utan att behöva </w:t>
      </w:r>
      <w:r w:rsidRPr="003B1B51">
        <w:t xml:space="preserve">kommissionens godkännande. </w:t>
      </w:r>
    </w:p>
    <w:p w:rsidR="00857B70" w:rsidRDefault="00857B70" w:rsidP="00EF6D83">
      <w:pPr>
        <w:pStyle w:val="RKnormal"/>
        <w:spacing w:line="240" w:lineRule="auto"/>
      </w:pPr>
    </w:p>
    <w:p w:rsidR="00857B70" w:rsidRPr="003B1B51" w:rsidRDefault="00857B70" w:rsidP="00EF6D83">
      <w:pPr>
        <w:pStyle w:val="RKnormal"/>
        <w:spacing w:line="240" w:lineRule="auto"/>
      </w:pPr>
      <w:r w:rsidRPr="003B1B51">
        <w:t xml:space="preserve">Vidare har regeringen i den allmänna inriktningen fått igenom att lån med pant i bostadsrätter likställs med lån med pant i egna hem, genom att bostadsrätt definieras som bostadsfastighet. </w:t>
      </w:r>
    </w:p>
    <w:p w:rsidR="00857B70" w:rsidRPr="003B1B51" w:rsidRDefault="00857B70" w:rsidP="00EF6D83">
      <w:pPr>
        <w:pStyle w:val="RKnormal"/>
        <w:spacing w:line="240" w:lineRule="auto"/>
      </w:pPr>
    </w:p>
    <w:p w:rsidR="00857B70" w:rsidRDefault="00857B70" w:rsidP="00EF6D83">
      <w:pPr>
        <w:pStyle w:val="RKnormal"/>
        <w:spacing w:line="240" w:lineRule="auto"/>
      </w:pPr>
      <w:r w:rsidRPr="003B1B51">
        <w:t xml:space="preserve">Regeringen anser att förslagen bidrar till att stärka den finansiella stabiliteten. Regeringen stödjer att det rådande regelverket med två direktiv i stora delar blir en förordning eftersom det bidrar till att skapa ett mer enhetligt regelverk inom EU </w:t>
      </w:r>
      <w:r>
        <w:t>samt</w:t>
      </w:r>
      <w:r w:rsidRPr="003B1B51">
        <w:t xml:space="preserve"> att den inre marknaden </w:t>
      </w:r>
      <w:r>
        <w:t xml:space="preserve">stärks </w:t>
      </w:r>
      <w:r w:rsidRPr="003B1B51">
        <w:t>på det finansiella området.</w:t>
      </w:r>
      <w:r w:rsidRPr="002312E4">
        <w:t xml:space="preserve"> </w:t>
      </w:r>
    </w:p>
    <w:p w:rsidR="00857B70" w:rsidRDefault="00857B70" w:rsidP="00EF6D83">
      <w:pPr>
        <w:pStyle w:val="RKnormal"/>
        <w:spacing w:line="240" w:lineRule="auto"/>
      </w:pPr>
    </w:p>
    <w:p w:rsidR="00857B70" w:rsidRDefault="00857B70" w:rsidP="00EF6D83">
      <w:pPr>
        <w:pStyle w:val="RKnormal"/>
        <w:spacing w:line="240" w:lineRule="auto"/>
      </w:pPr>
      <w:r>
        <w:t xml:space="preserve">I de kompromissförslag som har presenterats hittills av ordförandeskapet har de för Sverige viktiga punkterna från rådets allmänna inriktning varit kvar. Regeringen är därför hoppfull om ett för Sverige positivt slutresultat. </w:t>
      </w:r>
    </w:p>
    <w:p w:rsidR="00857B70" w:rsidRDefault="00857B70" w:rsidP="00EF6D83">
      <w:pPr>
        <w:pStyle w:val="RKnormal"/>
        <w:spacing w:line="240" w:lineRule="auto"/>
      </w:pPr>
    </w:p>
    <w:p w:rsidR="00857B70" w:rsidRPr="00A96572" w:rsidRDefault="00857B70" w:rsidP="00EF6D83">
      <w:pPr>
        <w:pStyle w:val="RKnormal"/>
        <w:spacing w:line="240" w:lineRule="auto"/>
        <w:rPr>
          <w:color w:val="000000"/>
        </w:rPr>
      </w:pPr>
      <w:r w:rsidRPr="00A96572">
        <w:rPr>
          <w:color w:val="000000"/>
        </w:rPr>
        <w:t xml:space="preserve">Regeringen hoppas på en slutlig uppgörelse inom kort för att på så sätt så fort som möjligt kunna få </w:t>
      </w:r>
      <w:r>
        <w:rPr>
          <w:color w:val="000000"/>
        </w:rPr>
        <w:t xml:space="preserve">på </w:t>
      </w:r>
      <w:r w:rsidRPr="00A96572">
        <w:rPr>
          <w:color w:val="000000"/>
        </w:rPr>
        <w:t xml:space="preserve">plats Basel 3-uppgörelsen och de högre kapitalkraven på storbankerna som </w:t>
      </w:r>
      <w:r>
        <w:rPr>
          <w:color w:val="000000"/>
        </w:rPr>
        <w:t>följer av den s.k. novemberöverenskommelsen 2011.</w:t>
      </w:r>
      <w:r w:rsidRPr="00A96572">
        <w:rPr>
          <w:color w:val="000000"/>
        </w:rPr>
        <w:t>.</w:t>
      </w:r>
    </w:p>
    <w:p w:rsidR="00857B70" w:rsidRDefault="00857B70" w:rsidP="00EF6D83">
      <w:pPr>
        <w:pStyle w:val="RKnormal"/>
        <w:spacing w:line="240" w:lineRule="auto"/>
        <w:rPr>
          <w:i/>
          <w:color w:val="000000"/>
        </w:rPr>
      </w:pPr>
    </w:p>
    <w:p w:rsidR="00857B70" w:rsidRPr="00A96572" w:rsidRDefault="00857B70" w:rsidP="00EF6D83">
      <w:pPr>
        <w:pStyle w:val="RKnormal"/>
        <w:spacing w:line="240" w:lineRule="auto"/>
        <w:rPr>
          <w:color w:val="000000"/>
        </w:rPr>
      </w:pPr>
      <w:r w:rsidRPr="000F7AC5">
        <w:rPr>
          <w:color w:val="000000"/>
        </w:rPr>
        <w:t xml:space="preserve">Ekofinrådet </w:t>
      </w:r>
      <w:r>
        <w:rPr>
          <w:color w:val="000000"/>
        </w:rPr>
        <w:t xml:space="preserve">och Europaparlamentet  </w:t>
      </w:r>
      <w:r w:rsidRPr="000F7AC5">
        <w:rPr>
          <w:color w:val="000000"/>
        </w:rPr>
        <w:t xml:space="preserve">antog </w:t>
      </w:r>
      <w:r>
        <w:rPr>
          <w:color w:val="000000"/>
        </w:rPr>
        <w:t xml:space="preserve">i </w:t>
      </w:r>
      <w:r w:rsidRPr="000F7AC5">
        <w:rPr>
          <w:color w:val="000000"/>
        </w:rPr>
        <w:t xml:space="preserve">maj 2012 </w:t>
      </w:r>
      <w:r>
        <w:rPr>
          <w:color w:val="000000"/>
        </w:rPr>
        <w:t xml:space="preserve">var </w:t>
      </w:r>
      <w:r w:rsidRPr="000F7AC5">
        <w:rPr>
          <w:color w:val="000000"/>
        </w:rPr>
        <w:t>sin version av CRD</w:t>
      </w:r>
      <w:r>
        <w:rPr>
          <w:color w:val="000000"/>
        </w:rPr>
        <w:t>4</w:t>
      </w:r>
      <w:r w:rsidRPr="000F7AC5">
        <w:rPr>
          <w:color w:val="000000"/>
        </w:rPr>
        <w:t>/CRR. Trilogförhandlingar med Europaparlamentet påbörjades därefter</w:t>
      </w:r>
      <w:r>
        <w:rPr>
          <w:color w:val="000000"/>
        </w:rPr>
        <w:t xml:space="preserve">. ORDF hoppas kunna </w:t>
      </w:r>
      <w:r w:rsidRPr="00A96572">
        <w:rPr>
          <w:color w:val="000000"/>
        </w:rPr>
        <w:t xml:space="preserve">lösa ut de sista kvarstående frågorna </w:t>
      </w:r>
      <w:r>
        <w:rPr>
          <w:color w:val="000000"/>
        </w:rPr>
        <w:t xml:space="preserve">i förhandlingarna med Europaparlamentet innan Ekofin 5 mars. </w:t>
      </w:r>
    </w:p>
    <w:p w:rsidR="00857B70" w:rsidRDefault="00857B70" w:rsidP="00EF6D83">
      <w:pPr>
        <w:pStyle w:val="RKnormal"/>
        <w:spacing w:line="240" w:lineRule="auto"/>
        <w:rPr>
          <w:color w:val="000000"/>
        </w:rPr>
      </w:pPr>
    </w:p>
    <w:p w:rsidR="00857B70" w:rsidRDefault="00857B70" w:rsidP="00EF6D83">
      <w:pPr>
        <w:pStyle w:val="RKnormal"/>
        <w:spacing w:line="240" w:lineRule="auto"/>
        <w:rPr>
          <w:color w:val="000000"/>
        </w:rPr>
      </w:pPr>
      <w:r>
        <w:rPr>
          <w:color w:val="000000"/>
        </w:rPr>
        <w:t>Svåra knäckfrågor under trilogerna har bl.a. varit flexibilitet (inkl extra kapitalpåslag för systemrisker), likviditet (inte minst i ljuset av Baselkommitténs slutgiltiga revideringar av likviditetsmåttet LCR den 7 januari</w:t>
      </w:r>
      <w:bookmarkStart w:id="2" w:name="_GoBack"/>
      <w:bookmarkEnd w:id="2"/>
      <w:r>
        <w:rPr>
          <w:color w:val="000000"/>
        </w:rPr>
        <w:t xml:space="preserve"> 2013) och frågan om ett bonustak.</w:t>
      </w:r>
    </w:p>
    <w:p w:rsidR="00857B70" w:rsidRDefault="00857B70" w:rsidP="009972E5">
      <w:pPr>
        <w:pStyle w:val="Heading2"/>
        <w:numPr>
          <w:ilvl w:val="0"/>
          <w:numId w:val="7"/>
        </w:numPr>
        <w:ind w:left="1134" w:hanging="774"/>
        <w:rPr>
          <w:lang w:eastAsia="sv-SE"/>
        </w:rPr>
      </w:pPr>
      <w:r>
        <w:rPr>
          <w:lang w:eastAsia="sv-SE"/>
        </w:rPr>
        <w:t>(ev.) Reviderade regler för marknader för finansiella instrument (MiFID/MiFIR)</w:t>
      </w:r>
    </w:p>
    <w:p w:rsidR="00857B70" w:rsidRDefault="00857B70" w:rsidP="009972E5">
      <w:pPr>
        <w:pStyle w:val="Heading4"/>
        <w:rPr>
          <w:lang w:eastAsia="sv-SE"/>
        </w:rPr>
      </w:pPr>
      <w:r>
        <w:rPr>
          <w:lang w:eastAsia="sv-SE"/>
        </w:rPr>
        <w:tab/>
        <w:t>- Allmän inriktning</w:t>
      </w:r>
    </w:p>
    <w:p w:rsidR="00857B70" w:rsidRPr="00425952" w:rsidRDefault="00857B70" w:rsidP="00EF6D83">
      <w:pPr>
        <w:pStyle w:val="RKnormal"/>
        <w:spacing w:line="240" w:lineRule="auto"/>
        <w:rPr>
          <w:i/>
        </w:rPr>
      </w:pPr>
      <w:r>
        <w:t>Ekofinrådet ska nå en allmän inriktning om ett kompromissförslag från det irländska ordförandeskapet rörande reviderade regler för marknader för finansiella instrument.</w:t>
      </w:r>
      <w:r>
        <w:rPr>
          <w:i/>
        </w:rPr>
        <w:t xml:space="preserve"> </w:t>
      </w:r>
    </w:p>
    <w:p w:rsidR="00857B70" w:rsidRDefault="00857B70" w:rsidP="00EF6D83">
      <w:pPr>
        <w:spacing w:line="240" w:lineRule="auto"/>
      </w:pPr>
    </w:p>
    <w:p w:rsidR="00857B70" w:rsidRDefault="00857B70" w:rsidP="00EF6D83">
      <w:pPr>
        <w:spacing w:line="240" w:lineRule="auto"/>
      </w:pPr>
      <w:r>
        <w:t xml:space="preserve">Samråd har skett med Finansutskottet 13 december 2011 (överläggning) samt 27 mars 2012, </w:t>
      </w:r>
      <w:r w:rsidRPr="00123D08">
        <w:t xml:space="preserve">12 </w:t>
      </w:r>
      <w:r>
        <w:t>juni 2012</w:t>
      </w:r>
      <w:r w:rsidRPr="00123D08">
        <w:t xml:space="preserve">och </w:t>
      </w:r>
      <w:r>
        <w:t>14 februari 2013 (information). Samråd med EU-nämnden har inte skett tidigare.</w:t>
      </w:r>
    </w:p>
    <w:p w:rsidR="00857B70" w:rsidRDefault="00857B70" w:rsidP="00EF6D83">
      <w:pPr>
        <w:spacing w:line="240" w:lineRule="auto"/>
        <w:rPr>
          <w:szCs w:val="24"/>
        </w:rPr>
      </w:pPr>
    </w:p>
    <w:p w:rsidR="00857B70" w:rsidRPr="0050771B" w:rsidRDefault="00857B70" w:rsidP="00EF6D83">
      <w:pPr>
        <w:spacing w:line="240" w:lineRule="auto"/>
        <w:rPr>
          <w:szCs w:val="24"/>
        </w:rPr>
      </w:pPr>
      <w:r>
        <w:rPr>
          <w:szCs w:val="24"/>
        </w:rPr>
        <w:t>EU-k</w:t>
      </w:r>
      <w:r w:rsidRPr="0050771B">
        <w:rPr>
          <w:szCs w:val="24"/>
        </w:rPr>
        <w:t xml:space="preserve">ommissionen </w:t>
      </w:r>
      <w:r>
        <w:rPr>
          <w:szCs w:val="24"/>
        </w:rPr>
        <w:t>l</w:t>
      </w:r>
      <w:r w:rsidRPr="0050771B">
        <w:rPr>
          <w:szCs w:val="24"/>
        </w:rPr>
        <w:t xml:space="preserve">ade </w:t>
      </w:r>
      <w:r>
        <w:rPr>
          <w:szCs w:val="24"/>
        </w:rPr>
        <w:t>hösten</w:t>
      </w:r>
      <w:r w:rsidRPr="0050771B">
        <w:rPr>
          <w:szCs w:val="24"/>
        </w:rPr>
        <w:t xml:space="preserve"> 2011 </w:t>
      </w:r>
      <w:r>
        <w:rPr>
          <w:szCs w:val="24"/>
        </w:rPr>
        <w:t>fram förslag till</w:t>
      </w:r>
      <w:r w:rsidRPr="0050771B">
        <w:rPr>
          <w:szCs w:val="24"/>
        </w:rPr>
        <w:t xml:space="preserve"> </w:t>
      </w:r>
      <w:r>
        <w:rPr>
          <w:szCs w:val="24"/>
        </w:rPr>
        <w:t xml:space="preserve">en </w:t>
      </w:r>
      <w:r w:rsidRPr="0050771B">
        <w:rPr>
          <w:szCs w:val="24"/>
        </w:rPr>
        <w:t xml:space="preserve">förordning och </w:t>
      </w:r>
      <w:r>
        <w:rPr>
          <w:szCs w:val="24"/>
        </w:rPr>
        <w:t xml:space="preserve">ett </w:t>
      </w:r>
      <w:r w:rsidRPr="0050771B">
        <w:rPr>
          <w:szCs w:val="24"/>
        </w:rPr>
        <w:t xml:space="preserve">nytt direktiv </w:t>
      </w:r>
      <w:r>
        <w:rPr>
          <w:szCs w:val="24"/>
        </w:rPr>
        <w:t>om marknader för finansiella instrument</w:t>
      </w:r>
      <w:r w:rsidRPr="0050771B">
        <w:rPr>
          <w:szCs w:val="24"/>
        </w:rPr>
        <w:t xml:space="preserve"> (MiFIR/</w:t>
      </w:r>
      <w:r>
        <w:rPr>
          <w:szCs w:val="24"/>
        </w:rPr>
        <w:t xml:space="preserve"> </w:t>
      </w:r>
      <w:r w:rsidRPr="0050771B">
        <w:rPr>
          <w:szCs w:val="24"/>
        </w:rPr>
        <w:t>MiFID</w:t>
      </w:r>
      <w:r>
        <w:rPr>
          <w:szCs w:val="24"/>
        </w:rPr>
        <w:t> </w:t>
      </w:r>
      <w:r w:rsidRPr="0050771B">
        <w:rPr>
          <w:szCs w:val="24"/>
        </w:rPr>
        <w:t>II).</w:t>
      </w:r>
      <w:r>
        <w:rPr>
          <w:szCs w:val="24"/>
        </w:rPr>
        <w:t xml:space="preserve"> Förslagen innebär </w:t>
      </w:r>
      <w:r w:rsidRPr="0050771B">
        <w:rPr>
          <w:szCs w:val="24"/>
        </w:rPr>
        <w:t>ändringar i de regler s</w:t>
      </w:r>
      <w:r>
        <w:rPr>
          <w:szCs w:val="24"/>
        </w:rPr>
        <w:t xml:space="preserve">om gäller enligt direktivet om marknader för finansiella instrument </w:t>
      </w:r>
      <w:r w:rsidRPr="0050771B">
        <w:rPr>
          <w:szCs w:val="24"/>
        </w:rPr>
        <w:t>(MiFID</w:t>
      </w:r>
      <w:r>
        <w:rPr>
          <w:szCs w:val="24"/>
        </w:rPr>
        <w:t> </w:t>
      </w:r>
      <w:r w:rsidRPr="0050771B">
        <w:rPr>
          <w:szCs w:val="24"/>
        </w:rPr>
        <w:t>I</w:t>
      </w:r>
      <w:r>
        <w:rPr>
          <w:szCs w:val="24"/>
        </w:rPr>
        <w:t xml:space="preserve">), som </w:t>
      </w:r>
      <w:r w:rsidRPr="0050771B">
        <w:rPr>
          <w:szCs w:val="24"/>
        </w:rPr>
        <w:t xml:space="preserve">i svensk rätt </w:t>
      </w:r>
      <w:r>
        <w:rPr>
          <w:szCs w:val="24"/>
        </w:rPr>
        <w:t xml:space="preserve">har </w:t>
      </w:r>
      <w:r w:rsidRPr="0050771B">
        <w:rPr>
          <w:szCs w:val="24"/>
        </w:rPr>
        <w:t>genomförts huvudsakligen genom lagen om värdepap</w:t>
      </w:r>
      <w:r>
        <w:rPr>
          <w:szCs w:val="24"/>
        </w:rPr>
        <w:softHyphen/>
      </w:r>
      <w:r w:rsidRPr="0050771B">
        <w:rPr>
          <w:szCs w:val="24"/>
        </w:rPr>
        <w:t>persmarknaden.</w:t>
      </w:r>
      <w:r>
        <w:rPr>
          <w:szCs w:val="24"/>
        </w:rPr>
        <w:t xml:space="preserve"> Förslagen ingår som en del</w:t>
      </w:r>
      <w:r w:rsidRPr="0050771B">
        <w:rPr>
          <w:szCs w:val="24"/>
        </w:rPr>
        <w:t xml:space="preserve"> </w:t>
      </w:r>
      <w:r>
        <w:rPr>
          <w:szCs w:val="24"/>
        </w:rPr>
        <w:t xml:space="preserve">i </w:t>
      </w:r>
      <w:r w:rsidRPr="0050771B">
        <w:rPr>
          <w:szCs w:val="24"/>
        </w:rPr>
        <w:t>reformer</w:t>
      </w:r>
      <w:r>
        <w:rPr>
          <w:szCs w:val="24"/>
        </w:rPr>
        <w:t>ingen av</w:t>
      </w:r>
      <w:r w:rsidRPr="0050771B">
        <w:rPr>
          <w:szCs w:val="24"/>
        </w:rPr>
        <w:t xml:space="preserve"> det EU-rättsliga regelverket </w:t>
      </w:r>
      <w:r>
        <w:rPr>
          <w:szCs w:val="24"/>
        </w:rPr>
        <w:t xml:space="preserve">på finansmarknadsområdet och tar </w:t>
      </w:r>
      <w:r w:rsidRPr="0050771B">
        <w:rPr>
          <w:szCs w:val="24"/>
        </w:rPr>
        <w:t>sikte på att upp</w:t>
      </w:r>
      <w:r>
        <w:rPr>
          <w:szCs w:val="24"/>
        </w:rPr>
        <w:softHyphen/>
      </w:r>
      <w:r w:rsidRPr="0050771B">
        <w:rPr>
          <w:szCs w:val="24"/>
        </w:rPr>
        <w:t>nå ett säkrare, sundare, mer genomlyst och ans</w:t>
      </w:r>
      <w:r>
        <w:rPr>
          <w:szCs w:val="24"/>
        </w:rPr>
        <w:t>varstagande finansiellt system samt att u</w:t>
      </w:r>
      <w:r w:rsidRPr="0050771B">
        <w:rPr>
          <w:szCs w:val="24"/>
        </w:rPr>
        <w:t xml:space="preserve">ppfylla åtaganden i G20 att ta itu med finanssystemets mindre reglerade delar och förbättra </w:t>
      </w:r>
      <w:r>
        <w:rPr>
          <w:szCs w:val="24"/>
        </w:rPr>
        <w:t xml:space="preserve">genomlysning </w:t>
      </w:r>
      <w:r w:rsidRPr="0050771B">
        <w:rPr>
          <w:szCs w:val="24"/>
        </w:rPr>
        <w:t xml:space="preserve">och tillsyn, inte minst för </w:t>
      </w:r>
      <w:r>
        <w:rPr>
          <w:szCs w:val="24"/>
        </w:rPr>
        <w:t xml:space="preserve">finansiella </w:t>
      </w:r>
      <w:r w:rsidRPr="0050771B">
        <w:rPr>
          <w:szCs w:val="24"/>
        </w:rPr>
        <w:t xml:space="preserve">instrument som främst handlas </w:t>
      </w:r>
      <w:r>
        <w:rPr>
          <w:szCs w:val="24"/>
        </w:rPr>
        <w:t>vid sidan av handels</w:t>
      </w:r>
      <w:r>
        <w:rPr>
          <w:szCs w:val="24"/>
        </w:rPr>
        <w:softHyphen/>
        <w:t>platser (</w:t>
      </w:r>
      <w:r w:rsidRPr="0050771B">
        <w:rPr>
          <w:szCs w:val="24"/>
        </w:rPr>
        <w:t>OTC</w:t>
      </w:r>
      <w:r>
        <w:rPr>
          <w:szCs w:val="24"/>
        </w:rPr>
        <w:t>)</w:t>
      </w:r>
      <w:r w:rsidRPr="0050771B">
        <w:rPr>
          <w:szCs w:val="24"/>
        </w:rPr>
        <w:t>.</w:t>
      </w:r>
      <w:r>
        <w:rPr>
          <w:szCs w:val="24"/>
        </w:rPr>
        <w:t xml:space="preserve"> Förslagen </w:t>
      </w:r>
      <w:r w:rsidRPr="0050771B">
        <w:rPr>
          <w:szCs w:val="24"/>
        </w:rPr>
        <w:t>tar främst sikte på verksamhet som drivs av värdepappersföretag och börser.</w:t>
      </w:r>
      <w:r>
        <w:rPr>
          <w:szCs w:val="24"/>
        </w:rPr>
        <w:t xml:space="preserve"> Förslagen beskrivs utförligare i faktapromemoria 2011/12:FPM34.</w:t>
      </w:r>
    </w:p>
    <w:p w:rsidR="00857B70" w:rsidRDefault="00857B70" w:rsidP="00EF6D83">
      <w:pPr>
        <w:spacing w:line="240" w:lineRule="auto"/>
      </w:pPr>
    </w:p>
    <w:p w:rsidR="00857B70" w:rsidRPr="0050771B" w:rsidRDefault="00857B70" w:rsidP="00EF6D83">
      <w:pPr>
        <w:spacing w:line="240" w:lineRule="auto"/>
      </w:pPr>
      <w:r w:rsidRPr="0050771B">
        <w:t>Förhandlingarna i rådet pågår i skrivande stund. Förhandlingsläget är för närvarande svårbedömt</w:t>
      </w:r>
      <w:r>
        <w:t xml:space="preserve"> eftersom många viktiga frågor fortfarande inte är lösta</w:t>
      </w:r>
      <w:r w:rsidRPr="0050771B">
        <w:t xml:space="preserve">. Om det i de återstående diskussionerna i rådet inte görs några avgörande ändringar i </w:t>
      </w:r>
      <w:r>
        <w:t>de kompromiss</w:t>
      </w:r>
      <w:r w:rsidRPr="008261F1">
        <w:t>förslag</w:t>
      </w:r>
      <w:r>
        <w:t xml:space="preserve"> som nu föreligger</w:t>
      </w:r>
      <w:r w:rsidRPr="008261F1">
        <w:t xml:space="preserve"> bör regeringen kunna</w:t>
      </w:r>
      <w:r>
        <w:t xml:space="preserve"> ge sitt stöd till att anta förslagen som allmän inriktning</w:t>
      </w:r>
      <w:r w:rsidRPr="008261F1">
        <w:t>.</w:t>
      </w:r>
    </w:p>
    <w:p w:rsidR="00857B70" w:rsidRDefault="00857B70" w:rsidP="00603DD1">
      <w:pPr>
        <w:pStyle w:val="Heading2"/>
        <w:numPr>
          <w:ilvl w:val="0"/>
          <w:numId w:val="7"/>
        </w:numPr>
      </w:pPr>
      <w:r>
        <w:t>(ev.) Förslag om gemensam tillsynsmekanism (SSM)</w:t>
      </w:r>
    </w:p>
    <w:p w:rsidR="00857B70" w:rsidRDefault="00857B70" w:rsidP="009972E5">
      <w:pPr>
        <w:pStyle w:val="RKnormal"/>
        <w:numPr>
          <w:ilvl w:val="3"/>
          <w:numId w:val="7"/>
        </w:numPr>
        <w:tabs>
          <w:tab w:val="clear" w:pos="2835"/>
          <w:tab w:val="left" w:pos="1276"/>
        </w:tabs>
        <w:ind w:left="1134" w:firstLine="0"/>
        <w:rPr>
          <w:b/>
          <w:i/>
          <w:kern w:val="28"/>
          <w:sz w:val="22"/>
          <w:lang w:eastAsia="sv-SE"/>
        </w:rPr>
      </w:pPr>
      <w:r w:rsidRPr="009972E5">
        <w:rPr>
          <w:b/>
          <w:i/>
          <w:kern w:val="28"/>
          <w:sz w:val="22"/>
          <w:lang w:eastAsia="sv-SE"/>
        </w:rPr>
        <w:t>Politisk överenskommelse</w:t>
      </w:r>
    </w:p>
    <w:p w:rsidR="00857B70" w:rsidRPr="002448BC" w:rsidRDefault="00857B70" w:rsidP="00EF6D83">
      <w:pPr>
        <w:pStyle w:val="RKnormal"/>
        <w:spacing w:line="240" w:lineRule="auto"/>
      </w:pPr>
      <w:r>
        <w:t xml:space="preserve">Rådet ska nå en politisk överenskommelse om förslaget till gemensam tillsynsstruktur för banker. </w:t>
      </w:r>
    </w:p>
    <w:p w:rsidR="00857B70" w:rsidRDefault="00857B70" w:rsidP="00EF6D83">
      <w:pPr>
        <w:spacing w:line="240" w:lineRule="auto"/>
      </w:pPr>
    </w:p>
    <w:p w:rsidR="00857B70" w:rsidRDefault="00857B70" w:rsidP="00EF6D83">
      <w:pPr>
        <w:spacing w:line="240" w:lineRule="auto"/>
        <w:rPr>
          <w:i/>
        </w:rPr>
      </w:pPr>
      <w:r>
        <w:t>Information och samråd med EU-nämnden har skett inför Europeiska rådets möten i juni och oktober 2012 samt inför Ekofin i oktober, november och december 2012. Överläggningar med Finansutskottet hölls den 16 oktober 2012.</w:t>
      </w:r>
    </w:p>
    <w:p w:rsidR="00857B70" w:rsidRDefault="00857B70" w:rsidP="00EF6D83">
      <w:pPr>
        <w:pStyle w:val="RKnormal"/>
        <w:spacing w:line="240" w:lineRule="auto"/>
      </w:pPr>
    </w:p>
    <w:p w:rsidR="00857B70" w:rsidRDefault="00857B70" w:rsidP="00EF6D83">
      <w:pPr>
        <w:pStyle w:val="RKnormal"/>
        <w:spacing w:line="240" w:lineRule="auto"/>
      </w:pPr>
      <w:r>
        <w:t>Kommissionen lämnade den 12 september förslag om en samlad tillsynsmekanism för banker i eurozonen (se vidare Fakta-PM 2012/13:FPM10). Därefter nådde Ekofin i december en kompromiss om utformningen av de föreslagna reglerna. Rådets kompromiss innebär i korthet följande.</w:t>
      </w:r>
    </w:p>
    <w:p w:rsidR="00857B70" w:rsidRDefault="00857B70" w:rsidP="00EF6D83">
      <w:pPr>
        <w:pStyle w:val="RKnormal"/>
        <w:spacing w:line="240" w:lineRule="auto"/>
      </w:pPr>
    </w:p>
    <w:p w:rsidR="00857B70" w:rsidRDefault="00857B70" w:rsidP="00EF6D83">
      <w:pPr>
        <w:pStyle w:val="RKnormal"/>
        <w:spacing w:line="240" w:lineRule="auto"/>
      </w:pPr>
      <w:r>
        <w:t xml:space="preserve">ECB blir efter en övergångstid ansvarig tillsynsmyndighet för systemviktiga kreditinstitut i eurozonen. Inom de områden där ECB tar över tillsynsansvaret, blir ECB ansvarig myndighet för de flesta tillsynsuppgifterna. Nationella tillsynsmyndigheter behåller dock det primära ansvaret för att använda vissa tillsynsverktyg, främst avseende kapitalkrav. Icke euroländer har möjlighet att på frivillig basis delta i bankunionen och därmed få ECB som tillsynsmyndighet. </w:t>
      </w:r>
    </w:p>
    <w:p w:rsidR="00857B70" w:rsidRDefault="00857B70" w:rsidP="00EF6D83">
      <w:pPr>
        <w:pStyle w:val="RKnormal"/>
        <w:spacing w:line="240" w:lineRule="auto"/>
      </w:pPr>
    </w:p>
    <w:p w:rsidR="00857B70" w:rsidRDefault="00857B70" w:rsidP="00EF6D83">
      <w:pPr>
        <w:pStyle w:val="RKnormal"/>
        <w:spacing w:line="240" w:lineRule="auto"/>
      </w:pPr>
      <w:r>
        <w:t>ECB förs också in i arbetet i Europeiska bankmyndigheten (Europeiska bankmyndigheten, EBA) som är samordningsorgan för banktillsynsmyndigheter i alla medlemsstater. Det föreslås nya röstningsregler för vissa typer av EBA-beslut. Reglerna innebär ett krav på ”dubbel enkel” majoritet, där det måste finnas majoritet för ett beslut dels inom kretsen av medlemsstater som deltar i tillsynsmekanismen, dels bland de medlemsstater som inte deltar i tillsynsmekanismen.</w:t>
      </w:r>
    </w:p>
    <w:p w:rsidR="00857B70" w:rsidRDefault="00857B70" w:rsidP="00EF6D83">
      <w:pPr>
        <w:pStyle w:val="RKnormal"/>
        <w:spacing w:line="240" w:lineRule="auto"/>
      </w:pPr>
    </w:p>
    <w:p w:rsidR="00857B70" w:rsidRDefault="00857B70" w:rsidP="00EF6D83">
      <w:pPr>
        <w:pStyle w:val="RKnormal"/>
        <w:spacing w:line="240" w:lineRule="auto"/>
      </w:pPr>
      <w:r>
        <w:t>Det införs mekanismer för demokratiskt ansvarsutkrävande som innebär att ECB ska rapportera på olika sätt till Europaparlamentet, rådet, kommissionen och eurogruppen. I ett skäl görs en hänvisning till möjligheten att ändra fördraget för att kunna införa regler som ger länder som deltar i tillsynsmekanismen, men inte har infört euron som valuta, likvärdiga möjligheter till inflytande inom tillsynsmekanismen som euroländerna har.</w:t>
      </w:r>
    </w:p>
    <w:p w:rsidR="00857B70" w:rsidRDefault="00857B70" w:rsidP="00EF6D83">
      <w:pPr>
        <w:pStyle w:val="RKnormal"/>
        <w:spacing w:line="240" w:lineRule="auto"/>
      </w:pPr>
    </w:p>
    <w:p w:rsidR="00857B70" w:rsidRDefault="00857B70" w:rsidP="00EF6D83">
      <w:pPr>
        <w:pStyle w:val="RKnormal"/>
        <w:spacing w:line="240" w:lineRule="auto"/>
      </w:pPr>
      <w:r>
        <w:t>Efter rådets kompromiss i december har trilogförhandlingar med Europaparlamentet påbörjats. Dessa förhandlingar pågår fortfarande.</w:t>
      </w:r>
    </w:p>
    <w:p w:rsidR="00857B70" w:rsidRDefault="00857B70" w:rsidP="00EF6D83">
      <w:pPr>
        <w:overflowPunct/>
        <w:autoSpaceDE/>
        <w:adjustRightInd/>
        <w:spacing w:line="240" w:lineRule="auto"/>
      </w:pPr>
    </w:p>
    <w:p w:rsidR="00857B70" w:rsidRPr="001B424E" w:rsidRDefault="00857B70" w:rsidP="00EF6D83">
      <w:pPr>
        <w:overflowPunct/>
        <w:autoSpaceDE/>
        <w:adjustRightInd/>
        <w:spacing w:line="240" w:lineRule="auto"/>
      </w:pPr>
      <w:r>
        <w:t>Regeringen återkommer med förslag till ståndpunkt.</w:t>
      </w:r>
    </w:p>
    <w:p w:rsidR="00857B70" w:rsidRPr="00451C5D" w:rsidRDefault="00857B70" w:rsidP="00603DD1">
      <w:pPr>
        <w:pStyle w:val="Heading2"/>
        <w:numPr>
          <w:ilvl w:val="0"/>
          <w:numId w:val="7"/>
        </w:numPr>
        <w:ind w:left="1134" w:hanging="708"/>
      </w:pPr>
      <w:r>
        <w:t>Återhämtning och avveckling av banker (krishanteringsdirektivet)</w:t>
      </w:r>
    </w:p>
    <w:p w:rsidR="00857B70" w:rsidRDefault="00857B70" w:rsidP="00603DD1">
      <w:pPr>
        <w:pStyle w:val="Heading4"/>
        <w:ind w:firstLine="1134"/>
      </w:pPr>
      <w:r>
        <w:t>- Information från ordförandeskapet</w:t>
      </w:r>
    </w:p>
    <w:p w:rsidR="00857B70" w:rsidRPr="00873303" w:rsidRDefault="00857B70" w:rsidP="00EF6D83">
      <w:pPr>
        <w:pStyle w:val="RKnormal"/>
        <w:spacing w:line="240" w:lineRule="auto"/>
      </w:pPr>
      <w:r w:rsidRPr="00873303">
        <w:t xml:space="preserve">Ordförandeskapet </w:t>
      </w:r>
      <w:r>
        <w:t>ska informera om läget i förhandlingarna kring krishanteringsdirektivet</w:t>
      </w:r>
      <w:r w:rsidRPr="00873303">
        <w:t xml:space="preserve">. </w:t>
      </w:r>
    </w:p>
    <w:p w:rsidR="00857B70" w:rsidRDefault="00857B70" w:rsidP="00EF6D83">
      <w:pPr>
        <w:spacing w:line="240" w:lineRule="auto"/>
      </w:pPr>
    </w:p>
    <w:p w:rsidR="00857B70" w:rsidRDefault="00857B70" w:rsidP="00EF6D83">
      <w:pPr>
        <w:spacing w:line="240" w:lineRule="auto"/>
      </w:pPr>
      <w:r>
        <w:t>Överläggning har skett med Finansutskottet vid ett tillfälle den 28 augusti 2012. Finansutskottet har dessutom informerats vid tre tillfällen, senast den 14 februari 2013.</w:t>
      </w:r>
    </w:p>
    <w:p w:rsidR="00857B70" w:rsidRDefault="00857B70" w:rsidP="00EF6D83">
      <w:pPr>
        <w:pStyle w:val="RKnormal"/>
        <w:spacing w:line="240" w:lineRule="auto"/>
        <w:rPr>
          <w:color w:val="000000"/>
        </w:rPr>
      </w:pPr>
    </w:p>
    <w:p w:rsidR="00857B70" w:rsidRDefault="00857B70" w:rsidP="00EF6D83">
      <w:pPr>
        <w:pStyle w:val="RKnormal"/>
        <w:spacing w:line="240" w:lineRule="auto"/>
        <w:rPr>
          <w:color w:val="000000"/>
        </w:rPr>
      </w:pPr>
      <w:r w:rsidRPr="00BD5B87">
        <w:rPr>
          <w:color w:val="000000"/>
        </w:rPr>
        <w:t xml:space="preserve">Kommissionen presenterade den 6 juni </w:t>
      </w:r>
      <w:r>
        <w:rPr>
          <w:color w:val="000000"/>
        </w:rPr>
        <w:t xml:space="preserve">2012 </w:t>
      </w:r>
      <w:r w:rsidRPr="00BD5B87">
        <w:rPr>
          <w:color w:val="000000"/>
        </w:rPr>
        <w:t>ett direktivförslag till EU-ramverk för hantering av banker, kreditmarknadsföretag och värdepappersföretag i kris. Direktivet syftar till att säkerställa att myndigheter har trovärdiga verktyg för att avv</w:t>
      </w:r>
      <w:r>
        <w:rPr>
          <w:color w:val="000000"/>
        </w:rPr>
        <w:t xml:space="preserve">eckla institut på ett sätt som </w:t>
      </w:r>
      <w:r w:rsidRPr="00BD5B87">
        <w:rPr>
          <w:color w:val="000000"/>
        </w:rPr>
        <w:t>minimerar spridningsrisker och samtidigt bibehåller tillgången på grundläggande finansiella tjänster.</w:t>
      </w:r>
      <w:r w:rsidRPr="00BD5B87">
        <w:t xml:space="preserve"> </w:t>
      </w:r>
      <w:r>
        <w:t xml:space="preserve">För vidare information se </w:t>
      </w:r>
      <w:r>
        <w:rPr>
          <w:color w:val="000000"/>
        </w:rPr>
        <w:t>faktapromemoria</w:t>
      </w:r>
      <w:r w:rsidRPr="00BD5B87">
        <w:rPr>
          <w:color w:val="000000"/>
        </w:rPr>
        <w:t xml:space="preserve"> 2011/12:FPM165</w:t>
      </w:r>
      <w:r>
        <w:rPr>
          <w:color w:val="000000"/>
        </w:rPr>
        <w:t>.</w:t>
      </w:r>
    </w:p>
    <w:p w:rsidR="00857B70" w:rsidRDefault="00857B70" w:rsidP="00EF6D83">
      <w:pPr>
        <w:pStyle w:val="RKnormal"/>
        <w:spacing w:line="240" w:lineRule="auto"/>
        <w:rPr>
          <w:color w:val="000000"/>
        </w:rPr>
      </w:pPr>
    </w:p>
    <w:p w:rsidR="00857B70" w:rsidRPr="00BD5B87" w:rsidRDefault="00857B70" w:rsidP="00EF6D83">
      <w:pPr>
        <w:pStyle w:val="RKnormal"/>
        <w:spacing w:line="240" w:lineRule="auto"/>
        <w:rPr>
          <w:color w:val="000000"/>
        </w:rPr>
      </w:pPr>
      <w:r>
        <w:rPr>
          <w:color w:val="000000"/>
        </w:rPr>
        <w:t>Regeringen</w:t>
      </w:r>
      <w:r w:rsidRPr="00BD5B87">
        <w:rPr>
          <w:color w:val="000000"/>
        </w:rPr>
        <w:t xml:space="preserve"> välkomnar </w:t>
      </w:r>
      <w:r>
        <w:rPr>
          <w:color w:val="000000"/>
        </w:rPr>
        <w:t xml:space="preserve">att </w:t>
      </w:r>
      <w:r w:rsidRPr="00BD5B87">
        <w:rPr>
          <w:color w:val="000000"/>
        </w:rPr>
        <w:t xml:space="preserve">en minimiharmonisering av krishantering av banker, kreditmarknadsföretag och värdepappersbolag sker inom EU. </w:t>
      </w:r>
      <w:r>
        <w:rPr>
          <w:color w:val="000000"/>
        </w:rPr>
        <w:t>Regeringen</w:t>
      </w:r>
      <w:r w:rsidRPr="00BD5B87">
        <w:rPr>
          <w:color w:val="000000"/>
        </w:rPr>
        <w:t xml:space="preserve"> är dock tveksam till om det aktuella förslagets innehåll innebär att en systemkris kommer att kunna hanteras</w:t>
      </w:r>
      <w:r>
        <w:rPr>
          <w:color w:val="000000"/>
        </w:rPr>
        <w:t xml:space="preserve"> bättre än med befintliga verktyg</w:t>
      </w:r>
      <w:r w:rsidRPr="00BD5B87">
        <w:rPr>
          <w:color w:val="000000"/>
        </w:rPr>
        <w:t xml:space="preserve">. </w:t>
      </w:r>
    </w:p>
    <w:p w:rsidR="00857B70" w:rsidRPr="00BD5B87" w:rsidRDefault="00857B70" w:rsidP="00EF6D83">
      <w:pPr>
        <w:pStyle w:val="RKnormal"/>
        <w:spacing w:line="240" w:lineRule="auto"/>
        <w:rPr>
          <w:color w:val="000000"/>
        </w:rPr>
      </w:pPr>
    </w:p>
    <w:p w:rsidR="00857B70" w:rsidRDefault="00857B70" w:rsidP="00EF6D83">
      <w:pPr>
        <w:pStyle w:val="RKnormal"/>
        <w:spacing w:line="240" w:lineRule="auto"/>
        <w:rPr>
          <w:color w:val="000000"/>
        </w:rPr>
      </w:pPr>
      <w:r w:rsidRPr="00BD5B87">
        <w:rPr>
          <w:color w:val="000000"/>
        </w:rPr>
        <w:t xml:space="preserve">Ramverket måste vara flexibelt och de avvecklingsverktyg som listas i förslaget måste vara en minimilista som ger utrymme för </w:t>
      </w:r>
      <w:r>
        <w:rPr>
          <w:color w:val="000000"/>
        </w:rPr>
        <w:t>medlemsstaterna</w:t>
      </w:r>
      <w:r w:rsidRPr="00BD5B87">
        <w:rPr>
          <w:color w:val="000000"/>
        </w:rPr>
        <w:t xml:space="preserve"> att vidta ytterligare åtgärder på nationell nivå, utöver de verktyg som listas i ramverket. För att förebygga och/eller avh</w:t>
      </w:r>
      <w:r>
        <w:rPr>
          <w:color w:val="000000"/>
        </w:rPr>
        <w:t>j</w:t>
      </w:r>
      <w:r w:rsidRPr="00BD5B87">
        <w:rPr>
          <w:color w:val="000000"/>
        </w:rPr>
        <w:t xml:space="preserve">älpa finansiella systemkriser kommer ytterligare avvecklingsverktyg att behövas utöver de som presenterades i kommissionens förslag. </w:t>
      </w:r>
      <w:r>
        <w:rPr>
          <w:color w:val="000000"/>
        </w:rPr>
        <w:t>Regeringen</w:t>
      </w:r>
      <w:r w:rsidRPr="00BD5B87">
        <w:rPr>
          <w:color w:val="000000"/>
        </w:rPr>
        <w:t xml:space="preserve"> föreslår att förslagets minimilista med avvecklingsverktyg kompletteras med verktygen </w:t>
      </w:r>
      <w:r w:rsidRPr="00CB7489">
        <w:rPr>
          <w:color w:val="000000"/>
        </w:rPr>
        <w:t>kapitalförstärkning</w:t>
      </w:r>
      <w:r w:rsidRPr="00B8409A">
        <w:rPr>
          <w:color w:val="000000"/>
        </w:rPr>
        <w:t xml:space="preserve"> och </w:t>
      </w:r>
      <w:r w:rsidRPr="00CB7489">
        <w:rPr>
          <w:color w:val="000000"/>
        </w:rPr>
        <w:t>tillfälligt statligt ägande</w:t>
      </w:r>
      <w:r w:rsidRPr="00BD5B87">
        <w:rPr>
          <w:color w:val="000000"/>
        </w:rPr>
        <w:t xml:space="preserve">. Dessa verktyg ska möjliggöra för </w:t>
      </w:r>
      <w:r>
        <w:rPr>
          <w:color w:val="000000"/>
        </w:rPr>
        <w:t>medlemsstaterna</w:t>
      </w:r>
      <w:r w:rsidRPr="00BD5B87">
        <w:rPr>
          <w:color w:val="000000"/>
        </w:rPr>
        <w:t xml:space="preserve"> att återställa förtroendet i det finansiella systemet genom att förstärka kapitalet i ett institut vilket ska medföra att staten övertar ägandet i institutet. Mot bakgrund av detta måste det finnas en praktisk, effektiv och rättssäker möjlighet för staten att hantera aktieägarna på ett sådant sätt att dessa i första hand bär uppkomna förluster och förlorar sitt ägande i institutet. </w:t>
      </w:r>
    </w:p>
    <w:p w:rsidR="00857B70" w:rsidRDefault="00857B70" w:rsidP="00EF6D83">
      <w:pPr>
        <w:pStyle w:val="RKnormal"/>
        <w:spacing w:line="240" w:lineRule="auto"/>
        <w:rPr>
          <w:color w:val="000000"/>
        </w:rPr>
      </w:pPr>
    </w:p>
    <w:p w:rsidR="00857B70" w:rsidRDefault="00857B70" w:rsidP="00EF6D83">
      <w:pPr>
        <w:pStyle w:val="RKnormal"/>
        <w:spacing w:line="240" w:lineRule="auto"/>
        <w:rPr>
          <w:color w:val="000000"/>
        </w:rPr>
      </w:pPr>
      <w:r>
        <w:rPr>
          <w:color w:val="000000"/>
        </w:rPr>
        <w:t>Regeringen anser att m</w:t>
      </w:r>
      <w:r w:rsidRPr="00BD5B87">
        <w:rPr>
          <w:color w:val="000000"/>
        </w:rPr>
        <w:t xml:space="preserve">öjligheten till lagreglerad nedskrivning av skulder, bail-in, ska vara </w:t>
      </w:r>
      <w:r w:rsidRPr="00CB7489">
        <w:rPr>
          <w:color w:val="000000"/>
        </w:rPr>
        <w:t xml:space="preserve">ett av flera </w:t>
      </w:r>
      <w:r w:rsidRPr="00BD5B87">
        <w:rPr>
          <w:color w:val="000000"/>
        </w:rPr>
        <w:t xml:space="preserve">avvecklingsverktyg som medlemsstater </w:t>
      </w:r>
      <w:r w:rsidRPr="00CB7489">
        <w:rPr>
          <w:color w:val="000000"/>
        </w:rPr>
        <w:t>kan</w:t>
      </w:r>
      <w:r w:rsidRPr="00D031B7">
        <w:rPr>
          <w:color w:val="000000"/>
          <w:u w:val="single"/>
        </w:rPr>
        <w:t xml:space="preserve"> </w:t>
      </w:r>
      <w:r w:rsidRPr="00BD5B87">
        <w:rPr>
          <w:color w:val="000000"/>
        </w:rPr>
        <w:t>tillämpa</w:t>
      </w:r>
      <w:r>
        <w:rPr>
          <w:color w:val="000000"/>
        </w:rPr>
        <w:t>. Det ska följaktligen inte finnas något krav på att medlemsstater måste tillämpa bail-in innan eller istället för något annat avvecklingsverktyg (inklusive de föreslagna ytterligare avvecklingsverktygen kapitalförstärkning och tillfälligt statligt ägande)</w:t>
      </w:r>
      <w:r w:rsidRPr="00BD5B87">
        <w:rPr>
          <w:color w:val="000000"/>
        </w:rPr>
        <w:t>.</w:t>
      </w:r>
      <w:r>
        <w:rPr>
          <w:color w:val="000000"/>
        </w:rPr>
        <w:t xml:space="preserve"> </w:t>
      </w:r>
      <w:r w:rsidRPr="00BD5B87">
        <w:rPr>
          <w:color w:val="000000"/>
        </w:rPr>
        <w:t xml:space="preserve">Bail-in är </w:t>
      </w:r>
      <w:r>
        <w:rPr>
          <w:color w:val="000000"/>
        </w:rPr>
        <w:t>också</w:t>
      </w:r>
      <w:r w:rsidRPr="00BD5B87">
        <w:rPr>
          <w:color w:val="000000"/>
        </w:rPr>
        <w:t xml:space="preserve"> i stor utsträckning oprövat och kommer sannolikt inte alltid att vara möjligt att använda (t.ex. vid en fullskalig systemkris då risken för spridningseffekter är överhängande).</w:t>
      </w:r>
    </w:p>
    <w:p w:rsidR="00857B70" w:rsidRDefault="00857B70" w:rsidP="00EF6D83">
      <w:pPr>
        <w:pStyle w:val="RKnormal"/>
        <w:spacing w:line="240" w:lineRule="auto"/>
        <w:rPr>
          <w:color w:val="000000"/>
        </w:rPr>
      </w:pPr>
    </w:p>
    <w:p w:rsidR="00857B70" w:rsidRDefault="00857B70" w:rsidP="00EF6D83">
      <w:pPr>
        <w:pStyle w:val="RKnormal"/>
        <w:spacing w:line="240" w:lineRule="auto"/>
        <w:rPr>
          <w:color w:val="000000"/>
        </w:rPr>
      </w:pPr>
      <w:r>
        <w:rPr>
          <w:color w:val="000000"/>
        </w:rPr>
        <w:t xml:space="preserve">Vidare anser regeringen att </w:t>
      </w:r>
      <w:r w:rsidRPr="00873303">
        <w:rPr>
          <w:color w:val="000000"/>
        </w:rPr>
        <w:t xml:space="preserve">förslaget i sin nuvarande form ger alltför stora befogenheter till </w:t>
      </w:r>
      <w:r>
        <w:rPr>
          <w:color w:val="000000"/>
        </w:rPr>
        <w:t>Europeiska bankmyndigheten</w:t>
      </w:r>
      <w:r w:rsidRPr="00873303">
        <w:rPr>
          <w:color w:val="000000"/>
        </w:rPr>
        <w:t xml:space="preserve"> (EBA)</w:t>
      </w:r>
      <w:r>
        <w:rPr>
          <w:color w:val="000000"/>
        </w:rPr>
        <w:t xml:space="preserve">. </w:t>
      </w:r>
    </w:p>
    <w:p w:rsidR="00857B70" w:rsidRDefault="00857B70" w:rsidP="00EF6D83">
      <w:pPr>
        <w:pStyle w:val="RKnormal"/>
        <w:spacing w:line="240" w:lineRule="auto"/>
        <w:rPr>
          <w:color w:val="000000"/>
        </w:rPr>
      </w:pPr>
    </w:p>
    <w:p w:rsidR="00857B70" w:rsidRPr="00007EB3" w:rsidRDefault="00857B70" w:rsidP="00EF6D83">
      <w:pPr>
        <w:pStyle w:val="RKnormal"/>
        <w:spacing w:line="240" w:lineRule="auto"/>
      </w:pPr>
      <w:r>
        <w:rPr>
          <w:color w:val="000000"/>
        </w:rPr>
        <w:t xml:space="preserve">Slutligen anser regeringen att den föreslagna </w:t>
      </w:r>
      <w:r w:rsidRPr="00873303">
        <w:rPr>
          <w:color w:val="000000"/>
        </w:rPr>
        <w:t xml:space="preserve">obligatoriska lånemekanismen </w:t>
      </w:r>
      <w:r>
        <w:rPr>
          <w:color w:val="000000"/>
        </w:rPr>
        <w:t xml:space="preserve">ska </w:t>
      </w:r>
      <w:r w:rsidRPr="00873303">
        <w:rPr>
          <w:color w:val="000000"/>
        </w:rPr>
        <w:t xml:space="preserve">utgå. Det ska vara varje </w:t>
      </w:r>
      <w:r>
        <w:rPr>
          <w:color w:val="000000"/>
        </w:rPr>
        <w:t>medlemsstats</w:t>
      </w:r>
      <w:r w:rsidRPr="00873303">
        <w:rPr>
          <w:color w:val="000000"/>
        </w:rPr>
        <w:t xml:space="preserve"> åtagande att garantera respektive lands avvecklingssystem.</w:t>
      </w:r>
    </w:p>
    <w:p w:rsidR="00857B70" w:rsidRPr="00451C5D" w:rsidRDefault="00857B70" w:rsidP="00225012">
      <w:pPr>
        <w:pStyle w:val="Heading2"/>
        <w:numPr>
          <w:ilvl w:val="0"/>
          <w:numId w:val="7"/>
        </w:numPr>
        <w:ind w:left="1134" w:hanging="567"/>
      </w:pPr>
      <w:r>
        <w:t>Mervärdesskattebedrägeri: Mekanism för snabba insatser – Förfarande för omvänd betalningsskyldighet</w:t>
      </w:r>
    </w:p>
    <w:p w:rsidR="00857B70" w:rsidRDefault="00857B70" w:rsidP="00603DD1">
      <w:pPr>
        <w:pStyle w:val="Heading4"/>
        <w:ind w:left="1134"/>
      </w:pPr>
      <w:r>
        <w:t>- Antagande av slutsatser</w:t>
      </w:r>
    </w:p>
    <w:p w:rsidR="00857B70" w:rsidRPr="00425952" w:rsidRDefault="00857B70" w:rsidP="00EF6D83">
      <w:pPr>
        <w:pStyle w:val="RKnormal"/>
        <w:spacing w:line="240" w:lineRule="auto"/>
        <w:rPr>
          <w:i/>
        </w:rPr>
      </w:pPr>
      <w:r>
        <w:t>Rådet ska anta slutsatser om åtgärder mot mervärdesskattebedrägerier. De två viktigaste åtgärderna är två förslag från kommissionen; en snabb reaktionsmekanism mot mervärdesskattebedrägerier (QRM) samt frivillig och temporär omvänd skattskyldighet för vissa tillhandahållanden som är särskilt känsliga för bedrägerier (omvänd skattskyldighet).</w:t>
      </w:r>
    </w:p>
    <w:p w:rsidR="00857B70" w:rsidRDefault="00857B70" w:rsidP="00EF6D83">
      <w:pPr>
        <w:spacing w:line="240" w:lineRule="auto"/>
      </w:pPr>
    </w:p>
    <w:p w:rsidR="00857B70" w:rsidRPr="00DC381B" w:rsidRDefault="00857B70" w:rsidP="00EF6D83">
      <w:pPr>
        <w:spacing w:line="240" w:lineRule="auto"/>
        <w:rPr>
          <w:i/>
        </w:rPr>
      </w:pPr>
      <w:r w:rsidRPr="00DC381B">
        <w:t xml:space="preserve">Vad avser QRM har samråd skett med Skatteutskottet </w:t>
      </w:r>
      <w:r>
        <w:t>18 oktober 2012 och</w:t>
      </w:r>
      <w:r w:rsidRPr="00DC381B">
        <w:t xml:space="preserve"> </w:t>
      </w:r>
      <w:r>
        <w:t xml:space="preserve">med </w:t>
      </w:r>
      <w:r w:rsidRPr="00DC381B">
        <w:t xml:space="preserve">EU-nämnden </w:t>
      </w:r>
      <w:r>
        <w:t>30 november 2012</w:t>
      </w:r>
      <w:r w:rsidRPr="00DC381B">
        <w:t>. Samråd har inte skett vad avser omvänd skattskyldighet.</w:t>
      </w:r>
    </w:p>
    <w:p w:rsidR="00857B70" w:rsidRDefault="00857B70" w:rsidP="00EF6D83">
      <w:pPr>
        <w:pStyle w:val="RKnormal"/>
        <w:spacing w:line="240" w:lineRule="auto"/>
        <w:rPr>
          <w:color w:val="000000"/>
        </w:rPr>
      </w:pPr>
    </w:p>
    <w:p w:rsidR="00857B70" w:rsidRPr="00DC381B" w:rsidRDefault="00857B70" w:rsidP="00EF6D83">
      <w:pPr>
        <w:pStyle w:val="RKnormal"/>
        <w:spacing w:line="240" w:lineRule="auto"/>
        <w:rPr>
          <w:color w:val="000000"/>
        </w:rPr>
      </w:pPr>
      <w:r w:rsidRPr="00DC381B">
        <w:rPr>
          <w:color w:val="000000"/>
        </w:rPr>
        <w:t xml:space="preserve">Förslaget om QRM innebär att kommissionen i brådskande fall </w:t>
      </w:r>
      <w:r>
        <w:rPr>
          <w:color w:val="000000"/>
        </w:rPr>
        <w:t>kan</w:t>
      </w:r>
      <w:r w:rsidRPr="00DC381B">
        <w:rPr>
          <w:color w:val="000000"/>
        </w:rPr>
        <w:t xml:space="preserve"> besluta att en medlemsstat får införa omvänd skattskyldighet utan enhällighetsbeslut i rådet. Det andra förslaget gäller frivillig och tillfällig tillämpning av förfarandet för omvänd skattskyldighet</w:t>
      </w:r>
      <w:r w:rsidRPr="007355DE">
        <w:rPr>
          <w:color w:val="000000"/>
        </w:rPr>
        <w:t xml:space="preserve"> på leveranser av vissa varor och tjänster som är känsliga för bedrägeri</w:t>
      </w:r>
      <w:r>
        <w:rPr>
          <w:color w:val="000000"/>
        </w:rPr>
        <w:t xml:space="preserve">, nämligen mobiltelefoner, kretskort, spelkonsoler, läsplattor och handdatorer, el och gas, jordbruksprodukter samt koppar. </w:t>
      </w:r>
    </w:p>
    <w:p w:rsidR="00857B70" w:rsidRDefault="00857B70" w:rsidP="00EF6D83">
      <w:pPr>
        <w:pStyle w:val="RKnormal"/>
        <w:spacing w:line="240" w:lineRule="auto"/>
      </w:pPr>
    </w:p>
    <w:p w:rsidR="00857B70" w:rsidRDefault="00857B70" w:rsidP="00EF6D83">
      <w:pPr>
        <w:pStyle w:val="RKnormal"/>
        <w:spacing w:line="240" w:lineRule="auto"/>
      </w:pPr>
      <w:r w:rsidRPr="00405396">
        <w:t>Regeringen ser att det finns ett behov av att agera snabbt när omfattande mervärdesskattebedrägerier uppstår. Det behöver dock analyseras om det är nödvändigt att göra avkall på principen att rådet beslutar om skattefrågor med enhällighet för att tillräckligt snabba insatser ska kunna sättas in mot mervärdesskattebedrägerier.</w:t>
      </w:r>
    </w:p>
    <w:p w:rsidR="00857B70" w:rsidRPr="00451C5D" w:rsidRDefault="00857B70" w:rsidP="00603DD1">
      <w:pPr>
        <w:pStyle w:val="Heading2"/>
        <w:numPr>
          <w:ilvl w:val="0"/>
          <w:numId w:val="7"/>
        </w:numPr>
        <w:ind w:left="1134" w:hanging="708"/>
      </w:pPr>
      <w:r>
        <w:t>(ev.) Ekonomisk styrning – ”tvåpack”</w:t>
      </w:r>
    </w:p>
    <w:p w:rsidR="00857B70" w:rsidRDefault="00857B70" w:rsidP="00013C04">
      <w:pPr>
        <w:pStyle w:val="Heading4"/>
        <w:ind w:left="1080"/>
      </w:pPr>
      <w:r>
        <w:t>- Allmän inriktning</w:t>
      </w:r>
    </w:p>
    <w:p w:rsidR="00857B70" w:rsidRPr="009F5874" w:rsidRDefault="00857B70" w:rsidP="00545C07">
      <w:pPr>
        <w:pStyle w:val="Default"/>
      </w:pPr>
      <w:r w:rsidRPr="009F5874">
        <w:t xml:space="preserve">Ekofinrådet ska </w:t>
      </w:r>
      <w:r>
        <w:t xml:space="preserve">anta en ny allmän inriktning </w:t>
      </w:r>
      <w:r w:rsidRPr="009F5874">
        <w:t xml:space="preserve">om de båda förslagen till förordningar. </w:t>
      </w:r>
    </w:p>
    <w:p w:rsidR="00857B70" w:rsidRDefault="00857B70" w:rsidP="00545C07">
      <w:pPr>
        <w:spacing w:line="240" w:lineRule="auto"/>
      </w:pPr>
    </w:p>
    <w:p w:rsidR="00857B70" w:rsidRPr="00810DC4" w:rsidRDefault="00857B70" w:rsidP="00545C07">
      <w:pPr>
        <w:spacing w:line="240" w:lineRule="auto"/>
      </w:pPr>
      <w:r w:rsidRPr="00810DC4">
        <w:t xml:space="preserve">Samråd har skett med Finansutskottet 17 januari 2012. Samråd med EU-nämnden har skett vid ett flertal tillfällen, senast </w:t>
      </w:r>
      <w:r>
        <w:t>18 januari</w:t>
      </w:r>
      <w:r w:rsidRPr="00810DC4">
        <w:t xml:space="preserve"> 201</w:t>
      </w:r>
      <w:r>
        <w:t>3</w:t>
      </w:r>
      <w:r w:rsidRPr="00810DC4">
        <w:t xml:space="preserve">. </w:t>
      </w:r>
    </w:p>
    <w:p w:rsidR="00857B70" w:rsidRDefault="00857B70" w:rsidP="00545C07">
      <w:pPr>
        <w:pStyle w:val="Default"/>
      </w:pPr>
    </w:p>
    <w:p w:rsidR="00857B70" w:rsidRDefault="00857B70" w:rsidP="00545C07">
      <w:pPr>
        <w:pStyle w:val="Default"/>
      </w:pPr>
      <w:r w:rsidRPr="009F5874">
        <w:t xml:space="preserve">De två förslagen till förordningar rör förstärkning av budgetövervakningen i euroområdet och stärkt övervakning av euroländer som har, eller hotas av, allvarliga problem med sin finansiella stabilitet (se vidare Fakta-PM 2011/12:FPM70). </w:t>
      </w:r>
    </w:p>
    <w:p w:rsidR="00857B70" w:rsidRPr="009F5874" w:rsidRDefault="00857B70" w:rsidP="00545C07">
      <w:pPr>
        <w:pStyle w:val="Default"/>
      </w:pPr>
    </w:p>
    <w:p w:rsidR="00857B70" w:rsidRPr="009F5874" w:rsidRDefault="00857B70" w:rsidP="00545C07">
      <w:pPr>
        <w:pStyle w:val="Default"/>
      </w:pPr>
      <w:r w:rsidRPr="009F5874">
        <w:t xml:space="preserve">Ekofinrådet nådde den 21 februari </w:t>
      </w:r>
      <w:r>
        <w:t xml:space="preserve">2012 </w:t>
      </w:r>
      <w:r w:rsidRPr="009F5874">
        <w:t xml:space="preserve">en allmän inriktning. Europaparlamentet avslutade sin interna behandling av förslagen i juni </w:t>
      </w:r>
      <w:r>
        <w:t>2012</w:t>
      </w:r>
      <w:r w:rsidRPr="009F5874">
        <w:t xml:space="preserve"> och därefter inleddes trilogförhandlingar mellan rådet och Europaparlamentet</w:t>
      </w:r>
      <w:r>
        <w:t xml:space="preserve"> </w:t>
      </w:r>
      <w:r w:rsidRPr="009F5874">
        <w:t>i juli</w:t>
      </w:r>
      <w:r>
        <w:t xml:space="preserve"> 2012</w:t>
      </w:r>
      <w:r w:rsidRPr="009F5874">
        <w:t xml:space="preserve">. </w:t>
      </w:r>
    </w:p>
    <w:p w:rsidR="00857B70" w:rsidRDefault="00857B70" w:rsidP="00545C07">
      <w:pPr>
        <w:spacing w:line="240" w:lineRule="auto"/>
        <w:rPr>
          <w:szCs w:val="24"/>
        </w:rPr>
      </w:pPr>
    </w:p>
    <w:p w:rsidR="00857B70" w:rsidRDefault="00857B70" w:rsidP="00545C07">
      <w:pPr>
        <w:spacing w:line="240" w:lineRule="auto"/>
        <w:rPr>
          <w:szCs w:val="24"/>
        </w:rPr>
      </w:pPr>
      <w:r w:rsidRPr="009F5874">
        <w:rPr>
          <w:szCs w:val="24"/>
        </w:rPr>
        <w:t xml:space="preserve">Regeringen anser att de senaste årens utveckling tydligt har visat på behovet av stärkt efterlevnad av det ekonomiska regelverket i EU, och i synnerhet inom euroområdet. Det är därför rimligt att euroländerna vidtar åtgärder som möter de allvarliga utmaningar som det gemensamma valutasamarbetet nu står inför, bland annat genom åtgärder som gör det befintliga regelverket tydligare. Detta förbättrar förutsättningarna för </w:t>
      </w:r>
      <w:r>
        <w:rPr>
          <w:szCs w:val="24"/>
        </w:rPr>
        <w:t>euroländernas</w:t>
      </w:r>
      <w:r w:rsidRPr="009F5874">
        <w:rPr>
          <w:szCs w:val="24"/>
        </w:rPr>
        <w:t xml:space="preserve"> efterlevnad av reglerna.</w:t>
      </w:r>
    </w:p>
    <w:p w:rsidR="00857B70" w:rsidRDefault="00857B70" w:rsidP="002361F7">
      <w:pPr>
        <w:pStyle w:val="Heading2"/>
        <w:numPr>
          <w:ilvl w:val="0"/>
          <w:numId w:val="7"/>
        </w:numPr>
        <w:rPr>
          <w:lang w:eastAsia="sv-SE"/>
        </w:rPr>
      </w:pPr>
      <w:r>
        <w:rPr>
          <w:lang w:eastAsia="sv-SE"/>
        </w:rPr>
        <w:t>Övriga frågor – aktuella lagstiftningsförslag</w:t>
      </w:r>
    </w:p>
    <w:p w:rsidR="00857B70" w:rsidRDefault="00857B70" w:rsidP="002361F7">
      <w:pPr>
        <w:pStyle w:val="Heading4"/>
        <w:rPr>
          <w:lang w:eastAsia="sv-SE"/>
        </w:rPr>
      </w:pPr>
      <w:r>
        <w:rPr>
          <w:lang w:eastAsia="sv-SE"/>
        </w:rPr>
        <w:tab/>
        <w:t>- Information från ordförandeskapet</w:t>
      </w:r>
    </w:p>
    <w:p w:rsidR="00857B70" w:rsidRDefault="00857B70" w:rsidP="00EF6D83">
      <w:pPr>
        <w:pStyle w:val="RKnormal"/>
        <w:spacing w:line="240" w:lineRule="auto"/>
        <w:rPr>
          <w:color w:val="000000"/>
        </w:rPr>
      </w:pPr>
      <w:r>
        <w:rPr>
          <w:color w:val="000000"/>
        </w:rPr>
        <w:t xml:space="preserve">Ordförandeskapet har annonserat att det kommer att informera om förhandlingarna kring några aktuella lagstiftningsfrågor. Det är i skrivande stund inte annonserat vilka frågor som kommer att tas upp.  </w:t>
      </w:r>
    </w:p>
    <w:p w:rsidR="00857B70" w:rsidRDefault="00857B70" w:rsidP="009972E5">
      <w:pPr>
        <w:pStyle w:val="Heading2"/>
        <w:rPr>
          <w:u w:val="single"/>
        </w:rPr>
      </w:pPr>
      <w:r>
        <w:rPr>
          <w:u w:val="single"/>
        </w:rPr>
        <w:t>Icke lagstiftande verksamhet</w:t>
      </w:r>
    </w:p>
    <w:p w:rsidR="00857B70" w:rsidRDefault="00857B70" w:rsidP="00225012">
      <w:pPr>
        <w:pStyle w:val="Heading2"/>
        <w:numPr>
          <w:ilvl w:val="0"/>
          <w:numId w:val="7"/>
        </w:numPr>
      </w:pPr>
      <w:r>
        <w:t>Godkännande av a-punktslistan</w:t>
      </w:r>
    </w:p>
    <w:p w:rsidR="00857B70" w:rsidRPr="00451C5D" w:rsidRDefault="00857B70" w:rsidP="00265730">
      <w:pPr>
        <w:pStyle w:val="Heading2"/>
        <w:numPr>
          <w:ilvl w:val="0"/>
          <w:numId w:val="7"/>
        </w:numPr>
        <w:ind w:left="1134" w:hanging="774"/>
      </w:pPr>
      <w:r>
        <w:t>Europeiska planeringsterminen – rapport om de offentliga utgifternas kvalitet</w:t>
      </w:r>
    </w:p>
    <w:p w:rsidR="00857B70" w:rsidRPr="00451C5D" w:rsidRDefault="00857B70" w:rsidP="00603DD1">
      <w:pPr>
        <w:pStyle w:val="Heading4"/>
        <w:ind w:left="1080"/>
      </w:pPr>
      <w:r>
        <w:t>- Diskussion och antagande av slutsatser</w:t>
      </w:r>
    </w:p>
    <w:p w:rsidR="00857B70" w:rsidRPr="00EB2B1C" w:rsidRDefault="00857B70" w:rsidP="00EF6D83">
      <w:pPr>
        <w:pStyle w:val="RKnormal"/>
        <w:spacing w:line="240" w:lineRule="auto"/>
      </w:pPr>
      <w:r w:rsidRPr="00EB2B1C">
        <w:t xml:space="preserve">Rådet ska anta slutsatser </w:t>
      </w:r>
      <w:r>
        <w:t>om k</w:t>
      </w:r>
      <w:r w:rsidRPr="00EB2B1C">
        <w:t xml:space="preserve">ommissionens rapport </w:t>
      </w:r>
      <w:r>
        <w:t>”</w:t>
      </w:r>
      <w:r w:rsidRPr="00EB2B1C">
        <w:t>Quality of public expenditures</w:t>
      </w:r>
      <w:r>
        <w:t xml:space="preserve"> in the EU”.</w:t>
      </w:r>
      <w:r w:rsidRPr="00EB2B1C">
        <w:rPr>
          <w:color w:val="000000"/>
        </w:rPr>
        <w:t xml:space="preserve"> </w:t>
      </w:r>
      <w:r>
        <w:t>Ärendet har inte tidigare behandlats i riksdagen.</w:t>
      </w:r>
    </w:p>
    <w:p w:rsidR="00857B70" w:rsidRDefault="00857B70" w:rsidP="00EF6D83">
      <w:pPr>
        <w:pStyle w:val="RKnormal"/>
        <w:spacing w:line="240" w:lineRule="auto"/>
        <w:rPr>
          <w:color w:val="000000"/>
        </w:rPr>
      </w:pPr>
    </w:p>
    <w:p w:rsidR="00857B70" w:rsidRDefault="00857B70" w:rsidP="00EF6D83">
      <w:pPr>
        <w:pStyle w:val="RKnormal"/>
        <w:spacing w:line="240" w:lineRule="auto"/>
        <w:rPr>
          <w:color w:val="000000"/>
        </w:rPr>
      </w:pPr>
      <w:r>
        <w:rPr>
          <w:color w:val="000000"/>
        </w:rPr>
        <w:t>I december 2012 presenterade kommissionen rapporten ”</w:t>
      </w:r>
      <w:r w:rsidRPr="00EB2B1C">
        <w:t xml:space="preserve"> </w:t>
      </w:r>
      <w:r w:rsidRPr="00EB2B1C">
        <w:rPr>
          <w:color w:val="000000"/>
        </w:rPr>
        <w:t>The Quality of</w:t>
      </w:r>
      <w:r>
        <w:rPr>
          <w:color w:val="000000"/>
        </w:rPr>
        <w:t xml:space="preserve"> Public Expenditures in the EU”. Rapporten följer av en beställning från Europeiska rådet den 28-29 juni 2012. I mandatet ingick att se över </w:t>
      </w:r>
      <w:r w:rsidRPr="00123975">
        <w:rPr>
          <w:color w:val="000000"/>
        </w:rPr>
        <w:t>utrymmet för eventuella åtgärder för att förbättra kvaliteten i medlemsstaternas offentliga utgifter inom de ramar som EU och nationella ramverk möjliggör</w:t>
      </w:r>
      <w:r>
        <w:rPr>
          <w:color w:val="000000"/>
        </w:rPr>
        <w:t xml:space="preserve">. </w:t>
      </w:r>
    </w:p>
    <w:p w:rsidR="00857B70" w:rsidRDefault="00857B70" w:rsidP="00EF6D83">
      <w:pPr>
        <w:pStyle w:val="RKnormal"/>
        <w:spacing w:line="240" w:lineRule="auto"/>
        <w:rPr>
          <w:color w:val="000000"/>
        </w:rPr>
      </w:pPr>
    </w:p>
    <w:p w:rsidR="00857B70" w:rsidRDefault="00857B70" w:rsidP="00EF6D83">
      <w:pPr>
        <w:pStyle w:val="RKnormal"/>
        <w:spacing w:line="240" w:lineRule="auto"/>
        <w:rPr>
          <w:color w:val="000000"/>
        </w:rPr>
      </w:pPr>
      <w:r>
        <w:rPr>
          <w:color w:val="000000"/>
        </w:rPr>
        <w:t xml:space="preserve">I utkastet till rådsslutsatser välkomnas kommissionens rapport och understryks behovet av ökad effektivitet i de offentliga utgifterna för att stödja en tillväxtfrämjande konsolidering samtidigt som viktiga sociala skyddsnät upprätthålls. I rådslutsatserna uttrycks också hur en fortsatt diskussion kring kvaliteten av offentliga utgifter kan ske mellan medlemsstaterna och inom ramen för befintliga processer och procedurer i kommittén för ekonomisk politik (KEP). </w:t>
      </w:r>
    </w:p>
    <w:p w:rsidR="00857B70" w:rsidRDefault="00857B70" w:rsidP="00EF6D83">
      <w:pPr>
        <w:spacing w:line="240" w:lineRule="auto"/>
        <w:rPr>
          <w:i/>
          <w:color w:val="000000"/>
        </w:rPr>
      </w:pPr>
    </w:p>
    <w:p w:rsidR="00857B70" w:rsidRPr="00F552C2" w:rsidRDefault="00857B70" w:rsidP="00EF6D83">
      <w:pPr>
        <w:spacing w:line="240" w:lineRule="auto"/>
        <w:rPr>
          <w:i/>
          <w:color w:val="000000"/>
        </w:rPr>
      </w:pPr>
      <w:r w:rsidRPr="00FC1F4B">
        <w:t>Regeringen kan ställa sig bakom utkastet till slutsatser.</w:t>
      </w:r>
    </w:p>
    <w:p w:rsidR="00857B70" w:rsidRPr="00451C5D" w:rsidRDefault="00857B70" w:rsidP="00265730">
      <w:pPr>
        <w:pStyle w:val="Heading2"/>
        <w:numPr>
          <w:ilvl w:val="0"/>
          <w:numId w:val="7"/>
        </w:numPr>
        <w:ind w:left="1134" w:hanging="774"/>
      </w:pPr>
      <w:r>
        <w:t>Närmare EMU-integration</w:t>
      </w:r>
      <w:r>
        <w:tab/>
        <w:t>: svar till Europeiska rådets ordförande</w:t>
      </w:r>
    </w:p>
    <w:p w:rsidR="00857B70" w:rsidRDefault="00857B70" w:rsidP="00265730">
      <w:pPr>
        <w:pStyle w:val="Heading4"/>
        <w:ind w:left="1080"/>
      </w:pPr>
      <w:r>
        <w:t xml:space="preserve">- Diskussion </w:t>
      </w:r>
    </w:p>
    <w:p w:rsidR="00857B70" w:rsidRDefault="00857B70" w:rsidP="00EF6D83">
      <w:pPr>
        <w:spacing w:line="240" w:lineRule="auto"/>
      </w:pPr>
      <w:r>
        <w:t xml:space="preserve">Ekofin förväntas ha en diskussion om den framtida utformningen av den ekonomiska och monetära unionen (EMU). </w:t>
      </w:r>
    </w:p>
    <w:p w:rsidR="00857B70" w:rsidRDefault="00857B70" w:rsidP="00EF6D83">
      <w:pPr>
        <w:pStyle w:val="RKnormal"/>
        <w:spacing w:line="240" w:lineRule="auto"/>
      </w:pPr>
    </w:p>
    <w:p w:rsidR="00857B70" w:rsidRDefault="00857B70" w:rsidP="00EF6D83">
      <w:pPr>
        <w:spacing w:line="240" w:lineRule="auto"/>
      </w:pPr>
      <w:r>
        <w:t>Statsministern har inför Europeiska rådets möten i juni, oktober och, senast, 12 december 2012 haft samråd med EU-nämnden om frågor som rör EMU:s framtid.</w:t>
      </w:r>
    </w:p>
    <w:p w:rsidR="00857B70" w:rsidRDefault="00857B70" w:rsidP="00EF6D83">
      <w:pPr>
        <w:spacing w:line="240" w:lineRule="auto"/>
      </w:pPr>
    </w:p>
    <w:p w:rsidR="00857B70" w:rsidRDefault="00857B70" w:rsidP="00EF6D83">
      <w:pPr>
        <w:spacing w:line="240" w:lineRule="auto"/>
      </w:pPr>
      <w:r>
        <w:t>Diskussionen är en förberedelse inför Europeiska rådets möten i maj och juni, då slutsatser ska antas. Diskussionen om EMU:s framtid omfattar fyra olika områden:</w:t>
      </w:r>
    </w:p>
    <w:p w:rsidR="00857B70" w:rsidRDefault="00857B70" w:rsidP="00EF6D83">
      <w:pPr>
        <w:pStyle w:val="ListParagraph"/>
        <w:numPr>
          <w:ilvl w:val="0"/>
          <w:numId w:val="29"/>
        </w:numPr>
        <w:spacing w:line="240" w:lineRule="auto"/>
      </w:pPr>
      <w:r>
        <w:t xml:space="preserve">Samordning av större nationella ekonomiska reformer, </w:t>
      </w:r>
    </w:p>
    <w:p w:rsidR="00857B70" w:rsidRDefault="00857B70" w:rsidP="00EF6D83">
      <w:pPr>
        <w:pStyle w:val="ListParagraph"/>
        <w:numPr>
          <w:ilvl w:val="0"/>
          <w:numId w:val="29"/>
        </w:numPr>
        <w:spacing w:line="240" w:lineRule="auto"/>
      </w:pPr>
      <w:r>
        <w:t xml:space="preserve">EMU:s sociala dimension, </w:t>
      </w:r>
    </w:p>
    <w:p w:rsidR="00857B70" w:rsidRDefault="00857B70" w:rsidP="00EF6D83">
      <w:pPr>
        <w:pStyle w:val="ListParagraph"/>
        <w:numPr>
          <w:ilvl w:val="0"/>
          <w:numId w:val="29"/>
        </w:numPr>
        <w:spacing w:line="240" w:lineRule="auto"/>
      </w:pPr>
      <w:r>
        <w:t xml:space="preserve">Individuella arrangemang av kontraktsmässig art, </w:t>
      </w:r>
    </w:p>
    <w:p w:rsidR="00857B70" w:rsidRDefault="00857B70" w:rsidP="00EF6D83">
      <w:pPr>
        <w:pStyle w:val="ListParagraph"/>
        <w:numPr>
          <w:ilvl w:val="0"/>
          <w:numId w:val="29"/>
        </w:numPr>
        <w:spacing w:line="240" w:lineRule="auto"/>
      </w:pPr>
      <w:r>
        <w:t>Solidaritetsmekanismer för dylika arrangemang.</w:t>
      </w:r>
    </w:p>
    <w:p w:rsidR="00857B70" w:rsidRDefault="00857B70" w:rsidP="00EF6D83">
      <w:pPr>
        <w:spacing w:line="240" w:lineRule="auto"/>
      </w:pPr>
    </w:p>
    <w:p w:rsidR="00857B70" w:rsidRDefault="00857B70" w:rsidP="00EF6D83">
      <w:pPr>
        <w:spacing w:line="240" w:lineRule="auto"/>
      </w:pPr>
      <w:r>
        <w:t xml:space="preserve">Kommissionen väntas under våren att komma med förslag kring reformsamordningen samt kring de kontraktsmässiga arrangemangen och solidaritetsmekanismen. Kommissionens övergripande idéer på området presenterades i november 2012 i den s.k. ”blueprint” (se vidare Fakta-PM 2012/13:FPM57). </w:t>
      </w:r>
    </w:p>
    <w:p w:rsidR="00857B70" w:rsidRDefault="00857B70" w:rsidP="00EF6D83">
      <w:pPr>
        <w:pStyle w:val="RKnormal"/>
        <w:spacing w:line="240" w:lineRule="auto"/>
      </w:pPr>
    </w:p>
    <w:p w:rsidR="00857B70" w:rsidRDefault="00857B70" w:rsidP="00EF6D83">
      <w:pPr>
        <w:pStyle w:val="RKnormal"/>
        <w:spacing w:line="240" w:lineRule="auto"/>
      </w:pPr>
      <w:r>
        <w:t xml:space="preserve">Regeringen anser att Sverige har ett starkt intresse av ett väl fungerande EMU. Regeringen anser emellertid att flera av de förslag i centraliserande riktning som har diskuterats riskerar leda till svagare drivkrafter för medlemsstaterna att ta eget ansvar för sin ekonomiska politik (”moral hazard”). Den ekonomiska och finansiella krisen i eurozonen visar vidare att marknadstryck som regel är mer effektivt än kollegiala påtryckningar (”peer pressure”) för att förmå länder i kris att få långsiktigt hållbara offentliga finanser samt genomföra nödvändiga ekonomiska reformer. </w:t>
      </w:r>
    </w:p>
    <w:p w:rsidR="00857B70" w:rsidRDefault="00857B70" w:rsidP="00EF6D83">
      <w:pPr>
        <w:pStyle w:val="RKnormal"/>
        <w:spacing w:line="240" w:lineRule="auto"/>
      </w:pPr>
    </w:p>
    <w:p w:rsidR="00857B70" w:rsidRPr="0095715B" w:rsidRDefault="00857B70" w:rsidP="00EF6D83">
      <w:pPr>
        <w:pStyle w:val="RKnormal"/>
        <w:spacing w:line="240" w:lineRule="auto"/>
      </w:pPr>
      <w:r>
        <w:t>En öppen debatt samt gedigen analys med konsekvensbedömningar måste föregå eventuella beslut av långtgående karaktär. Förändringar i det ekonomiska samarbetet måste i alla delar ha d</w:t>
      </w:r>
      <w:r w:rsidRPr="00D53296">
        <w:t xml:space="preserve">emokratisk </w:t>
      </w:r>
      <w:r>
        <w:t xml:space="preserve">förankring och ge möjlighet till ett effektivt </w:t>
      </w:r>
      <w:r w:rsidRPr="00D53296">
        <w:t>ansvarsutkrävande</w:t>
      </w:r>
      <w:r>
        <w:t>. Vidare anser regeringen att det ligger i Sveriges intresse att EU:s sammanhållning och den inre marknaden värnas.</w:t>
      </w:r>
    </w:p>
    <w:p w:rsidR="00857B70" w:rsidRPr="00451C5D" w:rsidRDefault="00857B70" w:rsidP="00265730">
      <w:pPr>
        <w:pStyle w:val="Heading2"/>
        <w:numPr>
          <w:ilvl w:val="0"/>
          <w:numId w:val="7"/>
        </w:numPr>
        <w:ind w:left="1134" w:hanging="774"/>
      </w:pPr>
      <w:r>
        <w:t>Uppföljning av mötet mellan G20:s finansministrar och centralbankschefer 15-16 februari</w:t>
      </w:r>
    </w:p>
    <w:p w:rsidR="00857B70" w:rsidRPr="00451C5D" w:rsidRDefault="00857B70" w:rsidP="00265730">
      <w:pPr>
        <w:pStyle w:val="Heading4"/>
        <w:ind w:left="1080"/>
      </w:pPr>
      <w:r>
        <w:t>- Information från ordförandeskapet och kommissionen</w:t>
      </w:r>
    </w:p>
    <w:p w:rsidR="00857B70" w:rsidRDefault="00857B70" w:rsidP="00EF6D83">
      <w:pPr>
        <w:pStyle w:val="RKnormal"/>
        <w:spacing w:line="240" w:lineRule="auto"/>
      </w:pPr>
      <w:r>
        <w:t>Kommissionen och ordförandeskapet ska avrapportera från överläggningarna vid G20:s finansministermöte i Moskva 15-16 februari. Detta är i linje med tidigare förfaranden vid G20-ministermöten.</w:t>
      </w:r>
    </w:p>
    <w:p w:rsidR="00857B70" w:rsidRDefault="00857B70" w:rsidP="00EF6D83">
      <w:pPr>
        <w:spacing w:line="240" w:lineRule="auto"/>
      </w:pPr>
    </w:p>
    <w:p w:rsidR="00857B70" w:rsidRDefault="00857B70" w:rsidP="00EF6D83">
      <w:pPr>
        <w:spacing w:line="240" w:lineRule="auto"/>
        <w:rPr>
          <w:i/>
        </w:rPr>
      </w:pPr>
      <w:r>
        <w:t xml:space="preserve">Samråd har skett med EU-nämnden 8 februari 2013 inför Ekofinrådets godkännande av EU:s gemensamma ståndpunkter till G20-mötet. </w:t>
      </w:r>
    </w:p>
    <w:p w:rsidR="00857B70" w:rsidRPr="00425952" w:rsidRDefault="00857B70" w:rsidP="00EF6D83">
      <w:pPr>
        <w:pStyle w:val="RKnormal"/>
        <w:spacing w:line="240" w:lineRule="auto"/>
        <w:rPr>
          <w:color w:val="000000"/>
        </w:rPr>
      </w:pPr>
    </w:p>
    <w:p w:rsidR="00857B70" w:rsidRPr="00425952" w:rsidRDefault="00857B70" w:rsidP="00EF6D83">
      <w:pPr>
        <w:pStyle w:val="RKnormal"/>
        <w:spacing w:line="240" w:lineRule="auto"/>
        <w:rPr>
          <w:color w:val="000000"/>
        </w:rPr>
      </w:pPr>
      <w:r>
        <w:rPr>
          <w:color w:val="000000"/>
        </w:rPr>
        <w:t xml:space="preserve">Regeringen noterar återrapporteringen. </w:t>
      </w:r>
    </w:p>
    <w:p w:rsidR="00857B70" w:rsidRPr="00451C5D" w:rsidRDefault="00857B70" w:rsidP="00265730">
      <w:pPr>
        <w:pStyle w:val="Heading2"/>
        <w:numPr>
          <w:ilvl w:val="0"/>
          <w:numId w:val="7"/>
        </w:numPr>
      </w:pPr>
      <w:r>
        <w:t>Övriga frågor</w:t>
      </w:r>
      <w:r w:rsidRPr="0008297A">
        <w:rPr>
          <w:i/>
        </w:rPr>
        <w:t xml:space="preserve"> </w:t>
      </w:r>
    </w:p>
    <w:p w:rsidR="00857B70" w:rsidRPr="00005077" w:rsidRDefault="00857B70">
      <w:pPr>
        <w:pStyle w:val="RKnormal"/>
      </w:pPr>
      <w:r w:rsidRPr="00451C5D">
        <w:rPr>
          <w:rFonts w:cs="OrigGarmnd BT"/>
          <w:color w:val="000000"/>
          <w:szCs w:val="24"/>
          <w:lang w:eastAsia="sv-SE"/>
        </w:rPr>
        <w:t>De</w:t>
      </w:r>
      <w:r>
        <w:rPr>
          <w:rFonts w:cs="OrigGarmnd BT"/>
          <w:color w:val="000000"/>
          <w:szCs w:val="24"/>
          <w:lang w:eastAsia="sv-SE"/>
        </w:rPr>
        <w:t>t</w:t>
      </w:r>
      <w:r w:rsidRPr="00451C5D">
        <w:rPr>
          <w:rFonts w:cs="OrigGarmnd BT"/>
          <w:color w:val="000000"/>
          <w:szCs w:val="24"/>
          <w:lang w:eastAsia="sv-SE"/>
        </w:rPr>
        <w:t xml:space="preserve"> </w:t>
      </w:r>
      <w:r>
        <w:rPr>
          <w:rFonts w:cs="OrigGarmnd BT"/>
          <w:color w:val="000000"/>
          <w:szCs w:val="24"/>
          <w:lang w:eastAsia="sv-SE"/>
        </w:rPr>
        <w:t xml:space="preserve">har </w:t>
      </w:r>
      <w:r w:rsidRPr="00451C5D">
        <w:rPr>
          <w:rFonts w:cs="OrigGarmnd BT"/>
          <w:color w:val="000000"/>
          <w:szCs w:val="24"/>
          <w:lang w:eastAsia="sv-SE"/>
        </w:rPr>
        <w:t>i skrivande stund in</w:t>
      </w:r>
      <w:r>
        <w:rPr>
          <w:rFonts w:cs="OrigGarmnd BT"/>
          <w:color w:val="000000"/>
          <w:szCs w:val="24"/>
          <w:lang w:eastAsia="sv-SE"/>
        </w:rPr>
        <w:t>te presenterats några övriga ärenden.</w:t>
      </w:r>
    </w:p>
    <w:sectPr w:rsidR="00857B70" w:rsidRPr="00005077" w:rsidSect="0000507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B70" w:rsidRDefault="00857B70">
      <w:r>
        <w:separator/>
      </w:r>
    </w:p>
  </w:endnote>
  <w:endnote w:type="continuationSeparator" w:id="0">
    <w:p w:rsidR="00857B70" w:rsidRDefault="00857B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B70" w:rsidRDefault="00857B70">
      <w:r>
        <w:separator/>
      </w:r>
    </w:p>
  </w:footnote>
  <w:footnote w:type="continuationSeparator" w:id="0">
    <w:p w:rsidR="00857B70" w:rsidRDefault="00857B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B70" w:rsidRDefault="00857B70"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857B70">
      <w:trPr>
        <w:cantSplit/>
      </w:trPr>
      <w:tc>
        <w:tcPr>
          <w:tcW w:w="3119" w:type="dxa"/>
        </w:tcPr>
        <w:p w:rsidR="00857B70" w:rsidRDefault="00857B70" w:rsidP="00005077">
          <w:pPr>
            <w:pStyle w:val="Header"/>
            <w:spacing w:line="200" w:lineRule="atLeast"/>
            <w:ind w:right="360" w:firstLine="360"/>
            <w:rPr>
              <w:rFonts w:ascii="TradeGothic" w:hAnsi="TradeGothic"/>
              <w:b/>
              <w:bCs/>
              <w:sz w:val="16"/>
            </w:rPr>
          </w:pPr>
        </w:p>
      </w:tc>
      <w:tc>
        <w:tcPr>
          <w:tcW w:w="4111" w:type="dxa"/>
          <w:tcMar>
            <w:left w:w="567" w:type="dxa"/>
          </w:tcMar>
        </w:tcPr>
        <w:p w:rsidR="00857B70" w:rsidRDefault="00857B70">
          <w:pPr>
            <w:pStyle w:val="Header"/>
            <w:ind w:right="360"/>
          </w:pPr>
        </w:p>
      </w:tc>
      <w:tc>
        <w:tcPr>
          <w:tcW w:w="1525" w:type="dxa"/>
        </w:tcPr>
        <w:p w:rsidR="00857B70" w:rsidRDefault="00857B70">
          <w:pPr>
            <w:pStyle w:val="Header"/>
            <w:ind w:right="360"/>
          </w:pPr>
        </w:p>
      </w:tc>
    </w:tr>
  </w:tbl>
  <w:p w:rsidR="00857B70" w:rsidRDefault="00857B70">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B70" w:rsidRDefault="00857B70"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tbl>
    <w:tblPr>
      <w:tblW w:w="0" w:type="auto"/>
      <w:tblInd w:w="-1168" w:type="dxa"/>
      <w:tblLook w:val="0000"/>
    </w:tblPr>
    <w:tblGrid>
      <w:gridCol w:w="3119"/>
      <w:gridCol w:w="4111"/>
      <w:gridCol w:w="1525"/>
    </w:tblGrid>
    <w:tr w:rsidR="00857B70">
      <w:trPr>
        <w:cantSplit/>
      </w:trPr>
      <w:tc>
        <w:tcPr>
          <w:tcW w:w="3119" w:type="dxa"/>
        </w:tcPr>
        <w:p w:rsidR="00857B70" w:rsidRDefault="00857B70" w:rsidP="00005077">
          <w:pPr>
            <w:pStyle w:val="Header"/>
            <w:spacing w:line="200" w:lineRule="atLeast"/>
            <w:ind w:right="360" w:firstLine="360"/>
            <w:rPr>
              <w:rFonts w:ascii="TradeGothic" w:hAnsi="TradeGothic"/>
              <w:b/>
              <w:bCs/>
              <w:sz w:val="16"/>
            </w:rPr>
          </w:pPr>
        </w:p>
      </w:tc>
      <w:tc>
        <w:tcPr>
          <w:tcW w:w="4111" w:type="dxa"/>
          <w:tcMar>
            <w:left w:w="567" w:type="dxa"/>
          </w:tcMar>
        </w:tcPr>
        <w:p w:rsidR="00857B70" w:rsidRDefault="00857B70">
          <w:pPr>
            <w:pStyle w:val="Header"/>
            <w:ind w:right="360"/>
          </w:pPr>
        </w:p>
      </w:tc>
      <w:tc>
        <w:tcPr>
          <w:tcW w:w="1525" w:type="dxa"/>
        </w:tcPr>
        <w:p w:rsidR="00857B70" w:rsidRDefault="00857B70">
          <w:pPr>
            <w:pStyle w:val="Header"/>
            <w:ind w:right="360"/>
          </w:pPr>
        </w:p>
      </w:tc>
    </w:tr>
  </w:tbl>
  <w:p w:rsidR="00857B70" w:rsidRDefault="00857B70">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B70" w:rsidRDefault="00857B70">
    <w:pPr>
      <w:framePr w:w="2948" w:h="1321" w:hRule="exact" w:wrap="notBeside" w:vAnchor="page" w:hAnchor="page" w:x="1362" w:y="653"/>
    </w:pPr>
    <w:r w:rsidRPr="00ED6943">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857B70" w:rsidRPr="00005077" w:rsidRDefault="00857B70">
    <w:pPr>
      <w:pStyle w:val="RKrubrik"/>
      <w:keepNext w:val="0"/>
      <w:tabs>
        <w:tab w:val="clear" w:pos="1134"/>
        <w:tab w:val="clear" w:pos="2835"/>
      </w:tabs>
      <w:spacing w:before="0" w:after="0" w:line="320" w:lineRule="atLeast"/>
      <w:rPr>
        <w:bCs/>
      </w:rPr>
    </w:pPr>
  </w:p>
  <w:p w:rsidR="00857B70" w:rsidRPr="00005077" w:rsidRDefault="00857B70">
    <w:pPr>
      <w:rPr>
        <w:rFonts w:ascii="TradeGothic" w:hAnsi="TradeGothic"/>
        <w:b/>
        <w:bCs/>
        <w:spacing w:val="12"/>
        <w:sz w:val="22"/>
      </w:rPr>
    </w:pPr>
  </w:p>
  <w:p w:rsidR="00857B70" w:rsidRPr="00005077" w:rsidRDefault="00857B70">
    <w:pPr>
      <w:pStyle w:val="RKrubrik"/>
      <w:keepNext w:val="0"/>
      <w:tabs>
        <w:tab w:val="clear" w:pos="1134"/>
        <w:tab w:val="clear" w:pos="2835"/>
      </w:tabs>
      <w:spacing w:before="0" w:after="0" w:line="320" w:lineRule="atLeast"/>
      <w:rPr>
        <w:bCs/>
      </w:rPr>
    </w:pPr>
  </w:p>
  <w:p w:rsidR="00857B70" w:rsidRPr="00005077" w:rsidRDefault="00857B70">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389D"/>
    <w:multiLevelType w:val="hybridMultilevel"/>
    <w:tmpl w:val="28D4CBB2"/>
    <w:lvl w:ilvl="0" w:tplc="2F3A3DFC">
      <w:start w:val="1"/>
      <w:numFmt w:val="decimal"/>
      <w:lvlText w:val="%1."/>
      <w:lvlJc w:val="left"/>
      <w:pPr>
        <w:ind w:left="1146" w:hanging="360"/>
      </w:pPr>
      <w:rPr>
        <w:rFonts w:cs="Times New Roman" w:hint="default"/>
      </w:rPr>
    </w:lvl>
    <w:lvl w:ilvl="1" w:tplc="041D0019" w:tentative="1">
      <w:start w:val="1"/>
      <w:numFmt w:val="lowerLetter"/>
      <w:lvlText w:val="%2."/>
      <w:lvlJc w:val="left"/>
      <w:pPr>
        <w:ind w:left="1866" w:hanging="360"/>
      </w:pPr>
      <w:rPr>
        <w:rFonts w:cs="Times New Roman"/>
      </w:rPr>
    </w:lvl>
    <w:lvl w:ilvl="2" w:tplc="041D001B" w:tentative="1">
      <w:start w:val="1"/>
      <w:numFmt w:val="lowerRoman"/>
      <w:lvlText w:val="%3."/>
      <w:lvlJc w:val="right"/>
      <w:pPr>
        <w:ind w:left="2586" w:hanging="180"/>
      </w:pPr>
      <w:rPr>
        <w:rFonts w:cs="Times New Roman"/>
      </w:rPr>
    </w:lvl>
    <w:lvl w:ilvl="3" w:tplc="041D000F" w:tentative="1">
      <w:start w:val="1"/>
      <w:numFmt w:val="decimal"/>
      <w:lvlText w:val="%4."/>
      <w:lvlJc w:val="left"/>
      <w:pPr>
        <w:ind w:left="3306" w:hanging="360"/>
      </w:pPr>
      <w:rPr>
        <w:rFonts w:cs="Times New Roman"/>
      </w:rPr>
    </w:lvl>
    <w:lvl w:ilvl="4" w:tplc="041D0019" w:tentative="1">
      <w:start w:val="1"/>
      <w:numFmt w:val="lowerLetter"/>
      <w:lvlText w:val="%5."/>
      <w:lvlJc w:val="left"/>
      <w:pPr>
        <w:ind w:left="4026" w:hanging="360"/>
      </w:pPr>
      <w:rPr>
        <w:rFonts w:cs="Times New Roman"/>
      </w:rPr>
    </w:lvl>
    <w:lvl w:ilvl="5" w:tplc="041D001B" w:tentative="1">
      <w:start w:val="1"/>
      <w:numFmt w:val="lowerRoman"/>
      <w:lvlText w:val="%6."/>
      <w:lvlJc w:val="right"/>
      <w:pPr>
        <w:ind w:left="4746" w:hanging="180"/>
      </w:pPr>
      <w:rPr>
        <w:rFonts w:cs="Times New Roman"/>
      </w:rPr>
    </w:lvl>
    <w:lvl w:ilvl="6" w:tplc="041D000F" w:tentative="1">
      <w:start w:val="1"/>
      <w:numFmt w:val="decimal"/>
      <w:lvlText w:val="%7."/>
      <w:lvlJc w:val="left"/>
      <w:pPr>
        <w:ind w:left="5466" w:hanging="360"/>
      </w:pPr>
      <w:rPr>
        <w:rFonts w:cs="Times New Roman"/>
      </w:rPr>
    </w:lvl>
    <w:lvl w:ilvl="7" w:tplc="041D0019" w:tentative="1">
      <w:start w:val="1"/>
      <w:numFmt w:val="lowerLetter"/>
      <w:lvlText w:val="%8."/>
      <w:lvlJc w:val="left"/>
      <w:pPr>
        <w:ind w:left="6186" w:hanging="360"/>
      </w:pPr>
      <w:rPr>
        <w:rFonts w:cs="Times New Roman"/>
      </w:rPr>
    </w:lvl>
    <w:lvl w:ilvl="8" w:tplc="041D001B" w:tentative="1">
      <w:start w:val="1"/>
      <w:numFmt w:val="lowerRoman"/>
      <w:lvlText w:val="%9."/>
      <w:lvlJc w:val="right"/>
      <w:pPr>
        <w:ind w:left="6906" w:hanging="180"/>
      </w:pPr>
      <w:rPr>
        <w:rFonts w:cs="Times New Roman"/>
      </w:rPr>
    </w:lvl>
  </w:abstractNum>
  <w:abstractNum w:abstractNumId="1">
    <w:nsid w:val="04305BDF"/>
    <w:multiLevelType w:val="hybridMultilevel"/>
    <w:tmpl w:val="70E21DE0"/>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2">
    <w:nsid w:val="05EE3A8F"/>
    <w:multiLevelType w:val="hybridMultilevel"/>
    <w:tmpl w:val="7AAEEE64"/>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1139791D"/>
    <w:multiLevelType w:val="hybridMultilevel"/>
    <w:tmpl w:val="283ABA76"/>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4">
    <w:nsid w:val="1647585D"/>
    <w:multiLevelType w:val="hybridMultilevel"/>
    <w:tmpl w:val="43184038"/>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201C0010"/>
    <w:multiLevelType w:val="hybridMultilevel"/>
    <w:tmpl w:val="5EE625E4"/>
    <w:lvl w:ilvl="0" w:tplc="88ACA304">
      <w:start w:val="2013"/>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6F70AB3"/>
    <w:multiLevelType w:val="hybridMultilevel"/>
    <w:tmpl w:val="34C8392C"/>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7">
    <w:nsid w:val="27A82433"/>
    <w:multiLevelType w:val="hybridMultilevel"/>
    <w:tmpl w:val="0298E878"/>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8">
    <w:nsid w:val="28810B46"/>
    <w:multiLevelType w:val="hybridMultilevel"/>
    <w:tmpl w:val="48625174"/>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9">
    <w:nsid w:val="2ABF0BEC"/>
    <w:multiLevelType w:val="hybridMultilevel"/>
    <w:tmpl w:val="F9B05ACE"/>
    <w:lvl w:ilvl="0" w:tplc="2F3A3DFC">
      <w:start w:val="1"/>
      <w:numFmt w:val="decimal"/>
      <w:lvlText w:val="%1."/>
      <w:lvlJc w:val="left"/>
      <w:pPr>
        <w:ind w:left="1146" w:hanging="360"/>
      </w:pPr>
      <w:rPr>
        <w:rFonts w:cs="Times New Roman" w:hint="default"/>
      </w:rPr>
    </w:lvl>
    <w:lvl w:ilvl="1" w:tplc="041D0019" w:tentative="1">
      <w:start w:val="1"/>
      <w:numFmt w:val="lowerLetter"/>
      <w:lvlText w:val="%2."/>
      <w:lvlJc w:val="left"/>
      <w:pPr>
        <w:ind w:left="1866" w:hanging="360"/>
      </w:pPr>
      <w:rPr>
        <w:rFonts w:cs="Times New Roman"/>
      </w:rPr>
    </w:lvl>
    <w:lvl w:ilvl="2" w:tplc="041D001B" w:tentative="1">
      <w:start w:val="1"/>
      <w:numFmt w:val="lowerRoman"/>
      <w:lvlText w:val="%3."/>
      <w:lvlJc w:val="right"/>
      <w:pPr>
        <w:ind w:left="2586" w:hanging="180"/>
      </w:pPr>
      <w:rPr>
        <w:rFonts w:cs="Times New Roman"/>
      </w:rPr>
    </w:lvl>
    <w:lvl w:ilvl="3" w:tplc="041D000F" w:tentative="1">
      <w:start w:val="1"/>
      <w:numFmt w:val="decimal"/>
      <w:lvlText w:val="%4."/>
      <w:lvlJc w:val="left"/>
      <w:pPr>
        <w:ind w:left="3306" w:hanging="360"/>
      </w:pPr>
      <w:rPr>
        <w:rFonts w:cs="Times New Roman"/>
      </w:rPr>
    </w:lvl>
    <w:lvl w:ilvl="4" w:tplc="041D0019" w:tentative="1">
      <w:start w:val="1"/>
      <w:numFmt w:val="lowerLetter"/>
      <w:lvlText w:val="%5."/>
      <w:lvlJc w:val="left"/>
      <w:pPr>
        <w:ind w:left="4026" w:hanging="360"/>
      </w:pPr>
      <w:rPr>
        <w:rFonts w:cs="Times New Roman"/>
      </w:rPr>
    </w:lvl>
    <w:lvl w:ilvl="5" w:tplc="041D001B" w:tentative="1">
      <w:start w:val="1"/>
      <w:numFmt w:val="lowerRoman"/>
      <w:lvlText w:val="%6."/>
      <w:lvlJc w:val="right"/>
      <w:pPr>
        <w:ind w:left="4746" w:hanging="180"/>
      </w:pPr>
      <w:rPr>
        <w:rFonts w:cs="Times New Roman"/>
      </w:rPr>
    </w:lvl>
    <w:lvl w:ilvl="6" w:tplc="041D000F" w:tentative="1">
      <w:start w:val="1"/>
      <w:numFmt w:val="decimal"/>
      <w:lvlText w:val="%7."/>
      <w:lvlJc w:val="left"/>
      <w:pPr>
        <w:ind w:left="5466" w:hanging="360"/>
      </w:pPr>
      <w:rPr>
        <w:rFonts w:cs="Times New Roman"/>
      </w:rPr>
    </w:lvl>
    <w:lvl w:ilvl="7" w:tplc="041D0019" w:tentative="1">
      <w:start w:val="1"/>
      <w:numFmt w:val="lowerLetter"/>
      <w:lvlText w:val="%8."/>
      <w:lvlJc w:val="left"/>
      <w:pPr>
        <w:ind w:left="6186" w:hanging="360"/>
      </w:pPr>
      <w:rPr>
        <w:rFonts w:cs="Times New Roman"/>
      </w:rPr>
    </w:lvl>
    <w:lvl w:ilvl="8" w:tplc="041D001B" w:tentative="1">
      <w:start w:val="1"/>
      <w:numFmt w:val="lowerRoman"/>
      <w:lvlText w:val="%9."/>
      <w:lvlJc w:val="right"/>
      <w:pPr>
        <w:ind w:left="6906" w:hanging="180"/>
      </w:pPr>
      <w:rPr>
        <w:rFonts w:cs="Times New Roman"/>
      </w:rPr>
    </w:lvl>
  </w:abstractNum>
  <w:abstractNum w:abstractNumId="10">
    <w:nsid w:val="2C707CD2"/>
    <w:multiLevelType w:val="hybridMultilevel"/>
    <w:tmpl w:val="B498BB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0531472"/>
    <w:multiLevelType w:val="hybridMultilevel"/>
    <w:tmpl w:val="2C923FFA"/>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2">
    <w:nsid w:val="31083D2F"/>
    <w:multiLevelType w:val="hybridMultilevel"/>
    <w:tmpl w:val="59429C9A"/>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3">
    <w:nsid w:val="36675B7E"/>
    <w:multiLevelType w:val="hybridMultilevel"/>
    <w:tmpl w:val="92C61D4E"/>
    <w:lvl w:ilvl="0" w:tplc="2F3A3DFC">
      <w:start w:val="1"/>
      <w:numFmt w:val="decimal"/>
      <w:lvlText w:val="%1."/>
      <w:lvlJc w:val="left"/>
      <w:pPr>
        <w:ind w:left="1080" w:hanging="36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4">
    <w:nsid w:val="453C61CF"/>
    <w:multiLevelType w:val="hybridMultilevel"/>
    <w:tmpl w:val="1CD6A6FE"/>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5">
    <w:nsid w:val="47F12778"/>
    <w:multiLevelType w:val="hybridMultilevel"/>
    <w:tmpl w:val="F6F26552"/>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6">
    <w:nsid w:val="4818751D"/>
    <w:multiLevelType w:val="hybridMultilevel"/>
    <w:tmpl w:val="6DE692F2"/>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7">
    <w:nsid w:val="491A4049"/>
    <w:multiLevelType w:val="hybridMultilevel"/>
    <w:tmpl w:val="2222D2DA"/>
    <w:lvl w:ilvl="0" w:tplc="2F3A3DFC">
      <w:start w:val="1"/>
      <w:numFmt w:val="decimal"/>
      <w:lvlText w:val="%1."/>
      <w:lvlJc w:val="left"/>
      <w:pPr>
        <w:ind w:left="1800" w:hanging="1440"/>
      </w:pPr>
      <w:rPr>
        <w:rFonts w:cs="Times New Roman" w:hint="default"/>
      </w:rPr>
    </w:lvl>
    <w:lvl w:ilvl="1" w:tplc="B450DE6E">
      <w:numFmt w:val="bullet"/>
      <w:lvlText w:val="-"/>
      <w:lvlJc w:val="left"/>
      <w:pPr>
        <w:ind w:left="1440" w:hanging="360"/>
      </w:pPr>
      <w:rPr>
        <w:rFonts w:ascii="OrigGarmnd BT" w:eastAsia="Times New Roman" w:hAnsi="OrigGarmnd BT" w:hint="default"/>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8">
    <w:nsid w:val="4BEE38C9"/>
    <w:multiLevelType w:val="hybridMultilevel"/>
    <w:tmpl w:val="BED814BC"/>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9">
    <w:nsid w:val="4CFE7B0F"/>
    <w:multiLevelType w:val="hybridMultilevel"/>
    <w:tmpl w:val="D682F81E"/>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0">
    <w:nsid w:val="4D3F2D74"/>
    <w:multiLevelType w:val="hybridMultilevel"/>
    <w:tmpl w:val="E77ACA14"/>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1">
    <w:nsid w:val="4D7125B0"/>
    <w:multiLevelType w:val="hybridMultilevel"/>
    <w:tmpl w:val="0D7EF31E"/>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2">
    <w:nsid w:val="5B3835E4"/>
    <w:multiLevelType w:val="hybridMultilevel"/>
    <w:tmpl w:val="33C809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61BE76BD"/>
    <w:multiLevelType w:val="hybridMultilevel"/>
    <w:tmpl w:val="10944466"/>
    <w:lvl w:ilvl="0" w:tplc="2F3A3DFC">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4">
    <w:nsid w:val="6DD259B3"/>
    <w:multiLevelType w:val="hybridMultilevel"/>
    <w:tmpl w:val="E9700D0C"/>
    <w:lvl w:ilvl="0" w:tplc="2F3A3DFC">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5">
    <w:nsid w:val="70006D1A"/>
    <w:multiLevelType w:val="hybridMultilevel"/>
    <w:tmpl w:val="BED814BC"/>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6">
    <w:nsid w:val="708E3CEC"/>
    <w:multiLevelType w:val="hybridMultilevel"/>
    <w:tmpl w:val="10E8138E"/>
    <w:lvl w:ilvl="0" w:tplc="A46C4C56">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79A75354"/>
    <w:multiLevelType w:val="hybridMultilevel"/>
    <w:tmpl w:val="1A3CC486"/>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8">
    <w:nsid w:val="7F7576F0"/>
    <w:multiLevelType w:val="hybridMultilevel"/>
    <w:tmpl w:val="5052E994"/>
    <w:lvl w:ilvl="0" w:tplc="041D000F">
      <w:start w:val="1"/>
      <w:numFmt w:val="decimal"/>
      <w:lvlText w:val="%1."/>
      <w:lvlJc w:val="left"/>
      <w:pPr>
        <w:tabs>
          <w:tab w:val="num" w:pos="720"/>
        </w:tabs>
        <w:ind w:left="720" w:hanging="36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8"/>
  </w:num>
  <w:num w:numId="3">
    <w:abstractNumId w:val="4"/>
  </w:num>
  <w:num w:numId="4">
    <w:abstractNumId w:val="25"/>
  </w:num>
  <w:num w:numId="5">
    <w:abstractNumId w:val="3"/>
  </w:num>
  <w:num w:numId="6">
    <w:abstractNumId w:val="17"/>
  </w:num>
  <w:num w:numId="7">
    <w:abstractNumId w:val="12"/>
  </w:num>
  <w:num w:numId="8">
    <w:abstractNumId w:val="22"/>
  </w:num>
  <w:num w:numId="9">
    <w:abstractNumId w:val="26"/>
  </w:num>
  <w:num w:numId="10">
    <w:abstractNumId w:val="28"/>
  </w:num>
  <w:num w:numId="11">
    <w:abstractNumId w:val="5"/>
  </w:num>
  <w:num w:numId="12">
    <w:abstractNumId w:val="2"/>
  </w:num>
  <w:num w:numId="13">
    <w:abstractNumId w:val="6"/>
  </w:num>
  <w:num w:numId="14">
    <w:abstractNumId w:val="20"/>
  </w:num>
  <w:num w:numId="15">
    <w:abstractNumId w:val="21"/>
  </w:num>
  <w:num w:numId="16">
    <w:abstractNumId w:val="19"/>
  </w:num>
  <w:num w:numId="17">
    <w:abstractNumId w:val="16"/>
  </w:num>
  <w:num w:numId="18">
    <w:abstractNumId w:val="11"/>
  </w:num>
  <w:num w:numId="19">
    <w:abstractNumId w:val="1"/>
  </w:num>
  <w:num w:numId="20">
    <w:abstractNumId w:val="14"/>
  </w:num>
  <w:num w:numId="21">
    <w:abstractNumId w:val="8"/>
  </w:num>
  <w:num w:numId="22">
    <w:abstractNumId w:val="13"/>
  </w:num>
  <w:num w:numId="23">
    <w:abstractNumId w:val="9"/>
  </w:num>
  <w:num w:numId="24">
    <w:abstractNumId w:val="0"/>
  </w:num>
  <w:num w:numId="25">
    <w:abstractNumId w:val="23"/>
  </w:num>
  <w:num w:numId="26">
    <w:abstractNumId w:val="24"/>
  </w:num>
  <w:num w:numId="27">
    <w:abstractNumId w:val="27"/>
  </w:num>
  <w:num w:numId="28">
    <w:abstractNumId w:val="15"/>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001"/>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2"/>
    <w:docVar w:name="docDep" w:val="6"/>
    <w:docVar w:name="docSprak" w:val="0"/>
  </w:docVars>
  <w:rsids>
    <w:rsidRoot w:val="00005077"/>
    <w:rsid w:val="00005077"/>
    <w:rsid w:val="00007EB3"/>
    <w:rsid w:val="00013C04"/>
    <w:rsid w:val="00075F57"/>
    <w:rsid w:val="0008297A"/>
    <w:rsid w:val="000F7AC5"/>
    <w:rsid w:val="00111D68"/>
    <w:rsid w:val="00123975"/>
    <w:rsid w:val="00123D08"/>
    <w:rsid w:val="00125C5F"/>
    <w:rsid w:val="00150384"/>
    <w:rsid w:val="001566AF"/>
    <w:rsid w:val="001805B7"/>
    <w:rsid w:val="001B424E"/>
    <w:rsid w:val="001F2C5E"/>
    <w:rsid w:val="00225012"/>
    <w:rsid w:val="002312E4"/>
    <w:rsid w:val="002361F7"/>
    <w:rsid w:val="002448BC"/>
    <w:rsid w:val="0026525F"/>
    <w:rsid w:val="00265730"/>
    <w:rsid w:val="0028134B"/>
    <w:rsid w:val="002822B6"/>
    <w:rsid w:val="00333AC5"/>
    <w:rsid w:val="00341667"/>
    <w:rsid w:val="003B1B51"/>
    <w:rsid w:val="003E3B33"/>
    <w:rsid w:val="003F6BFA"/>
    <w:rsid w:val="00405396"/>
    <w:rsid w:val="00425952"/>
    <w:rsid w:val="00440086"/>
    <w:rsid w:val="00441071"/>
    <w:rsid w:val="00451C5D"/>
    <w:rsid w:val="00452748"/>
    <w:rsid w:val="004A328D"/>
    <w:rsid w:val="004D35CA"/>
    <w:rsid w:val="0050771B"/>
    <w:rsid w:val="005351D5"/>
    <w:rsid w:val="00545C07"/>
    <w:rsid w:val="0058762B"/>
    <w:rsid w:val="00590AB7"/>
    <w:rsid w:val="005A065B"/>
    <w:rsid w:val="005B6466"/>
    <w:rsid w:val="005C081F"/>
    <w:rsid w:val="005E3E96"/>
    <w:rsid w:val="00603DD1"/>
    <w:rsid w:val="00640893"/>
    <w:rsid w:val="00653027"/>
    <w:rsid w:val="00670E1E"/>
    <w:rsid w:val="00680E75"/>
    <w:rsid w:val="00690219"/>
    <w:rsid w:val="006E4E11"/>
    <w:rsid w:val="007242A3"/>
    <w:rsid w:val="007355DE"/>
    <w:rsid w:val="007364B8"/>
    <w:rsid w:val="00761BFC"/>
    <w:rsid w:val="00785E35"/>
    <w:rsid w:val="00795888"/>
    <w:rsid w:val="007A6855"/>
    <w:rsid w:val="007B3C64"/>
    <w:rsid w:val="00810DC4"/>
    <w:rsid w:val="008261F1"/>
    <w:rsid w:val="00856A83"/>
    <w:rsid w:val="00857B70"/>
    <w:rsid w:val="00873303"/>
    <w:rsid w:val="00883D19"/>
    <w:rsid w:val="0089288D"/>
    <w:rsid w:val="008C309C"/>
    <w:rsid w:val="00907CC4"/>
    <w:rsid w:val="0095715B"/>
    <w:rsid w:val="00971052"/>
    <w:rsid w:val="0099679A"/>
    <w:rsid w:val="009972E5"/>
    <w:rsid w:val="009B4B9F"/>
    <w:rsid w:val="009F5874"/>
    <w:rsid w:val="00A33BCE"/>
    <w:rsid w:val="00A93C5B"/>
    <w:rsid w:val="00A96572"/>
    <w:rsid w:val="00AF473C"/>
    <w:rsid w:val="00B145B9"/>
    <w:rsid w:val="00B40850"/>
    <w:rsid w:val="00B52320"/>
    <w:rsid w:val="00B70631"/>
    <w:rsid w:val="00B8409A"/>
    <w:rsid w:val="00BC554D"/>
    <w:rsid w:val="00BD2B38"/>
    <w:rsid w:val="00BD5B87"/>
    <w:rsid w:val="00C01B31"/>
    <w:rsid w:val="00C1707D"/>
    <w:rsid w:val="00C23F38"/>
    <w:rsid w:val="00C44696"/>
    <w:rsid w:val="00C47ECF"/>
    <w:rsid w:val="00C73B64"/>
    <w:rsid w:val="00C806CE"/>
    <w:rsid w:val="00CB42EA"/>
    <w:rsid w:val="00CB7489"/>
    <w:rsid w:val="00CF2334"/>
    <w:rsid w:val="00CF5630"/>
    <w:rsid w:val="00D031B7"/>
    <w:rsid w:val="00D133D7"/>
    <w:rsid w:val="00D2677F"/>
    <w:rsid w:val="00D53296"/>
    <w:rsid w:val="00DC381B"/>
    <w:rsid w:val="00E83A49"/>
    <w:rsid w:val="00EA4FFE"/>
    <w:rsid w:val="00EB2B1C"/>
    <w:rsid w:val="00EB7D5A"/>
    <w:rsid w:val="00EC25F9"/>
    <w:rsid w:val="00EC5A21"/>
    <w:rsid w:val="00ED583F"/>
    <w:rsid w:val="00ED6943"/>
    <w:rsid w:val="00EE1C2B"/>
    <w:rsid w:val="00EF6D83"/>
    <w:rsid w:val="00F31507"/>
    <w:rsid w:val="00F552C2"/>
    <w:rsid w:val="00FC1F4B"/>
    <w:rsid w:val="00FC6512"/>
    <w:rsid w:val="00FF045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FFE"/>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EA4FFE"/>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40850"/>
    <w:pPr>
      <w:spacing w:before="360" w:after="0"/>
      <w:outlineLvl w:val="1"/>
    </w:pPr>
  </w:style>
  <w:style w:type="paragraph" w:styleId="Heading3">
    <w:name w:val="heading 3"/>
    <w:basedOn w:val="Heading2"/>
    <w:next w:val="RKnormal"/>
    <w:link w:val="Heading3Char"/>
    <w:uiPriority w:val="99"/>
    <w:qFormat/>
    <w:rsid w:val="00EA4FFE"/>
    <w:pPr>
      <w:spacing w:after="120" w:line="240" w:lineRule="atLeast"/>
      <w:outlineLvl w:val="2"/>
    </w:pPr>
    <w:rPr>
      <w:b w:val="0"/>
    </w:rPr>
  </w:style>
  <w:style w:type="paragraph" w:styleId="Heading4">
    <w:name w:val="heading 4"/>
    <w:basedOn w:val="Heading3"/>
    <w:next w:val="RKnormal"/>
    <w:link w:val="Heading4Char"/>
    <w:uiPriority w:val="99"/>
    <w:qFormat/>
    <w:rsid w:val="00B40850"/>
    <w:pPr>
      <w:spacing w:before="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62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6F2627"/>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6F2627"/>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6F2627"/>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EA4FF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EA4FFE"/>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6F2627"/>
    <w:rPr>
      <w:rFonts w:ascii="OrigGarmnd BT" w:hAnsi="OrigGarmnd BT"/>
      <w:sz w:val="24"/>
      <w:szCs w:val="20"/>
      <w:lang w:eastAsia="en-US"/>
    </w:rPr>
  </w:style>
  <w:style w:type="paragraph" w:styleId="Header">
    <w:name w:val="header"/>
    <w:basedOn w:val="Normal"/>
    <w:link w:val="HeaderChar"/>
    <w:uiPriority w:val="99"/>
    <w:rsid w:val="00EA4FFE"/>
    <w:pPr>
      <w:tabs>
        <w:tab w:val="center" w:pos="4153"/>
        <w:tab w:val="right" w:pos="8306"/>
      </w:tabs>
    </w:pPr>
  </w:style>
  <w:style w:type="character" w:customStyle="1" w:styleId="HeaderChar">
    <w:name w:val="Header Char"/>
    <w:basedOn w:val="DefaultParagraphFont"/>
    <w:link w:val="Header"/>
    <w:uiPriority w:val="99"/>
    <w:semiHidden/>
    <w:rsid w:val="006F2627"/>
    <w:rPr>
      <w:rFonts w:ascii="OrigGarmnd BT" w:hAnsi="OrigGarmnd BT"/>
      <w:sz w:val="24"/>
      <w:szCs w:val="20"/>
      <w:lang w:eastAsia="en-US"/>
    </w:rPr>
  </w:style>
  <w:style w:type="paragraph" w:customStyle="1" w:styleId="RKnormal">
    <w:name w:val="RKnormal"/>
    <w:basedOn w:val="Normal"/>
    <w:link w:val="RKnormalChar"/>
    <w:uiPriority w:val="99"/>
    <w:rsid w:val="00EA4FFE"/>
    <w:pPr>
      <w:tabs>
        <w:tab w:val="left" w:pos="2835"/>
      </w:tabs>
      <w:spacing w:line="240" w:lineRule="atLeast"/>
    </w:pPr>
  </w:style>
  <w:style w:type="paragraph" w:customStyle="1" w:styleId="RKrubrik">
    <w:name w:val="RKrubrik"/>
    <w:basedOn w:val="RKnormal"/>
    <w:next w:val="RKnormal"/>
    <w:uiPriority w:val="99"/>
    <w:rsid w:val="00EA4FFE"/>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EA4FFE"/>
    <w:rPr>
      <w:rFonts w:cs="Times New Roman"/>
    </w:rPr>
  </w:style>
  <w:style w:type="character" w:styleId="Strong">
    <w:name w:val="Strong"/>
    <w:basedOn w:val="DefaultParagraphFont"/>
    <w:uiPriority w:val="99"/>
    <w:qFormat/>
    <w:rsid w:val="00B40850"/>
    <w:rPr>
      <w:rFonts w:cs="Times New Roman"/>
      <w:b/>
    </w:rPr>
  </w:style>
  <w:style w:type="paragraph" w:styleId="BalloonText">
    <w:name w:val="Balloon Text"/>
    <w:basedOn w:val="Normal"/>
    <w:link w:val="BalloonTextChar"/>
    <w:uiPriority w:val="99"/>
    <w:rsid w:val="009B4B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9B4B9F"/>
    <w:rPr>
      <w:rFonts w:ascii="Tahoma" w:hAnsi="Tahoma" w:cs="Tahoma"/>
      <w:sz w:val="16"/>
      <w:szCs w:val="16"/>
      <w:lang w:eastAsia="en-US"/>
    </w:rPr>
  </w:style>
  <w:style w:type="character" w:customStyle="1" w:styleId="RKnormalChar">
    <w:name w:val="RKnormal Char"/>
    <w:link w:val="RKnormal"/>
    <w:uiPriority w:val="99"/>
    <w:locked/>
    <w:rsid w:val="00C73B64"/>
    <w:rPr>
      <w:rFonts w:ascii="OrigGarmnd BT" w:hAnsi="OrigGarmnd BT"/>
      <w:sz w:val="24"/>
      <w:lang w:eastAsia="en-US"/>
    </w:rPr>
  </w:style>
  <w:style w:type="paragraph" w:styleId="NormalIndent">
    <w:name w:val="Normal Indent"/>
    <w:basedOn w:val="Normal"/>
    <w:uiPriority w:val="99"/>
    <w:rsid w:val="003F6BFA"/>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ListParagraph">
    <w:name w:val="List Paragraph"/>
    <w:basedOn w:val="Normal"/>
    <w:uiPriority w:val="99"/>
    <w:qFormat/>
    <w:rsid w:val="003F6BFA"/>
    <w:pPr>
      <w:ind w:left="720"/>
      <w:contextualSpacing/>
    </w:pPr>
  </w:style>
  <w:style w:type="paragraph" w:customStyle="1" w:styleId="Default">
    <w:name w:val="Default"/>
    <w:uiPriority w:val="99"/>
    <w:rsid w:val="00007EB3"/>
    <w:pPr>
      <w:autoSpaceDE w:val="0"/>
      <w:autoSpaceDN w:val="0"/>
      <w:adjustRightInd w:val="0"/>
    </w:pPr>
    <w:rPr>
      <w:rFonts w:ascii="OrigGarmnd BT" w:hAnsi="OrigGarmnd BT" w:cs="OrigGarmnd BT"/>
      <w:color w:val="000000"/>
      <w:sz w:val="24"/>
      <w:szCs w:val="24"/>
    </w:rPr>
  </w:style>
  <w:style w:type="character" w:customStyle="1" w:styleId="hps">
    <w:name w:val="hps"/>
    <w:basedOn w:val="DefaultParagraphFont"/>
    <w:uiPriority w:val="99"/>
    <w:rsid w:val="00007EB3"/>
    <w:rPr>
      <w:rFonts w:cs="Times New Roman"/>
    </w:rPr>
  </w:style>
</w:styles>
</file>

<file path=word/webSettings.xml><?xml version="1.0" encoding="utf-8"?>
<w:webSettings xmlns:r="http://schemas.openxmlformats.org/officeDocument/2006/relationships" xmlns:w="http://schemas.openxmlformats.org/wordprocessingml/2006/main">
  <w:divs>
    <w:div w:id="1803648471">
      <w:marLeft w:val="0"/>
      <w:marRight w:val="0"/>
      <w:marTop w:val="0"/>
      <w:marBottom w:val="0"/>
      <w:divBdr>
        <w:top w:val="none" w:sz="0" w:space="0" w:color="auto"/>
        <w:left w:val="none" w:sz="0" w:space="0" w:color="auto"/>
        <w:bottom w:val="none" w:sz="0" w:space="0" w:color="auto"/>
        <w:right w:val="none" w:sz="0" w:space="0" w:color="auto"/>
      </w:divBdr>
    </w:div>
    <w:div w:id="1803648472">
      <w:marLeft w:val="0"/>
      <w:marRight w:val="0"/>
      <w:marTop w:val="0"/>
      <w:marBottom w:val="0"/>
      <w:divBdr>
        <w:top w:val="none" w:sz="0" w:space="0" w:color="auto"/>
        <w:left w:val="none" w:sz="0" w:space="0" w:color="auto"/>
        <w:bottom w:val="none" w:sz="0" w:space="0" w:color="auto"/>
        <w:right w:val="none" w:sz="0" w:space="0" w:color="auto"/>
      </w:divBdr>
    </w:div>
    <w:div w:id="1803648473">
      <w:marLeft w:val="0"/>
      <w:marRight w:val="0"/>
      <w:marTop w:val="0"/>
      <w:marBottom w:val="0"/>
      <w:divBdr>
        <w:top w:val="none" w:sz="0" w:space="0" w:color="auto"/>
        <w:left w:val="none" w:sz="0" w:space="0" w:color="auto"/>
        <w:bottom w:val="none" w:sz="0" w:space="0" w:color="auto"/>
        <w:right w:val="none" w:sz="0" w:space="0" w:color="auto"/>
      </w:divBdr>
    </w:div>
    <w:div w:id="18036484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2293</Words>
  <Characters>14862</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Emil Antonsson</dc:creator>
  <cp:keywords/>
  <dc:description/>
  <cp:lastModifiedBy>jb0525aa</cp:lastModifiedBy>
  <cp:revision>2</cp:revision>
  <cp:lastPrinted>2013-02-25T12:15:00Z</cp:lastPrinted>
  <dcterms:created xsi:type="dcterms:W3CDTF">2013-02-25T12:16:00Z</dcterms:created>
  <dcterms:modified xsi:type="dcterms:W3CDTF">2013-02-25T12:16:00Z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0x01010053E1D612BA3F4E21AA250ECD751942B30007066CD283236A4C80B9E4798741B7C6</vt:lpwstr>
  </property>
  <property fmtid="{D5CDD505-2E9C-101B-9397-08002B2CF9AE}" pid="6" name="Departementsenhet">
    <vt:lpwstr>1;#Finansdepartementet|0b2f41b1-db50-472c-80a1-d21b0254fb2b</vt:lpwstr>
  </property>
  <property fmtid="{D5CDD505-2E9C-101B-9397-08002B2CF9AE}" pid="7" name="Aktivitetskategori">
    <vt:lpwstr>17;#4.1.2. Rådsarbete|1af30613-4dfb-4481-b80b-5c962e3e508b</vt:lpwstr>
  </property>
  <property fmtid="{D5CDD505-2E9C-101B-9397-08002B2CF9AE}" pid="8" name="_dlc_DocIdItemGuid">
    <vt:lpwstr>cf5cacc1-c06a-419b-ace7-9e6f1bc11030</vt:lpwstr>
  </property>
  <property fmtid="{D5CDD505-2E9C-101B-9397-08002B2CF9AE}" pid="9" name="TaxCatchAll">
    <vt:lpwstr>17;#;#1;#</vt:lpwstr>
  </property>
  <property fmtid="{D5CDD505-2E9C-101B-9397-08002B2CF9AE}" pid="10" name="Nyckelord">
    <vt:lpwstr/>
  </property>
  <property fmtid="{D5CDD505-2E9C-101B-9397-08002B2CF9AE}" pid="11" name="Diarienummer">
    <vt:lpwstr/>
  </property>
  <property fmtid="{D5CDD505-2E9C-101B-9397-08002B2CF9AE}" pid="12" name="p9288b129226400383b88cd27048369c">
    <vt:lpwstr>4.1.2. Rådsarbete1af30613-4dfb-4481-b80b-5c962e3e508b</vt:lpwstr>
  </property>
  <property fmtid="{D5CDD505-2E9C-101B-9397-08002B2CF9AE}" pid="13" name="ja01b8bc4bea4d6683c0d8279d494392">
    <vt:lpwstr>Finansdepartementet0b2f41b1-db50-472c-80a1-d21b0254fb2b</vt:lpwstr>
  </property>
  <property fmtid="{D5CDD505-2E9C-101B-9397-08002B2CF9AE}" pid="14" name="Sekretess m.m.">
    <vt:lpwstr/>
  </property>
  <property fmtid="{D5CDD505-2E9C-101B-9397-08002B2CF9AE}" pid="15" name="_dlc_DocId">
    <vt:lpwstr>M623RS5WZCRU-223-358</vt:lpwstr>
  </property>
  <property fmtid="{D5CDD505-2E9C-101B-9397-08002B2CF9AE}" pid="16" name="_dlc_DocIdUrl">
    <vt:lpwstr>http://rkdhs-fi/ECOFIN/_layouts/DocIdRedir.aspx?ID=M623RS5WZCRU-223-358, M623RS5WZCRU-223-358</vt:lpwstr>
  </property>
</Properties>
</file>