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71E" w:rsidRPr="0061471E" w:rsidRDefault="0061471E">
      <w:pPr>
        <w:pStyle w:val="Rubrik1"/>
        <w:shd w:val="clear" w:color="000000" w:fill="auto"/>
      </w:pPr>
      <w:r w:rsidRPr="0061471E">
        <w:t>Sammanfattning</w:t>
      </w:r>
    </w:p>
    <w:p w:rsidR="0061471E" w:rsidRPr="0061471E" w:rsidRDefault="0061471E">
      <w:pPr>
        <w:shd w:val="clear" w:color="000000" w:fill="auto"/>
      </w:pPr>
      <w:r w:rsidRPr="0061471E">
        <w:t>Vänsterpartiet föreslår en stegvis höjning av garantipensionen för att stärka de fattigaste pensionärernas ekonomi. Vi genomför en höjning med 150 kr i månaden från 2010. Vi satsar också på en höjning av ersättningsnivån av bostadstillägget till 94 % 2010 och 95 % 2012. Vi föreslår därutöver att en sexprocentig uppräkning av pensionen för de tidigare ATP-pensionärer som fått försämrad pension genom den urholkning som skedde på 1990-talet ska genomföras och satsar 1,9 miljarder kronor för detta ändamål.</w:t>
      </w:r>
    </w:p>
    <w:p w:rsidR="0061471E" w:rsidRPr="0061471E" w:rsidRDefault="0061471E">
      <w:pPr>
        <w:pStyle w:val="Frslagsrubrik"/>
        <w:shd w:val="clear" w:color="000000" w:fill="auto"/>
      </w:pPr>
      <w:r w:rsidRPr="0061471E">
        <w:t>Förslag till riksdagsbeslut</w:t>
      </w:r>
    </w:p>
    <w:p w:rsidR="0061471E" w:rsidRPr="0061471E" w:rsidRDefault="0061471E">
      <w:pPr>
        <w:pStyle w:val="Hemstlatt"/>
        <w:shd w:val="clear" w:color="000000" w:fill="auto"/>
        <w:ind w:left="0"/>
      </w:pPr>
      <w:r w:rsidRPr="0061471E">
        <w:t>Riksdagen anvisar med följande ändringar i förhålla</w:t>
      </w:r>
      <w:r w:rsidRPr="0061471E">
        <w:t>n</w:t>
      </w:r>
      <w:r w:rsidRPr="0061471E">
        <w:t>de till regeringens förslag anslagen under utgiftsområde 11 Ekonomisk tryg</w:t>
      </w:r>
      <w:r w:rsidRPr="0061471E">
        <w:t>g</w:t>
      </w:r>
      <w:r w:rsidRPr="0061471E">
        <w:t>het vid ålderdom enligt uppställning:</w:t>
      </w:r>
    </w:p>
    <w:tbl>
      <w:tblPr>
        <w:tblW w:w="6067"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15"/>
        <w:gridCol w:w="2160"/>
        <w:gridCol w:w="1920"/>
        <w:gridCol w:w="1372"/>
      </w:tblGrid>
      <w:tr w:rsidR="00000000" w:rsidRPr="0061471E">
        <w:trPr>
          <w:trHeight w:val="420"/>
        </w:trPr>
        <w:tc>
          <w:tcPr>
            <w:tcW w:w="615" w:type="dxa"/>
            <w:tcBorders>
              <w:top w:val="single" w:sz="4" w:space="0" w:color="auto"/>
              <w:bottom w:val="single" w:sz="4" w:space="0" w:color="auto"/>
            </w:tcBorders>
            <w:vAlign w:val="bottom"/>
          </w:tcPr>
          <w:p w:rsidR="0061471E" w:rsidRPr="0061471E" w:rsidRDefault="0061471E">
            <w:pPr>
              <w:shd w:val="clear" w:color="000000" w:fill="auto"/>
              <w:spacing w:before="60" w:line="200" w:lineRule="exact"/>
              <w:rPr>
                <w:b/>
                <w:bCs/>
                <w:color w:val="000000"/>
                <w:sz w:val="16"/>
                <w:szCs w:val="16"/>
              </w:rPr>
            </w:pPr>
            <w:r w:rsidRPr="0061471E">
              <w:rPr>
                <w:b/>
                <w:bCs/>
                <w:color w:val="000000"/>
                <w:sz w:val="16"/>
                <w:szCs w:val="16"/>
              </w:rPr>
              <w:t>Anslag</w:t>
            </w:r>
          </w:p>
        </w:tc>
        <w:tc>
          <w:tcPr>
            <w:tcW w:w="2160" w:type="dxa"/>
            <w:tcBorders>
              <w:top w:val="single" w:sz="4" w:space="0" w:color="auto"/>
              <w:bottom w:val="single" w:sz="4" w:space="0" w:color="auto"/>
            </w:tcBorders>
            <w:vAlign w:val="bottom"/>
          </w:tcPr>
          <w:p w:rsidR="0061471E" w:rsidRPr="0061471E" w:rsidRDefault="0061471E">
            <w:pPr>
              <w:shd w:val="clear" w:color="000000" w:fill="auto"/>
              <w:spacing w:before="60" w:line="200" w:lineRule="exact"/>
              <w:rPr>
                <w:b/>
                <w:bCs/>
                <w:color w:val="000000"/>
                <w:sz w:val="16"/>
                <w:szCs w:val="16"/>
              </w:rPr>
            </w:pPr>
          </w:p>
        </w:tc>
        <w:tc>
          <w:tcPr>
            <w:tcW w:w="1920" w:type="dxa"/>
            <w:tcBorders>
              <w:top w:val="single" w:sz="4" w:space="0" w:color="auto"/>
              <w:bottom w:val="single" w:sz="4" w:space="0" w:color="auto"/>
            </w:tcBorders>
            <w:vAlign w:val="bottom"/>
          </w:tcPr>
          <w:p w:rsidR="0061471E" w:rsidRPr="0061471E" w:rsidRDefault="0061471E">
            <w:pPr>
              <w:shd w:val="clear" w:color="000000" w:fill="auto"/>
              <w:spacing w:before="60" w:line="200" w:lineRule="exact"/>
              <w:rPr>
                <w:b/>
                <w:bCs/>
                <w:color w:val="000000"/>
                <w:sz w:val="16"/>
                <w:szCs w:val="16"/>
              </w:rPr>
            </w:pPr>
            <w:r w:rsidRPr="0061471E">
              <w:rPr>
                <w:b/>
                <w:bCs/>
                <w:color w:val="000000"/>
                <w:sz w:val="16"/>
                <w:szCs w:val="16"/>
              </w:rPr>
              <w:t>Regeringens förslag (tkr)</w:t>
            </w:r>
          </w:p>
        </w:tc>
        <w:tc>
          <w:tcPr>
            <w:tcW w:w="1372" w:type="dxa"/>
            <w:tcBorders>
              <w:top w:val="single" w:sz="4" w:space="0" w:color="auto"/>
              <w:bottom w:val="single" w:sz="4" w:space="0" w:color="auto"/>
            </w:tcBorders>
            <w:vAlign w:val="bottom"/>
          </w:tcPr>
          <w:p w:rsidR="0061471E" w:rsidRPr="0061471E" w:rsidRDefault="0061471E">
            <w:pPr>
              <w:shd w:val="clear" w:color="000000" w:fill="auto"/>
              <w:spacing w:before="60" w:line="200" w:lineRule="exact"/>
              <w:jc w:val="right"/>
              <w:rPr>
                <w:b/>
                <w:bCs/>
                <w:color w:val="000000"/>
                <w:sz w:val="16"/>
                <w:szCs w:val="16"/>
              </w:rPr>
            </w:pPr>
            <w:r w:rsidRPr="0061471E">
              <w:rPr>
                <w:b/>
                <w:bCs/>
                <w:color w:val="000000"/>
                <w:sz w:val="16"/>
                <w:szCs w:val="16"/>
              </w:rPr>
              <w:t>Förändring (tkr)</w:t>
            </w:r>
          </w:p>
        </w:tc>
      </w:tr>
      <w:tr w:rsidR="00000000" w:rsidRPr="0061471E">
        <w:trPr>
          <w:trHeight w:val="319"/>
        </w:trPr>
        <w:tc>
          <w:tcPr>
            <w:tcW w:w="615" w:type="dxa"/>
            <w:tcBorders>
              <w:top w:val="single" w:sz="4" w:space="0" w:color="auto"/>
            </w:tcBorders>
          </w:tcPr>
          <w:p w:rsidR="0061471E" w:rsidRPr="0061471E" w:rsidRDefault="0061471E">
            <w:pPr>
              <w:shd w:val="clear" w:color="000000" w:fill="auto"/>
              <w:spacing w:before="60" w:line="200" w:lineRule="exact"/>
              <w:rPr>
                <w:color w:val="000000"/>
                <w:sz w:val="16"/>
                <w:szCs w:val="16"/>
              </w:rPr>
            </w:pPr>
            <w:r w:rsidRPr="0061471E">
              <w:rPr>
                <w:color w:val="000000"/>
                <w:sz w:val="16"/>
                <w:szCs w:val="16"/>
              </w:rPr>
              <w:t>1:1</w:t>
            </w:r>
          </w:p>
        </w:tc>
        <w:tc>
          <w:tcPr>
            <w:tcW w:w="2160" w:type="dxa"/>
            <w:tcBorders>
              <w:top w:val="single" w:sz="4" w:space="0" w:color="auto"/>
            </w:tcBorders>
            <w:vAlign w:val="bottom"/>
          </w:tcPr>
          <w:p w:rsidR="0061471E" w:rsidRPr="0061471E" w:rsidRDefault="0061471E">
            <w:pPr>
              <w:shd w:val="clear" w:color="000000" w:fill="auto"/>
              <w:spacing w:before="60" w:line="200" w:lineRule="exact"/>
              <w:rPr>
                <w:color w:val="000000"/>
                <w:sz w:val="16"/>
                <w:szCs w:val="16"/>
              </w:rPr>
            </w:pPr>
            <w:r w:rsidRPr="0061471E">
              <w:rPr>
                <w:color w:val="000000"/>
                <w:sz w:val="16"/>
                <w:szCs w:val="16"/>
              </w:rPr>
              <w:t>Garantipension till ålderspe</w:t>
            </w:r>
            <w:r w:rsidRPr="0061471E">
              <w:rPr>
                <w:color w:val="000000"/>
                <w:sz w:val="16"/>
                <w:szCs w:val="16"/>
              </w:rPr>
              <w:t>n</w:t>
            </w:r>
            <w:r w:rsidRPr="0061471E">
              <w:rPr>
                <w:color w:val="000000"/>
                <w:sz w:val="16"/>
                <w:szCs w:val="16"/>
              </w:rPr>
              <w:t>sion</w:t>
            </w:r>
          </w:p>
        </w:tc>
        <w:tc>
          <w:tcPr>
            <w:tcW w:w="1920" w:type="dxa"/>
            <w:tcBorders>
              <w:top w:val="single" w:sz="4" w:space="0" w:color="auto"/>
            </w:tcBorders>
            <w:vAlign w:val="bottom"/>
          </w:tcPr>
          <w:p w:rsidR="0061471E" w:rsidRPr="0061471E" w:rsidRDefault="0061471E">
            <w:pPr>
              <w:shd w:val="clear" w:color="000000" w:fill="auto"/>
              <w:spacing w:before="60" w:line="200" w:lineRule="exact"/>
              <w:ind w:right="410"/>
              <w:jc w:val="right"/>
              <w:rPr>
                <w:color w:val="000000"/>
                <w:sz w:val="16"/>
                <w:szCs w:val="16"/>
              </w:rPr>
            </w:pPr>
            <w:r w:rsidRPr="0061471E">
              <w:rPr>
                <w:color w:val="000000"/>
                <w:sz w:val="16"/>
                <w:szCs w:val="16"/>
              </w:rPr>
              <w:t>18 147 000</w:t>
            </w:r>
          </w:p>
        </w:tc>
        <w:tc>
          <w:tcPr>
            <w:tcW w:w="1372" w:type="dxa"/>
            <w:tcBorders>
              <w:top w:val="single" w:sz="4" w:space="0" w:color="auto"/>
            </w:tcBorders>
            <w:vAlign w:val="bottom"/>
          </w:tcPr>
          <w:p w:rsidR="0061471E" w:rsidRPr="0061471E" w:rsidRDefault="0061471E">
            <w:pPr>
              <w:shd w:val="clear" w:color="000000" w:fill="auto"/>
              <w:spacing w:before="60" w:line="200" w:lineRule="exact"/>
              <w:ind w:right="342"/>
              <w:jc w:val="right"/>
              <w:rPr>
                <w:color w:val="000000"/>
                <w:sz w:val="16"/>
                <w:szCs w:val="16"/>
              </w:rPr>
            </w:pPr>
            <w:r w:rsidRPr="0061471E">
              <w:rPr>
                <w:color w:val="000000"/>
                <w:sz w:val="16"/>
                <w:szCs w:val="16"/>
              </w:rPr>
              <w:t>1 800 000</w:t>
            </w:r>
          </w:p>
        </w:tc>
      </w:tr>
      <w:tr w:rsidR="00000000" w:rsidRPr="0061471E">
        <w:trPr>
          <w:trHeight w:val="319"/>
        </w:trPr>
        <w:tc>
          <w:tcPr>
            <w:tcW w:w="615" w:type="dxa"/>
            <w:vAlign w:val="bottom"/>
          </w:tcPr>
          <w:p w:rsidR="0061471E" w:rsidRPr="0061471E" w:rsidRDefault="0061471E">
            <w:pPr>
              <w:shd w:val="clear" w:color="000000" w:fill="auto"/>
              <w:spacing w:before="60" w:line="200" w:lineRule="exact"/>
              <w:rPr>
                <w:color w:val="000000"/>
                <w:sz w:val="16"/>
                <w:szCs w:val="16"/>
              </w:rPr>
            </w:pPr>
            <w:r w:rsidRPr="0061471E">
              <w:rPr>
                <w:color w:val="000000"/>
                <w:sz w:val="16"/>
                <w:szCs w:val="16"/>
              </w:rPr>
              <w:t>1:3</w:t>
            </w:r>
          </w:p>
        </w:tc>
        <w:tc>
          <w:tcPr>
            <w:tcW w:w="2160" w:type="dxa"/>
            <w:vAlign w:val="bottom"/>
          </w:tcPr>
          <w:p w:rsidR="0061471E" w:rsidRPr="0061471E" w:rsidRDefault="0061471E">
            <w:pPr>
              <w:shd w:val="clear" w:color="000000" w:fill="auto"/>
              <w:spacing w:before="60" w:line="200" w:lineRule="exact"/>
              <w:rPr>
                <w:color w:val="000000"/>
                <w:sz w:val="16"/>
                <w:szCs w:val="16"/>
              </w:rPr>
            </w:pPr>
            <w:r w:rsidRPr="0061471E">
              <w:rPr>
                <w:color w:val="000000"/>
                <w:sz w:val="16"/>
                <w:szCs w:val="16"/>
              </w:rPr>
              <w:t>Bostadstillägg till pensionärer</w:t>
            </w:r>
          </w:p>
        </w:tc>
        <w:tc>
          <w:tcPr>
            <w:tcW w:w="1920" w:type="dxa"/>
            <w:vAlign w:val="bottom"/>
          </w:tcPr>
          <w:p w:rsidR="0061471E" w:rsidRPr="0061471E" w:rsidRDefault="0061471E">
            <w:pPr>
              <w:shd w:val="clear" w:color="000000" w:fill="auto"/>
              <w:spacing w:before="60" w:line="200" w:lineRule="exact"/>
              <w:ind w:right="410"/>
              <w:jc w:val="right"/>
              <w:rPr>
                <w:color w:val="000000"/>
                <w:sz w:val="16"/>
                <w:szCs w:val="16"/>
              </w:rPr>
            </w:pPr>
            <w:r w:rsidRPr="0061471E">
              <w:rPr>
                <w:color w:val="000000"/>
                <w:sz w:val="16"/>
                <w:szCs w:val="16"/>
              </w:rPr>
              <w:t>7 304 000</w:t>
            </w:r>
          </w:p>
        </w:tc>
        <w:tc>
          <w:tcPr>
            <w:tcW w:w="1372" w:type="dxa"/>
            <w:vAlign w:val="bottom"/>
          </w:tcPr>
          <w:p w:rsidR="0061471E" w:rsidRPr="0061471E" w:rsidRDefault="0061471E">
            <w:pPr>
              <w:shd w:val="clear" w:color="000000" w:fill="auto"/>
              <w:spacing w:before="60" w:line="200" w:lineRule="exact"/>
              <w:ind w:right="342"/>
              <w:jc w:val="right"/>
              <w:rPr>
                <w:color w:val="000000"/>
                <w:sz w:val="16"/>
                <w:szCs w:val="16"/>
              </w:rPr>
            </w:pPr>
            <w:r w:rsidRPr="0061471E">
              <w:rPr>
                <w:color w:val="000000"/>
                <w:sz w:val="16"/>
                <w:szCs w:val="16"/>
              </w:rPr>
              <w:t>–300 000</w:t>
            </w:r>
          </w:p>
        </w:tc>
      </w:tr>
      <w:tr w:rsidR="00000000" w:rsidRPr="0061471E">
        <w:trPr>
          <w:trHeight w:val="319"/>
        </w:trPr>
        <w:tc>
          <w:tcPr>
            <w:tcW w:w="615" w:type="dxa"/>
            <w:vAlign w:val="bottom"/>
          </w:tcPr>
          <w:p w:rsidR="0061471E" w:rsidRPr="0061471E" w:rsidRDefault="0061471E">
            <w:pPr>
              <w:shd w:val="clear" w:color="000000" w:fill="auto"/>
              <w:spacing w:before="60" w:line="200" w:lineRule="exact"/>
              <w:rPr>
                <w:b/>
                <w:bCs/>
                <w:color w:val="000000"/>
                <w:sz w:val="16"/>
                <w:szCs w:val="16"/>
              </w:rPr>
            </w:pPr>
          </w:p>
        </w:tc>
        <w:tc>
          <w:tcPr>
            <w:tcW w:w="2160" w:type="dxa"/>
            <w:vAlign w:val="bottom"/>
          </w:tcPr>
          <w:p w:rsidR="0061471E" w:rsidRPr="0061471E" w:rsidRDefault="0061471E">
            <w:pPr>
              <w:shd w:val="clear" w:color="000000" w:fill="auto"/>
              <w:spacing w:before="60" w:line="200" w:lineRule="exact"/>
              <w:rPr>
                <w:b/>
                <w:bCs/>
                <w:color w:val="000000"/>
                <w:sz w:val="16"/>
                <w:szCs w:val="16"/>
              </w:rPr>
            </w:pPr>
            <w:r w:rsidRPr="0061471E">
              <w:rPr>
                <w:b/>
                <w:bCs/>
                <w:color w:val="000000"/>
                <w:sz w:val="16"/>
                <w:szCs w:val="16"/>
              </w:rPr>
              <w:t>Summa</w:t>
            </w:r>
          </w:p>
        </w:tc>
        <w:tc>
          <w:tcPr>
            <w:tcW w:w="1920" w:type="dxa"/>
            <w:vAlign w:val="bottom"/>
          </w:tcPr>
          <w:p w:rsidR="0061471E" w:rsidRPr="0061471E" w:rsidRDefault="0061471E">
            <w:pPr>
              <w:shd w:val="clear" w:color="000000" w:fill="auto"/>
              <w:spacing w:before="60" w:line="200" w:lineRule="exact"/>
              <w:ind w:right="410"/>
              <w:jc w:val="right"/>
              <w:rPr>
                <w:b/>
                <w:bCs/>
                <w:color w:val="000000"/>
                <w:sz w:val="16"/>
                <w:szCs w:val="16"/>
              </w:rPr>
            </w:pPr>
          </w:p>
        </w:tc>
        <w:tc>
          <w:tcPr>
            <w:tcW w:w="1372" w:type="dxa"/>
            <w:vAlign w:val="bottom"/>
          </w:tcPr>
          <w:p w:rsidR="0061471E" w:rsidRPr="0061471E" w:rsidRDefault="0061471E">
            <w:pPr>
              <w:shd w:val="clear" w:color="000000" w:fill="auto"/>
              <w:spacing w:before="60" w:line="200" w:lineRule="exact"/>
              <w:ind w:right="342"/>
              <w:jc w:val="right"/>
              <w:rPr>
                <w:b/>
                <w:bCs/>
                <w:color w:val="000000"/>
                <w:sz w:val="16"/>
                <w:szCs w:val="16"/>
              </w:rPr>
            </w:pPr>
            <w:r w:rsidRPr="0061471E">
              <w:rPr>
                <w:b/>
                <w:bCs/>
                <w:color w:val="000000"/>
                <w:sz w:val="16"/>
                <w:szCs w:val="16"/>
              </w:rPr>
              <w:t>1 500 000</w:t>
            </w:r>
          </w:p>
        </w:tc>
      </w:tr>
    </w:tbl>
    <w:p w:rsidR="0061471E" w:rsidRPr="0061471E" w:rsidRDefault="0061471E">
      <w:pPr>
        <w:shd w:val="clear" w:color="000000" w:fill="auto"/>
      </w:pPr>
    </w:p>
    <w:p w:rsidR="0061471E" w:rsidRPr="0061471E" w:rsidRDefault="0061471E">
      <w:pPr>
        <w:pStyle w:val="Rubrik1"/>
        <w:shd w:val="clear" w:color="000000" w:fill="auto"/>
      </w:pPr>
      <w:r w:rsidRPr="0061471E">
        <w:lastRenderedPageBreak/>
        <w:t>Återställande av tilläggspension för ATP-pensionärer</w:t>
      </w:r>
    </w:p>
    <w:p w:rsidR="0061471E" w:rsidRPr="0061471E" w:rsidRDefault="0061471E">
      <w:pPr>
        <w:shd w:val="clear" w:color="000000" w:fill="auto"/>
      </w:pPr>
      <w:r w:rsidRPr="0061471E">
        <w:t>Vi vill återställa beräkningsgrunden för de pensionärer som faktiskt fick en konkret sänkning av sin pension i och med saneringspolitiken under 1990</w:t>
      </w:r>
      <w:r w:rsidRPr="0061471E">
        <w:noBreakHyphen/>
        <w:t>talet. Det skulle innebära en uppräkning av tilläggspensionen för dessa pensionärer med ca 6 %. Detta krav drivs av bland andra Sveriges Pension</w:t>
      </w:r>
      <w:r w:rsidRPr="0061471E">
        <w:t>ä</w:t>
      </w:r>
      <w:r w:rsidRPr="0061471E">
        <w:t>rers Riksförbund (SPRF). Detta skulle innebära en satsning på att höja tilläggspensionen för de tidigare ATP-pensionärer som gick i pension 1990 eller tidigare och omfatta personer som är födda 1925 eller tidigare. Att höja pensionerna med 6 % för denna grupp skulle innebära en utgiftsökning för ålderspensionssystemet med 1 900 miljoner kronor 2010, 1 600 miljoner</w:t>
      </w:r>
      <w:r w:rsidRPr="0061471E">
        <w:t xml:space="preserve"> kronor 2011 och 1 300 miljoner kronor 2012. Nettokostnaden för offentlig sektor blir 1 100 miljoner kronor 2010 eftersom förslaget innebär ökade ska</w:t>
      </w:r>
      <w:r w:rsidRPr="0061471E">
        <w:t>t</w:t>
      </w:r>
      <w:r w:rsidRPr="0061471E">
        <w:t>teinkomster för kommunerna och minskade kostnader för bostadstillägg.</w:t>
      </w:r>
    </w:p>
    <w:p w:rsidR="0061471E" w:rsidRPr="0061471E" w:rsidRDefault="0061471E">
      <w:pPr>
        <w:pStyle w:val="Rubrik1"/>
        <w:shd w:val="clear" w:color="000000" w:fill="auto"/>
      </w:pPr>
      <w:r w:rsidRPr="0061471E">
        <w:t>1:1 Garantipension</w:t>
      </w:r>
    </w:p>
    <w:p w:rsidR="0061471E" w:rsidRPr="0061471E" w:rsidRDefault="0061471E">
      <w:pPr>
        <w:shd w:val="clear" w:color="000000" w:fill="auto"/>
      </w:pPr>
      <w:r w:rsidRPr="0061471E">
        <w:t>Den ekonomiska situationen för många äldre är problematisk. Vänsterpartiet föreslår därför en höjning av garantipensionen med 150 kr i månaden från och med 2010. Detta tillsammans med de förändringar som föreslås inom vår skattepolitik skulle göra betydande skillnad för de sämst ställda pensionäre</w:t>
      </w:r>
      <w:r w:rsidRPr="0061471E">
        <w:t>r</w:t>
      </w:r>
      <w:r w:rsidRPr="0061471E">
        <w:t xml:space="preserve">nas ekonomi. Vi föreslår en ökning av anslaget med 1 800 miljoner kronor 2010. </w:t>
      </w:r>
    </w:p>
    <w:p w:rsidR="0061471E" w:rsidRPr="0061471E" w:rsidRDefault="0061471E">
      <w:pPr>
        <w:pStyle w:val="Normaltindrag"/>
        <w:shd w:val="clear" w:color="000000" w:fill="auto"/>
      </w:pPr>
      <w:r w:rsidRPr="0061471E">
        <w:t>Detta innebär dock att en minskning kan göras av utgifterna för bostadstillägg för pensionärer med 500 miljoner kronor 2010.</w:t>
      </w:r>
    </w:p>
    <w:p w:rsidR="0061471E" w:rsidRPr="0061471E" w:rsidRDefault="0061471E">
      <w:pPr>
        <w:pStyle w:val="Normaltindrag"/>
        <w:shd w:val="clear" w:color="000000" w:fill="auto"/>
      </w:pPr>
      <w:r w:rsidRPr="0061471E">
        <w:t>Förslaget innebär även att kommunernas skatteintäkter ökar med 800 miljoner kronor. Via regleringar inom utgiftsområde 25 återförs de ökade skatteintäkterna till staten.</w:t>
      </w:r>
    </w:p>
    <w:p w:rsidR="0061471E" w:rsidRPr="0061471E" w:rsidRDefault="0061471E">
      <w:pPr>
        <w:pStyle w:val="Normaltindrag"/>
        <w:shd w:val="clear" w:color="000000" w:fill="auto"/>
      </w:pPr>
      <w:r w:rsidRPr="0061471E">
        <w:t xml:space="preserve">Nettokostnaden för satsningen blir alltså 500 miljoner kronor. </w:t>
      </w:r>
    </w:p>
    <w:p w:rsidR="0061471E" w:rsidRPr="0061471E" w:rsidRDefault="0061471E">
      <w:pPr>
        <w:pStyle w:val="Rubrik1"/>
        <w:shd w:val="clear" w:color="000000" w:fill="auto"/>
      </w:pPr>
      <w:r w:rsidRPr="0061471E">
        <w:t>1:3 Bostadstillägg till pensionärer</w:t>
      </w:r>
    </w:p>
    <w:p w:rsidR="0061471E" w:rsidRPr="0061471E" w:rsidRDefault="0061471E">
      <w:pPr>
        <w:shd w:val="clear" w:color="000000" w:fill="auto"/>
      </w:pPr>
      <w:r w:rsidRPr="0061471E">
        <w:t>Under 2010 får ca 400 000 pensionärer bostadstillägg. För många av dessa pensionärer med låga inkomster utgör bostadstillägget en stor del av den disponibla inkomsten. Att höja bostadstillägget är således ett träffsäkert sätt att förbättra för de sämst ställda pensionärerna. Vänsterpartiet föreslår att ersättningsnivån i bostadstillägget till pensionärer stegvis ska höjas till 95 % för att förbättra de ekonomiska villkoren för de sämst ställda pensionärerna och för personer med sjuk- och aktivitetsersättni</w:t>
      </w:r>
      <w:r w:rsidRPr="0061471E">
        <w:t>ng. Vi föreslår att en första höjning till 94 % ska genomföras 2010 och anvisar för detta 300 miljoner kronor.</w:t>
      </w:r>
    </w:p>
    <w:p w:rsidR="0061471E" w:rsidRPr="0061471E" w:rsidRDefault="0061471E">
      <w:pPr>
        <w:pStyle w:val="Normaltindrag"/>
        <w:shd w:val="clear" w:color="000000" w:fill="auto"/>
      </w:pPr>
      <w:r w:rsidRPr="0061471E">
        <w:t>Som en följd av vårt förslag om höjd garantipension och uppräkning för ATP-pensionärer minskar utgifterna för bostadstillägg till pensionärer med 300 miljoner kronor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471E">
        <w:trPr>
          <w:cantSplit/>
        </w:trPr>
        <w:tc>
          <w:tcPr>
            <w:tcW w:w="3046" w:type="dxa"/>
          </w:tcPr>
          <w:p w:rsidR="0061471E" w:rsidRPr="0061471E" w:rsidRDefault="0061471E">
            <w:pPr>
              <w:pStyle w:val="UnderskriftDatum"/>
              <w:shd w:val="clear" w:color="000000" w:fill="auto"/>
              <w:spacing w:before="240"/>
            </w:pPr>
            <w:r w:rsidRPr="0061471E">
              <w:t>Stockholm den 2 oktober 2009</w:t>
            </w:r>
          </w:p>
        </w:tc>
        <w:tc>
          <w:tcPr>
            <w:tcW w:w="3047" w:type="dxa"/>
          </w:tcPr>
          <w:p w:rsidR="0061471E" w:rsidRPr="0061471E" w:rsidRDefault="0061471E">
            <w:pPr>
              <w:pStyle w:val="Underskrifter"/>
              <w:shd w:val="clear" w:color="000000" w:fill="auto"/>
              <w:spacing w:before="240"/>
            </w:pPr>
          </w:p>
        </w:tc>
      </w:tr>
      <w:tr w:rsidR="00000000" w:rsidRPr="0061471E">
        <w:trPr>
          <w:cantSplit/>
        </w:trPr>
        <w:tc>
          <w:tcPr>
            <w:tcW w:w="3046" w:type="dxa"/>
          </w:tcPr>
          <w:p w:rsidR="0061471E" w:rsidRPr="0061471E" w:rsidRDefault="0061471E">
            <w:pPr>
              <w:pStyle w:val="Underskrifter"/>
              <w:shd w:val="clear" w:color="000000" w:fill="auto"/>
            </w:pPr>
            <w:r w:rsidRPr="0061471E">
              <w:t>Lars Ohly (v)</w:t>
            </w:r>
          </w:p>
        </w:tc>
        <w:tc>
          <w:tcPr>
            <w:tcW w:w="3046" w:type="dxa"/>
          </w:tcPr>
          <w:p w:rsidR="0061471E" w:rsidRPr="0061471E" w:rsidRDefault="0061471E">
            <w:pPr>
              <w:pStyle w:val="Underskrifter"/>
              <w:shd w:val="clear" w:color="000000" w:fill="auto"/>
            </w:pPr>
          </w:p>
        </w:tc>
      </w:tr>
      <w:tr w:rsidR="00000000" w:rsidRPr="0061471E">
        <w:trPr>
          <w:cantSplit/>
        </w:trPr>
        <w:tc>
          <w:tcPr>
            <w:tcW w:w="3046" w:type="dxa"/>
          </w:tcPr>
          <w:p w:rsidR="0061471E" w:rsidRPr="0061471E" w:rsidRDefault="0061471E">
            <w:pPr>
              <w:pStyle w:val="Underskrifter"/>
              <w:shd w:val="clear" w:color="000000" w:fill="auto"/>
            </w:pPr>
            <w:r w:rsidRPr="0061471E">
              <w:t>Marianne Berg (v)</w:t>
            </w:r>
          </w:p>
        </w:tc>
        <w:tc>
          <w:tcPr>
            <w:tcW w:w="3046" w:type="dxa"/>
          </w:tcPr>
          <w:p w:rsidR="0061471E" w:rsidRPr="0061471E" w:rsidRDefault="0061471E">
            <w:pPr>
              <w:pStyle w:val="Underskrifter"/>
              <w:shd w:val="clear" w:color="000000" w:fill="auto"/>
            </w:pPr>
            <w:r w:rsidRPr="0061471E">
              <w:t>Alice Åström (v)</w:t>
            </w:r>
          </w:p>
        </w:tc>
      </w:tr>
      <w:tr w:rsidR="00000000" w:rsidRPr="0061471E">
        <w:trPr>
          <w:cantSplit/>
        </w:trPr>
        <w:tc>
          <w:tcPr>
            <w:tcW w:w="3046" w:type="dxa"/>
          </w:tcPr>
          <w:p w:rsidR="0061471E" w:rsidRPr="0061471E" w:rsidRDefault="0061471E">
            <w:pPr>
              <w:pStyle w:val="Underskrifter"/>
              <w:shd w:val="clear" w:color="000000" w:fill="auto"/>
            </w:pPr>
            <w:r w:rsidRPr="0061471E">
              <w:t>Hans Linde (v)</w:t>
            </w:r>
          </w:p>
        </w:tc>
        <w:tc>
          <w:tcPr>
            <w:tcW w:w="3046" w:type="dxa"/>
          </w:tcPr>
          <w:p w:rsidR="0061471E" w:rsidRPr="0061471E" w:rsidRDefault="0061471E">
            <w:pPr>
              <w:pStyle w:val="Underskrifter"/>
              <w:shd w:val="clear" w:color="000000" w:fill="auto"/>
            </w:pPr>
            <w:r w:rsidRPr="0061471E">
              <w:t>Elina Linna (v)</w:t>
            </w:r>
          </w:p>
        </w:tc>
      </w:tr>
      <w:tr w:rsidR="00000000" w:rsidRPr="0061471E">
        <w:trPr>
          <w:cantSplit/>
        </w:trPr>
        <w:tc>
          <w:tcPr>
            <w:tcW w:w="3046" w:type="dxa"/>
          </w:tcPr>
          <w:p w:rsidR="0061471E" w:rsidRPr="0061471E" w:rsidRDefault="0061471E">
            <w:pPr>
              <w:pStyle w:val="Underskrifter"/>
              <w:shd w:val="clear" w:color="000000" w:fill="auto"/>
            </w:pPr>
            <w:r w:rsidRPr="0061471E">
              <w:t>Jacob Johnson (v)</w:t>
            </w:r>
          </w:p>
        </w:tc>
        <w:tc>
          <w:tcPr>
            <w:tcW w:w="3046" w:type="dxa"/>
          </w:tcPr>
          <w:p w:rsidR="0061471E" w:rsidRPr="0061471E" w:rsidRDefault="0061471E">
            <w:pPr>
              <w:pStyle w:val="Underskrifter"/>
              <w:shd w:val="clear" w:color="000000" w:fill="auto"/>
            </w:pPr>
            <w:r w:rsidRPr="0061471E">
              <w:t>Lena Olsson (v)</w:t>
            </w:r>
          </w:p>
        </w:tc>
      </w:tr>
      <w:tr w:rsidR="00000000" w:rsidRPr="0061471E">
        <w:trPr>
          <w:cantSplit/>
        </w:trPr>
        <w:tc>
          <w:tcPr>
            <w:tcW w:w="3046" w:type="dxa"/>
          </w:tcPr>
          <w:p w:rsidR="0061471E" w:rsidRPr="0061471E" w:rsidRDefault="0061471E">
            <w:pPr>
              <w:pStyle w:val="Underskrifter"/>
              <w:shd w:val="clear" w:color="000000" w:fill="auto"/>
            </w:pPr>
            <w:r w:rsidRPr="0061471E">
              <w:t>Kalle Larsson (v)</w:t>
            </w:r>
          </w:p>
        </w:tc>
        <w:tc>
          <w:tcPr>
            <w:tcW w:w="3046" w:type="dxa"/>
          </w:tcPr>
          <w:p w:rsidR="0061471E" w:rsidRPr="0061471E" w:rsidRDefault="0061471E">
            <w:pPr>
              <w:pStyle w:val="Underskrifter"/>
              <w:shd w:val="clear" w:color="000000" w:fill="auto"/>
            </w:pPr>
          </w:p>
        </w:tc>
      </w:tr>
    </w:tbl>
    <w:p w:rsidR="0061471E" w:rsidRPr="0061471E" w:rsidRDefault="0061471E">
      <w:pPr>
        <w:pStyle w:val="Normaltindrag"/>
        <w:shd w:val="clear" w:color="000000" w:fill="auto"/>
      </w:pPr>
    </w:p>
    <w:sectPr w:rsidR="00000000" w:rsidRPr="006147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71E" w:rsidRPr="0061471E" w:rsidRDefault="0061471E">
      <w:r w:rsidRPr="0061471E">
        <w:separator/>
      </w:r>
    </w:p>
  </w:endnote>
  <w:endnote w:type="continuationSeparator" w:id="0">
    <w:p w:rsidR="0061471E" w:rsidRPr="0061471E" w:rsidRDefault="0061471E">
      <w:r w:rsidRPr="006147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71E" w:rsidRPr="0061471E" w:rsidRDefault="0061471E">
    <w:pPr>
      <w:pStyle w:val="Sidfot"/>
    </w:pPr>
    <w:r w:rsidRPr="006147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9431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71E" w:rsidRDefault="006147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471E" w:rsidRDefault="006147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71E" w:rsidRPr="0061471E" w:rsidRDefault="0061471E">
    <w:pPr>
      <w:pStyle w:val="Sidfot"/>
    </w:pPr>
    <w:r w:rsidRPr="006147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91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71E" w:rsidRDefault="006147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471E" w:rsidRDefault="006147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71E" w:rsidRPr="0061471E" w:rsidRDefault="0061471E">
    <w:pPr>
      <w:pStyle w:val="Sidfot"/>
    </w:pPr>
    <w:r w:rsidRPr="006147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204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71E" w:rsidRDefault="006147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471E" w:rsidRDefault="006147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71E" w:rsidRPr="0061471E" w:rsidRDefault="0061471E">
      <w:r w:rsidRPr="0061471E">
        <w:separator/>
      </w:r>
    </w:p>
  </w:footnote>
  <w:footnote w:type="continuationSeparator" w:id="0">
    <w:p w:rsidR="0061471E" w:rsidRPr="0061471E" w:rsidRDefault="0061471E">
      <w:r w:rsidRPr="006147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71E" w:rsidRPr="0061471E" w:rsidRDefault="0061471E">
    <w:pPr>
      <w:pStyle w:val="Sidhuvud"/>
    </w:pPr>
    <w:r w:rsidRPr="006147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915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71E" w:rsidRDefault="006147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471E" w:rsidRDefault="006147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71E" w:rsidRPr="0061471E" w:rsidRDefault="0061471E">
    <w:pPr>
      <w:pStyle w:val="Sidhuvud"/>
    </w:pPr>
    <w:r w:rsidRPr="006147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1689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71E" w:rsidRDefault="006147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471E" w:rsidRDefault="006147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71E" w:rsidRPr="0061471E" w:rsidRDefault="0061471E">
    <w:pPr>
      <w:pStyle w:val="FSHNormal"/>
      <w:tabs>
        <w:tab w:val="right" w:pos="5840"/>
      </w:tabs>
    </w:pPr>
    <w:r w:rsidRPr="0061471E">
      <w:br/>
    </w:r>
    <w:r w:rsidRPr="0061471E">
      <w:fldChar w:fldCharType="begin" w:fldLock="1"/>
    </w:r>
    <w:r w:rsidRPr="0061471E">
      <w:instrText xml:space="preserve"> DOCPROPERTY</w:instrText>
    </w:r>
    <w:r w:rsidRPr="0061471E">
      <w:rPr>
        <w:sz w:val="18"/>
      </w:rPr>
      <w:instrText xml:space="preserve"> "YearUser" *\charformat </w:instrText>
    </w:r>
    <w:r w:rsidRPr="0061471E">
      <w:fldChar w:fldCharType="separate"/>
    </w:r>
    <w:r w:rsidRPr="0061471E">
      <w:t>2009/10</w:t>
    </w:r>
    <w:r w:rsidRPr="0061471E">
      <w:fldChar w:fldCharType="end"/>
    </w:r>
    <w:r w:rsidRPr="0061471E">
      <w:t xml:space="preserve"> </w:t>
    </w:r>
    <w:r w:rsidRPr="0061471E">
      <w:tab/>
      <w:t xml:space="preserve">mnr: </w:t>
    </w:r>
    <w:r w:rsidRPr="0061471E">
      <w:fldChar w:fldCharType="begin" w:fldLock="1"/>
    </w:r>
    <w:r w:rsidRPr="0061471E">
      <w:instrText xml:space="preserve"> DOCPROPERTY</w:instrText>
    </w:r>
    <w:r w:rsidRPr="0061471E">
      <w:rPr>
        <w:sz w:val="18"/>
      </w:rPr>
      <w:instrText xml:space="preserve"> "Motionsnummer" *\charformat </w:instrText>
    </w:r>
    <w:r w:rsidRPr="0061471E">
      <w:fldChar w:fldCharType="separate"/>
    </w:r>
    <w:r w:rsidRPr="0061471E">
      <w:t>Sf324</w:t>
    </w:r>
    <w:r w:rsidRPr="0061471E">
      <w:fldChar w:fldCharType="end"/>
    </w:r>
    <w:r w:rsidRPr="0061471E">
      <w:br/>
    </w:r>
    <w:r w:rsidRPr="0061471E">
      <w:fldChar w:fldCharType="begin" w:fldLock="1"/>
    </w:r>
    <w:r w:rsidRPr="0061471E">
      <w:instrText xml:space="preserve"> DOCPROPERTY</w:instrText>
    </w:r>
    <w:r w:rsidRPr="0061471E">
      <w:rPr>
        <w:sz w:val="18"/>
      </w:rPr>
      <w:instrText xml:space="preserve"> "Samling" *\charformat </w:instrText>
    </w:r>
    <w:r w:rsidRPr="0061471E">
      <w:fldChar w:fldCharType="end"/>
    </w:r>
    <w:r w:rsidRPr="0061471E">
      <w:tab/>
      <w:t xml:space="preserve">pnr: </w:t>
    </w:r>
    <w:r w:rsidRPr="0061471E">
      <w:fldChar w:fldCharType="begin" w:fldLock="1"/>
    </w:r>
    <w:r w:rsidRPr="0061471E">
      <w:instrText xml:space="preserve"> DOCPROPERTY</w:instrText>
    </w:r>
    <w:r w:rsidRPr="0061471E">
      <w:rPr>
        <w:sz w:val="18"/>
      </w:rPr>
      <w:instrText xml:space="preserve"> "Partinummer" *\charformat </w:instrText>
    </w:r>
    <w:r w:rsidRPr="0061471E">
      <w:fldChar w:fldCharType="separate"/>
    </w:r>
    <w:r w:rsidRPr="0061471E">
      <w:t>v420</w:t>
    </w:r>
    <w:r w:rsidRPr="0061471E">
      <w:fldChar w:fldCharType="end"/>
    </w:r>
  </w:p>
  <w:p w:rsidR="0061471E" w:rsidRPr="0061471E" w:rsidRDefault="0061471E">
    <w:pPr>
      <w:pStyle w:val="FSHRub1"/>
    </w:pPr>
    <w:r w:rsidRPr="0061471E">
      <w:t>Motion till riksdagen</w:t>
    </w:r>
    <w:r w:rsidRPr="0061471E">
      <w:br/>
    </w:r>
    <w:r w:rsidRPr="0061471E">
      <w:fldChar w:fldCharType="begin" w:fldLock="1"/>
    </w:r>
    <w:r w:rsidRPr="0061471E">
      <w:instrText xml:space="preserve"> DOCPROPERTY "YearUser" *\charformat </w:instrText>
    </w:r>
    <w:r w:rsidRPr="0061471E">
      <w:fldChar w:fldCharType="separate"/>
    </w:r>
    <w:r w:rsidRPr="0061471E">
      <w:t>2009/10</w:t>
    </w:r>
    <w:r w:rsidRPr="0061471E">
      <w:fldChar w:fldCharType="end"/>
    </w:r>
    <w:r w:rsidRPr="0061471E">
      <w:t>:</w:t>
    </w:r>
    <w:r w:rsidRPr="0061471E">
      <w:fldChar w:fldCharType="begin" w:fldLock="1"/>
    </w:r>
    <w:r w:rsidRPr="0061471E">
      <w:instrText xml:space="preserve"> DOCPROPERTY "Motionsnummer" *\charformat </w:instrText>
    </w:r>
    <w:r w:rsidRPr="0061471E">
      <w:fldChar w:fldCharType="separate"/>
    </w:r>
    <w:r w:rsidRPr="0061471E">
      <w:t>Sf324</w:t>
    </w:r>
    <w:r w:rsidRPr="0061471E">
      <w:fldChar w:fldCharType="end"/>
    </w:r>
  </w:p>
  <w:p w:rsidR="0061471E" w:rsidRPr="0061471E" w:rsidRDefault="0061471E">
    <w:pPr>
      <w:pStyle w:val="FSHNormalS5"/>
    </w:pPr>
    <w:r w:rsidRPr="0061471E">
      <w:fldChar w:fldCharType="begin" w:fldLock="1"/>
    </w:r>
    <w:r w:rsidRPr="0061471E">
      <w:instrText xml:space="preserve"> DOCPROPERTY "MotionarText" *\charformat </w:instrText>
    </w:r>
    <w:r w:rsidRPr="0061471E">
      <w:fldChar w:fldCharType="separate"/>
    </w:r>
    <w:r w:rsidRPr="0061471E">
      <w:t>av Lars Ohly m.fl. (v)</w:t>
    </w:r>
    <w:r w:rsidRPr="0061471E">
      <w:fldChar w:fldCharType="end"/>
    </w:r>
    <w:r w:rsidRPr="0061471E">
      <w:br/>
    </w:r>
    <w:r w:rsidRPr="0061471E">
      <w:fldChar w:fldCharType="begin" w:fldLock="1"/>
    </w:r>
    <w:r w:rsidRPr="0061471E">
      <w:instrText xml:space="preserve"> DOCPROPERTY "SvarFrasKort" *\charformat </w:instrText>
    </w:r>
    <w:r w:rsidRPr="0061471E">
      <w:fldChar w:fldCharType="end"/>
    </w:r>
  </w:p>
  <w:p w:rsidR="0061471E" w:rsidRPr="0061471E" w:rsidRDefault="0061471E">
    <w:pPr>
      <w:pStyle w:val="FSHTitel"/>
    </w:pPr>
    <w:r w:rsidRPr="0061471E">
      <w:fldChar w:fldCharType="begin" w:fldLock="1"/>
    </w:r>
    <w:r w:rsidRPr="0061471E">
      <w:instrText xml:space="preserve"> DOCPROPERTY</w:instrText>
    </w:r>
    <w:r w:rsidRPr="0061471E">
      <w:rPr>
        <w:sz w:val="18"/>
      </w:rPr>
      <w:instrText xml:space="preserve"> "RubrikSvar" *\charformat </w:instrText>
    </w:r>
    <w:r w:rsidRPr="0061471E">
      <w:fldChar w:fldCharType="separate"/>
    </w:r>
    <w:r w:rsidRPr="0061471E">
      <w:t>Utgiftsområde 11 Ekonomisk trygghet vid ålderdom</w:t>
    </w:r>
    <w:r w:rsidRPr="0061471E">
      <w:fldChar w:fldCharType="end"/>
    </w:r>
  </w:p>
  <w:p w:rsidR="0061471E" w:rsidRPr="0061471E" w:rsidRDefault="0061471E">
    <w:pPr>
      <w:pStyle w:val="Normal00"/>
    </w:pPr>
  </w:p>
  <w:p w:rsidR="0061471E" w:rsidRPr="0061471E" w:rsidRDefault="006147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4127299">
    <w:abstractNumId w:val="8"/>
  </w:num>
  <w:num w:numId="2" w16cid:durableId="6368243">
    <w:abstractNumId w:val="9"/>
  </w:num>
  <w:num w:numId="3" w16cid:durableId="1068385355">
    <w:abstractNumId w:val="8"/>
  </w:num>
  <w:num w:numId="4" w16cid:durableId="659306460">
    <w:abstractNumId w:val="9"/>
  </w:num>
  <w:num w:numId="5" w16cid:durableId="1131677578">
    <w:abstractNumId w:val="13"/>
  </w:num>
  <w:num w:numId="6" w16cid:durableId="2024165942">
    <w:abstractNumId w:val="10"/>
  </w:num>
  <w:num w:numId="7" w16cid:durableId="985672345">
    <w:abstractNumId w:val="11"/>
  </w:num>
  <w:num w:numId="8" w16cid:durableId="1483080324">
    <w:abstractNumId w:val="12"/>
  </w:num>
  <w:num w:numId="9" w16cid:durableId="954629781">
    <w:abstractNumId w:val="8"/>
  </w:num>
  <w:num w:numId="10" w16cid:durableId="1781218519">
    <w:abstractNumId w:val="3"/>
  </w:num>
  <w:num w:numId="11" w16cid:durableId="1027371181">
    <w:abstractNumId w:val="2"/>
  </w:num>
  <w:num w:numId="12" w16cid:durableId="1881892566">
    <w:abstractNumId w:val="1"/>
  </w:num>
  <w:num w:numId="13" w16cid:durableId="2034185988">
    <w:abstractNumId w:val="0"/>
  </w:num>
  <w:num w:numId="14" w16cid:durableId="1097291665">
    <w:abstractNumId w:val="9"/>
  </w:num>
  <w:num w:numId="15" w16cid:durableId="347603636">
    <w:abstractNumId w:val="7"/>
  </w:num>
  <w:num w:numId="16" w16cid:durableId="1499886607">
    <w:abstractNumId w:val="6"/>
  </w:num>
  <w:num w:numId="17" w16cid:durableId="646469163">
    <w:abstractNumId w:val="5"/>
  </w:num>
  <w:num w:numId="18" w16cid:durableId="1871142806">
    <w:abstractNumId w:val="4"/>
  </w:num>
  <w:num w:numId="19" w16cid:durableId="1068381793">
    <w:abstractNumId w:val="11"/>
  </w:num>
  <w:num w:numId="20" w16cid:durableId="1399016014">
    <w:abstractNumId w:val="10"/>
  </w:num>
  <w:num w:numId="21" w16cid:durableId="1191869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F1A2565D-4D2F-4887-9B1D-3D7BE825DA8C},{25384487-954A-4B3D-A759-FB67661DCC6F},{7E0BF71E-CD03-4DBF-9F51-3B5B798F2741},{88576935-7337-4AFA-923F-6E59D33EEBED},{8B923F15-4996-4696-A089-6A5BE8BF8E1B},{70ED92E7-062B-44F5-98C0-1732E6D079B7},{5E1F5B3E-DDB9-4605-85F6-1CAF1124E96C},{7719F267-5625-4124-AC19-C21B84EE23A7}"/>
  </w:docVars>
  <w:rsids>
    <w:rsidRoot w:val="006D5C2A"/>
    <w:rsid w:val="0061471E"/>
    <w:rsid w:val="006D5C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8F174183-0197-4CFD-A949-CD34CF9F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3073</Characters>
  <Application>Microsoft Office Word</Application>
  <DocSecurity>4</DocSecurity>
  <Lines>83</Lines>
  <Paragraphs>42</Paragraphs>
  <ScaleCrop>false</ScaleCrop>
  <HeadingPairs>
    <vt:vector size="2" baseType="variant">
      <vt:variant>
        <vt:lpstr>Rubrik</vt:lpstr>
      </vt:variant>
      <vt:variant>
        <vt:i4>1</vt:i4>
      </vt:variant>
    </vt:vector>
  </HeadingPairs>
  <TitlesOfParts>
    <vt:vector size="1" baseType="lpstr">
      <vt:lpstr>v420</vt:lpstr>
    </vt:vector>
  </TitlesOfParts>
  <Company>Riksdagen</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v420</dc:title>
  <dc:subject>v420</dc:subject>
  <dc:creator>Riksdagen</dc:creator>
  <cp:keywords>Riksdagen</cp:keywords>
  <dc:description>Nya formatmallshantering för förslag+urix bakåtkomp+könamn</dc:description>
  <cp:lastModifiedBy>Lars Brink</cp:lastModifiedBy>
  <cp:revision>2</cp:revision>
  <cp:lastPrinted>2009-11-08T07:18:00Z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11 Ekonomisk trygghet vid ålderdom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11 Ekonomisk trygghet vid ålderdom</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(v)\Åström, Alice (v)\Linde, Hans (v)\Linna, Elina (v)\Johnson, Jacob (v)\Olsson, Lena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Alice Åström (v), Hans Linde (v), Elina Linna (v), Jacob Johnson (v), Lena Olsson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20092010000000000118000004200080</vt:lpwstr>
  </property>
  <property fmtid="{D5CDD505-2E9C-101B-9397-08002B2CF9AE}" pid="47" name="datum">
    <vt:lpwstr>091002</vt:lpwstr>
  </property>
  <property fmtid="{D5CDD505-2E9C-101B-9397-08002B2CF9AE}" pid="48" name="avsändar-e-post">
    <vt:lpwstr>anna-maria.westwood@riksdagen.se</vt:lpwstr>
  </property>
  <property fmtid="{D5CDD505-2E9C-101B-9397-08002B2CF9AE}" pid="49" name="id">
    <vt:lpwstr>20092010000000000118000004200080</vt:lpwstr>
  </property>
  <property fmtid="{D5CDD505-2E9C-101B-9397-08002B2CF9AE}" pid="50" name="nummer">
    <vt:lpwstr>324</vt:lpwstr>
  </property>
  <property fmtid="{D5CDD505-2E9C-101B-9397-08002B2CF9AE}" pid="51" name="utskottsbeteckning">
    <vt:lpwstr>Sf</vt:lpwstr>
  </property>
  <property fmtid="{D5CDD505-2E9C-101B-9397-08002B2CF9AE}" pid="52" name="GlobalUID">
    <vt:lpwstr>{701C8246-5C38-43A8-A2C4-7D2FF01EB850}</vt:lpwstr>
  </property>
  <property fmtid="{D5CDD505-2E9C-101B-9397-08002B2CF9AE}" pid="53" name="Överföringar">
    <vt:i4>0</vt:i4>
  </property>
  <property fmtid="{D5CDD505-2E9C-101B-9397-08002B2CF9AE}" pid="54" name="Checksum">
    <vt:lpwstr>*0020131977392*</vt:lpwstr>
  </property>
  <property fmtid="{D5CDD505-2E9C-101B-9397-08002B2CF9AE}" pid="55" name="skuggnummer">
    <vt:lpwstr>2027</vt:lpwstr>
  </property>
  <property fmtid="{D5CDD505-2E9C-101B-9397-08002B2CF9AE}" pid="56" name="urixVersion">
    <vt:lpwstr>4.0.0.9</vt:lpwstr>
  </property>
  <property fmtid="{D5CDD505-2E9C-101B-9397-08002B2CF9AE}" pid="57" name="urixOrigin">
    <vt:lpwstr>091108 08:18:11.640</vt:lpwstr>
  </property>
  <property fmtid="{D5CDD505-2E9C-101B-9397-08002B2CF9AE}" pid="58" name="urixGuid">
    <vt:lpwstr>{EED08CA6-DD9C-44FB-AEDE-E88EC02052FE}</vt:lpwstr>
  </property>
</Properties>
</file>