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FD58DB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FD58DB">
        <w:tc>
          <w:tcPr>
            <w:tcW w:w="9141" w:type="dxa"/>
          </w:tcPr>
          <w:p w:rsidR="00177FF8" w:rsidRPr="00FD58DB" w:rsidRDefault="00177FF8">
            <w:pPr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RIKSDAGEN</w:t>
            </w:r>
          </w:p>
          <w:p w:rsidR="00177FF8" w:rsidRPr="00FD58DB" w:rsidRDefault="00177FF8">
            <w:pPr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FD58DB" w:rsidRDefault="00177FF8">
      <w:pPr>
        <w:rPr>
          <w:sz w:val="22"/>
          <w:szCs w:val="22"/>
        </w:rPr>
      </w:pPr>
    </w:p>
    <w:p w:rsidR="00177FF8" w:rsidRPr="00FD58DB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FD58DB">
        <w:trPr>
          <w:cantSplit/>
          <w:trHeight w:val="742"/>
        </w:trPr>
        <w:tc>
          <w:tcPr>
            <w:tcW w:w="1985" w:type="dxa"/>
          </w:tcPr>
          <w:p w:rsidR="00177FF8" w:rsidRPr="00FD58DB" w:rsidRDefault="00177FF8">
            <w:pPr>
              <w:rPr>
                <w:b/>
                <w:sz w:val="22"/>
                <w:szCs w:val="22"/>
              </w:rPr>
            </w:pPr>
            <w:r w:rsidRPr="00FD58D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FD58DB" w:rsidRDefault="00626575" w:rsidP="00D1794C">
            <w:pPr>
              <w:rPr>
                <w:b/>
                <w:sz w:val="22"/>
                <w:szCs w:val="22"/>
              </w:rPr>
            </w:pPr>
            <w:r w:rsidRPr="00FD58DB">
              <w:rPr>
                <w:b/>
                <w:sz w:val="22"/>
                <w:szCs w:val="22"/>
              </w:rPr>
              <w:t>UTSKOTTSSAMMANTRÄDE 20</w:t>
            </w:r>
            <w:r w:rsidR="004072D7" w:rsidRPr="00FD58DB">
              <w:rPr>
                <w:b/>
                <w:sz w:val="22"/>
                <w:szCs w:val="22"/>
              </w:rPr>
              <w:t>20</w:t>
            </w:r>
            <w:r w:rsidR="000E777E" w:rsidRPr="00FD58DB">
              <w:rPr>
                <w:b/>
                <w:sz w:val="22"/>
                <w:szCs w:val="22"/>
              </w:rPr>
              <w:t>/2</w:t>
            </w:r>
            <w:r w:rsidR="004072D7" w:rsidRPr="00FD58DB">
              <w:rPr>
                <w:b/>
                <w:sz w:val="22"/>
                <w:szCs w:val="22"/>
              </w:rPr>
              <w:t>1</w:t>
            </w:r>
            <w:r w:rsidR="003B57EC" w:rsidRPr="00FD58DB">
              <w:rPr>
                <w:b/>
                <w:sz w:val="22"/>
                <w:szCs w:val="22"/>
              </w:rPr>
              <w:t>:</w:t>
            </w:r>
            <w:r w:rsidR="00CA0FF8" w:rsidRPr="00FD58DB">
              <w:rPr>
                <w:b/>
                <w:sz w:val="22"/>
                <w:szCs w:val="22"/>
              </w:rPr>
              <w:t>49</w:t>
            </w:r>
          </w:p>
        </w:tc>
      </w:tr>
      <w:tr w:rsidR="00177FF8" w:rsidRPr="00FD58DB">
        <w:tc>
          <w:tcPr>
            <w:tcW w:w="1985" w:type="dxa"/>
          </w:tcPr>
          <w:p w:rsidR="00177FF8" w:rsidRPr="00FD58DB" w:rsidRDefault="00177FF8">
            <w:pPr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FD58DB" w:rsidRDefault="00626575" w:rsidP="00FB0559">
            <w:pPr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20</w:t>
            </w:r>
            <w:r w:rsidR="00CB71B9" w:rsidRPr="00FD58DB">
              <w:rPr>
                <w:sz w:val="22"/>
                <w:szCs w:val="22"/>
              </w:rPr>
              <w:t>2</w:t>
            </w:r>
            <w:r w:rsidR="00AA1A3B" w:rsidRPr="00FD58DB">
              <w:rPr>
                <w:sz w:val="22"/>
                <w:szCs w:val="22"/>
              </w:rPr>
              <w:t>1</w:t>
            </w:r>
            <w:r w:rsidR="008C2D5B" w:rsidRPr="00FD58DB">
              <w:rPr>
                <w:sz w:val="22"/>
                <w:szCs w:val="22"/>
              </w:rPr>
              <w:t>-</w:t>
            </w:r>
            <w:r w:rsidR="00AA1A3B" w:rsidRPr="00FD58DB">
              <w:rPr>
                <w:sz w:val="22"/>
                <w:szCs w:val="22"/>
              </w:rPr>
              <w:t>0</w:t>
            </w:r>
            <w:r w:rsidR="0055441A" w:rsidRPr="00FD58DB">
              <w:rPr>
                <w:sz w:val="22"/>
                <w:szCs w:val="22"/>
              </w:rPr>
              <w:t>5</w:t>
            </w:r>
            <w:r w:rsidR="00374911" w:rsidRPr="00FD58DB">
              <w:rPr>
                <w:sz w:val="22"/>
                <w:szCs w:val="22"/>
              </w:rPr>
              <w:t>-</w:t>
            </w:r>
            <w:r w:rsidR="00CA0FF8" w:rsidRPr="00FD58DB">
              <w:rPr>
                <w:sz w:val="22"/>
                <w:szCs w:val="22"/>
              </w:rPr>
              <w:t>27</w:t>
            </w:r>
          </w:p>
        </w:tc>
      </w:tr>
      <w:tr w:rsidR="00177FF8" w:rsidRPr="00FD58DB">
        <w:tc>
          <w:tcPr>
            <w:tcW w:w="1985" w:type="dxa"/>
          </w:tcPr>
          <w:p w:rsidR="00177FF8" w:rsidRPr="00FD58DB" w:rsidRDefault="00177FF8">
            <w:pPr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FD58DB" w:rsidRDefault="00374911" w:rsidP="00231475">
            <w:pPr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1</w:t>
            </w:r>
            <w:r w:rsidR="00CA0FF8" w:rsidRPr="00FD58DB">
              <w:rPr>
                <w:sz w:val="22"/>
                <w:szCs w:val="22"/>
              </w:rPr>
              <w:t>0</w:t>
            </w:r>
            <w:r w:rsidR="00B54A57" w:rsidRPr="00FD58DB">
              <w:rPr>
                <w:sz w:val="22"/>
                <w:szCs w:val="22"/>
              </w:rPr>
              <w:t>.</w:t>
            </w:r>
            <w:r w:rsidR="0021176A" w:rsidRPr="00FD58DB">
              <w:rPr>
                <w:sz w:val="22"/>
                <w:szCs w:val="22"/>
              </w:rPr>
              <w:t>0</w:t>
            </w:r>
            <w:r w:rsidR="00B5691D" w:rsidRPr="00FD58DB">
              <w:rPr>
                <w:sz w:val="22"/>
                <w:szCs w:val="22"/>
              </w:rPr>
              <w:t>0</w:t>
            </w:r>
            <w:r w:rsidR="00762508" w:rsidRPr="00FD58DB">
              <w:rPr>
                <w:sz w:val="22"/>
                <w:szCs w:val="22"/>
              </w:rPr>
              <w:t xml:space="preserve"> </w:t>
            </w:r>
            <w:r w:rsidR="007051D7" w:rsidRPr="00FD58DB">
              <w:rPr>
                <w:sz w:val="22"/>
                <w:szCs w:val="22"/>
              </w:rPr>
              <w:t>– 11.</w:t>
            </w:r>
            <w:r w:rsidR="007051D7">
              <w:rPr>
                <w:sz w:val="22"/>
                <w:szCs w:val="22"/>
              </w:rPr>
              <w:t>05</w:t>
            </w:r>
          </w:p>
        </w:tc>
      </w:tr>
      <w:tr w:rsidR="00177FF8" w:rsidRPr="00FD58DB">
        <w:tc>
          <w:tcPr>
            <w:tcW w:w="1985" w:type="dxa"/>
          </w:tcPr>
          <w:p w:rsidR="00177FF8" w:rsidRPr="00FD58DB" w:rsidRDefault="00177FF8">
            <w:pPr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FD58DB" w:rsidRDefault="00177FF8">
            <w:pPr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Se bilaga 1</w:t>
            </w:r>
          </w:p>
        </w:tc>
      </w:tr>
    </w:tbl>
    <w:p w:rsidR="00177FF8" w:rsidRPr="00FD58DB" w:rsidRDefault="00177FF8">
      <w:pPr>
        <w:rPr>
          <w:sz w:val="22"/>
          <w:szCs w:val="22"/>
        </w:rPr>
      </w:pPr>
    </w:p>
    <w:p w:rsidR="00177FF8" w:rsidRPr="00FD58D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FD58DB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FD58DB" w:rsidTr="002241EF">
        <w:tc>
          <w:tcPr>
            <w:tcW w:w="567" w:type="dxa"/>
          </w:tcPr>
          <w:p w:rsidR="00177FF8" w:rsidRPr="00FD58DB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58D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FD58DB" w:rsidRDefault="00374911" w:rsidP="00374911">
            <w:pPr>
              <w:rPr>
                <w:snapToGrid w:val="0"/>
                <w:sz w:val="22"/>
                <w:szCs w:val="22"/>
              </w:rPr>
            </w:pPr>
            <w:r w:rsidRPr="00FD58DB">
              <w:rPr>
                <w:b/>
                <w:sz w:val="22"/>
                <w:szCs w:val="22"/>
              </w:rPr>
              <w:t>Fråga om medgivande till deltagande på distans</w:t>
            </w:r>
            <w:r w:rsidRPr="00FD58DB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Pr="007051D7" w:rsidRDefault="00FC47A3" w:rsidP="00C22E5F">
            <w:pPr>
              <w:rPr>
                <w:snapToGrid w:val="0"/>
                <w:sz w:val="22"/>
                <w:szCs w:val="22"/>
              </w:rPr>
            </w:pPr>
            <w:r w:rsidRPr="00FD58DB">
              <w:rPr>
                <w:b/>
                <w:bCs/>
                <w:color w:val="000000"/>
                <w:sz w:val="22"/>
                <w:szCs w:val="22"/>
              </w:rPr>
              <w:br/>
            </w:r>
            <w:r w:rsidR="00384217" w:rsidRPr="00FD58D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384217" w:rsidRPr="00FD58DB">
              <w:rPr>
                <w:sz w:val="22"/>
                <w:szCs w:val="22"/>
              </w:rPr>
              <w:t>medgav deltagande på distans för följande ordinarie ledamöter och suppleanter:</w:t>
            </w:r>
            <w:r w:rsidR="007555BE" w:rsidRPr="00FD58DB">
              <w:rPr>
                <w:sz w:val="22"/>
                <w:szCs w:val="22"/>
              </w:rPr>
              <w:t xml:space="preserve"> </w:t>
            </w:r>
            <w:r w:rsidR="00C22E5F" w:rsidRPr="007051D7">
              <w:rPr>
                <w:sz w:val="22"/>
                <w:szCs w:val="22"/>
              </w:rPr>
              <w:t>Maria Gardfjell (MP), Jessica Rosencrantz (M), Hanna Westerén (S), Isak From (S),</w:t>
            </w:r>
            <w:r w:rsidR="00DB1D54" w:rsidRPr="007051D7">
              <w:rPr>
                <w:sz w:val="22"/>
                <w:szCs w:val="22"/>
              </w:rPr>
              <w:t xml:space="preserve"> </w:t>
            </w:r>
            <w:r w:rsidR="00C22E5F" w:rsidRPr="007051D7">
              <w:rPr>
                <w:sz w:val="22"/>
                <w:szCs w:val="22"/>
              </w:rPr>
              <w:t xml:space="preserve">John Widegren (M), Runar Filper (SD), Magnus Manhammar (S), Elin Segerlind (V), Betty Malmberg (M), </w:t>
            </w:r>
            <w:r w:rsidR="003B009D" w:rsidRPr="007051D7">
              <w:rPr>
                <w:sz w:val="22"/>
                <w:szCs w:val="22"/>
              </w:rPr>
              <w:t xml:space="preserve">Martin Kinnunen (SD), </w:t>
            </w:r>
            <w:r w:rsidR="00C22E5F" w:rsidRPr="007051D7">
              <w:rPr>
                <w:sz w:val="22"/>
                <w:szCs w:val="22"/>
              </w:rPr>
              <w:t xml:space="preserve">Malin Larsson (S), Magnus Oscarsson (KD), Nina Lundström (L), </w:t>
            </w:r>
            <w:r w:rsidR="00B92FE4" w:rsidRPr="007051D7">
              <w:rPr>
                <w:sz w:val="22"/>
                <w:szCs w:val="22"/>
              </w:rPr>
              <w:t xml:space="preserve">Staffan Eklöf (SD), </w:t>
            </w:r>
            <w:r w:rsidR="003B009D" w:rsidRPr="007051D7">
              <w:rPr>
                <w:sz w:val="22"/>
                <w:szCs w:val="22"/>
              </w:rPr>
              <w:t xml:space="preserve">Ulrika Heie (C), </w:t>
            </w:r>
            <w:r w:rsidR="00DB1D54" w:rsidRPr="007051D7">
              <w:rPr>
                <w:sz w:val="22"/>
                <w:szCs w:val="22"/>
              </w:rPr>
              <w:t xml:space="preserve">Markus Selin (S), </w:t>
            </w:r>
            <w:r w:rsidR="00C22E5F" w:rsidRPr="007051D7">
              <w:rPr>
                <w:sz w:val="22"/>
                <w:szCs w:val="22"/>
              </w:rPr>
              <w:t xml:space="preserve">Marléne Lund Kopparklint (M), Yasmine Eriksson (SD), </w:t>
            </w:r>
            <w:r w:rsidR="003B009D" w:rsidRPr="007051D7">
              <w:rPr>
                <w:sz w:val="22"/>
                <w:szCs w:val="22"/>
              </w:rPr>
              <w:t>Rickard Nordin (C),</w:t>
            </w:r>
            <w:r w:rsidR="009802CA" w:rsidRPr="007051D7">
              <w:rPr>
                <w:sz w:val="22"/>
                <w:szCs w:val="22"/>
              </w:rPr>
              <w:t xml:space="preserve"> Mats Nordberg (SD),</w:t>
            </w:r>
            <w:r w:rsidR="003B009D" w:rsidRPr="007051D7">
              <w:rPr>
                <w:sz w:val="22"/>
                <w:szCs w:val="22"/>
              </w:rPr>
              <w:t xml:space="preserve"> </w:t>
            </w:r>
            <w:r w:rsidR="00C22E5F" w:rsidRPr="007051D7">
              <w:rPr>
                <w:sz w:val="22"/>
                <w:szCs w:val="22"/>
              </w:rPr>
              <w:t>Kjell-Arne Ottosson (KD)</w:t>
            </w:r>
            <w:r w:rsidR="007051D7" w:rsidRPr="007051D7">
              <w:rPr>
                <w:sz w:val="22"/>
                <w:szCs w:val="22"/>
              </w:rPr>
              <w:t xml:space="preserve"> och</w:t>
            </w:r>
            <w:r w:rsidR="003B009D" w:rsidRPr="007051D7">
              <w:rPr>
                <w:sz w:val="22"/>
                <w:szCs w:val="22"/>
              </w:rPr>
              <w:t xml:space="preserve"> </w:t>
            </w:r>
            <w:r w:rsidR="00C22E5F" w:rsidRPr="007051D7">
              <w:rPr>
                <w:sz w:val="22"/>
                <w:szCs w:val="22"/>
              </w:rPr>
              <w:t>Jon Thorbjörnsson (V)</w:t>
            </w:r>
            <w:r w:rsidR="007051D7" w:rsidRPr="007051D7">
              <w:rPr>
                <w:sz w:val="22"/>
                <w:szCs w:val="22"/>
              </w:rPr>
              <w:t xml:space="preserve">. </w:t>
            </w:r>
          </w:p>
          <w:p w:rsidR="007027D6" w:rsidRPr="007051D7" w:rsidRDefault="007027D6" w:rsidP="007555BE">
            <w:pPr>
              <w:rPr>
                <w:snapToGrid w:val="0"/>
                <w:sz w:val="22"/>
                <w:szCs w:val="22"/>
              </w:rPr>
            </w:pPr>
          </w:p>
          <w:p w:rsidR="007A3B37" w:rsidRPr="007051D7" w:rsidRDefault="007A3B37" w:rsidP="007A3B37">
            <w:pPr>
              <w:rPr>
                <w:sz w:val="22"/>
                <w:szCs w:val="22"/>
              </w:rPr>
            </w:pPr>
            <w:r w:rsidRPr="007051D7">
              <w:rPr>
                <w:sz w:val="22"/>
                <w:szCs w:val="22"/>
              </w:rPr>
              <w:t xml:space="preserve">En tjänsteman från miljö- och jordbruksutskottets kansli var uppkopplad på distans. </w:t>
            </w:r>
          </w:p>
          <w:p w:rsidR="00305501" w:rsidRPr="00FD58DB" w:rsidRDefault="00305501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7A3B37" w:rsidRPr="00FD58DB" w:rsidTr="002241EF">
        <w:tc>
          <w:tcPr>
            <w:tcW w:w="567" w:type="dxa"/>
          </w:tcPr>
          <w:p w:rsidR="007A3B37" w:rsidRPr="00FD58DB" w:rsidRDefault="007A3B3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58DB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7A3B37" w:rsidRPr="00FD58DB" w:rsidRDefault="007A3B37" w:rsidP="0037491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8DB">
              <w:rPr>
                <w:b/>
                <w:bCs/>
                <w:color w:val="000000"/>
                <w:sz w:val="22"/>
                <w:szCs w:val="22"/>
              </w:rPr>
              <w:t>Information från Infrastrukturdepartementet och Energimyndigheten</w:t>
            </w:r>
          </w:p>
          <w:p w:rsidR="007A3B37" w:rsidRPr="00FD58DB" w:rsidRDefault="007A3B37" w:rsidP="00374911">
            <w:pPr>
              <w:rPr>
                <w:b/>
                <w:sz w:val="22"/>
                <w:szCs w:val="22"/>
              </w:rPr>
            </w:pPr>
          </w:p>
          <w:p w:rsidR="007A3B37" w:rsidRPr="00FD58DB" w:rsidRDefault="007A3B37" w:rsidP="00374911">
            <w:pPr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Infrastrukturdepartementets medarbetare Magnus Hermansson</w:t>
            </w:r>
            <w:r w:rsidR="002B05AC">
              <w:rPr>
                <w:sz w:val="22"/>
                <w:szCs w:val="22"/>
              </w:rPr>
              <w:t xml:space="preserve"> </w:t>
            </w:r>
            <w:r w:rsidRPr="00FD58DB">
              <w:rPr>
                <w:sz w:val="22"/>
                <w:szCs w:val="22"/>
              </w:rPr>
              <w:t xml:space="preserve">och Andreas </w:t>
            </w:r>
            <w:proofErr w:type="spellStart"/>
            <w:r w:rsidRPr="00FD58DB">
              <w:rPr>
                <w:sz w:val="22"/>
                <w:szCs w:val="22"/>
              </w:rPr>
              <w:t>Kannesten</w:t>
            </w:r>
            <w:proofErr w:type="spellEnd"/>
            <w:r w:rsidRPr="00FD58DB">
              <w:rPr>
                <w:sz w:val="22"/>
                <w:szCs w:val="22"/>
              </w:rPr>
              <w:t xml:space="preserve"> samt Helena Leander</w:t>
            </w:r>
            <w:r w:rsidR="007741B3">
              <w:rPr>
                <w:sz w:val="22"/>
                <w:szCs w:val="22"/>
              </w:rPr>
              <w:t>,</w:t>
            </w:r>
            <w:r w:rsidRPr="00FD58DB">
              <w:rPr>
                <w:sz w:val="22"/>
                <w:szCs w:val="22"/>
              </w:rPr>
              <w:t xml:space="preserve"> Energimyndigheten</w:t>
            </w:r>
            <w:r w:rsidR="007741B3">
              <w:rPr>
                <w:sz w:val="22"/>
                <w:szCs w:val="22"/>
              </w:rPr>
              <w:t>,</w:t>
            </w:r>
            <w:r w:rsidRPr="00FD58DB">
              <w:rPr>
                <w:sz w:val="22"/>
                <w:szCs w:val="22"/>
              </w:rPr>
              <w:t xml:space="preserve"> informerade på distans om </w:t>
            </w:r>
            <w:r w:rsidRPr="00FD58DB">
              <w:rPr>
                <w:color w:val="000000"/>
                <w:sz w:val="22"/>
                <w:szCs w:val="22"/>
              </w:rPr>
              <w:t xml:space="preserve">föreslagen tillkommande lagändring med anledning av prop. 2020/21:180 Reduktionsplikt för bensin och diesel och prop. 2020/21:185 Hållbarhetskriterier - genomförande av det omarbetade </w:t>
            </w:r>
            <w:proofErr w:type="spellStart"/>
            <w:r w:rsidRPr="00FD58DB">
              <w:rPr>
                <w:color w:val="000000"/>
                <w:sz w:val="22"/>
                <w:szCs w:val="22"/>
              </w:rPr>
              <w:t>förnybartdirektivet</w:t>
            </w:r>
            <w:proofErr w:type="spellEnd"/>
            <w:r w:rsidRPr="00FD58DB">
              <w:rPr>
                <w:sz w:val="22"/>
                <w:szCs w:val="22"/>
              </w:rPr>
              <w:t xml:space="preserve">. </w:t>
            </w:r>
            <w:r w:rsidRPr="00FD58DB">
              <w:rPr>
                <w:sz w:val="22"/>
                <w:szCs w:val="22"/>
              </w:rPr>
              <w:br/>
            </w:r>
          </w:p>
        </w:tc>
      </w:tr>
      <w:tr w:rsidR="00CC5952" w:rsidRPr="00FD58DB" w:rsidTr="002241EF">
        <w:tc>
          <w:tcPr>
            <w:tcW w:w="567" w:type="dxa"/>
          </w:tcPr>
          <w:p w:rsidR="00CC5952" w:rsidRPr="00FD58DB" w:rsidRDefault="00CC595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58D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A3B37" w:rsidRPr="00FD58D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:rsidR="007A3B37" w:rsidRPr="00FD58DB" w:rsidRDefault="00FC47A3" w:rsidP="007A3B37">
            <w:pPr>
              <w:rPr>
                <w:snapToGrid w:val="0"/>
                <w:sz w:val="22"/>
                <w:szCs w:val="22"/>
              </w:rPr>
            </w:pPr>
            <w:r w:rsidRPr="00FD58DB">
              <w:rPr>
                <w:b/>
                <w:snapToGrid w:val="0"/>
                <w:sz w:val="22"/>
                <w:szCs w:val="22"/>
              </w:rPr>
              <w:t>Justering av protokoll</w:t>
            </w:r>
            <w:r w:rsidR="007A3B37" w:rsidRPr="00FD58DB">
              <w:rPr>
                <w:b/>
                <w:snapToGrid w:val="0"/>
                <w:sz w:val="22"/>
                <w:szCs w:val="22"/>
              </w:rPr>
              <w:br/>
            </w:r>
            <w:r w:rsidR="007A3B37" w:rsidRPr="00FD58DB">
              <w:rPr>
                <w:b/>
                <w:snapToGrid w:val="0"/>
                <w:sz w:val="22"/>
                <w:szCs w:val="22"/>
              </w:rPr>
              <w:br/>
            </w:r>
            <w:r w:rsidR="007A3B37" w:rsidRPr="00FD58DB">
              <w:rPr>
                <w:snapToGrid w:val="0"/>
                <w:sz w:val="22"/>
                <w:szCs w:val="22"/>
              </w:rPr>
              <w:t>Utskottet justerade protokoll 2020/21:47.</w:t>
            </w:r>
          </w:p>
          <w:p w:rsidR="00305501" w:rsidRPr="00FD58DB" w:rsidRDefault="00305501" w:rsidP="002A14A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FD58DB" w:rsidTr="00C5706E">
        <w:tc>
          <w:tcPr>
            <w:tcW w:w="567" w:type="dxa"/>
          </w:tcPr>
          <w:p w:rsidR="00D30A97" w:rsidRPr="00FD58DB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58D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A3B37" w:rsidRPr="00FD58DB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B4105C" w:rsidRDefault="007A3B37" w:rsidP="007051D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D58DB">
              <w:rPr>
                <w:b/>
                <w:bCs/>
                <w:color w:val="000000"/>
                <w:sz w:val="22"/>
                <w:szCs w:val="22"/>
              </w:rPr>
              <w:t>Kommissionens förslag till Europaparlamentets och rådets förordning om ändring av förordning (EU) 2016/1628 vad gäller övergångsbestämmelser för vissa maskiner utrustade med motorer i effektintervallen mellan 56 kW och 130 kW och över 300 kW i syfte att hantera konsekvenserna av covid-19-krisen</w:t>
            </w:r>
          </w:p>
          <w:p w:rsidR="00B4105C" w:rsidRDefault="00B4105C" w:rsidP="007051D7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305501" w:rsidRPr="00B4105C" w:rsidRDefault="00B4105C" w:rsidP="00B4105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B73C5">
              <w:rPr>
                <w:snapToGrid w:val="0"/>
                <w:sz w:val="22"/>
                <w:szCs w:val="22"/>
              </w:rPr>
              <w:t xml:space="preserve">Utskottet upptog till behandling subsidiaritetsprövningen av </w:t>
            </w:r>
            <w:proofErr w:type="gramStart"/>
            <w:r w:rsidRPr="003B73C5">
              <w:rPr>
                <w:bCs/>
                <w:color w:val="000000"/>
                <w:sz w:val="22"/>
                <w:szCs w:val="22"/>
              </w:rPr>
              <w:t>COM(</w:t>
            </w:r>
            <w:proofErr w:type="gramEnd"/>
            <w:r w:rsidRPr="003B73C5">
              <w:rPr>
                <w:bCs/>
                <w:color w:val="000000"/>
                <w:sz w:val="22"/>
                <w:szCs w:val="22"/>
              </w:rPr>
              <w:t>202</w:t>
            </w:r>
            <w:r>
              <w:rPr>
                <w:bCs/>
                <w:color w:val="000000"/>
                <w:sz w:val="22"/>
                <w:szCs w:val="22"/>
              </w:rPr>
              <w:t xml:space="preserve">1) 254. </w:t>
            </w:r>
            <w:r w:rsidRPr="003B73C5">
              <w:rPr>
                <w:snapToGrid w:val="0"/>
                <w:sz w:val="22"/>
                <w:szCs w:val="22"/>
              </w:rPr>
              <w:br/>
            </w:r>
            <w:r w:rsidRPr="003B73C5">
              <w:rPr>
                <w:snapToGrid w:val="0"/>
                <w:sz w:val="22"/>
                <w:szCs w:val="22"/>
              </w:rPr>
              <w:br/>
            </w:r>
            <w:r w:rsidRPr="000C0A63">
              <w:rPr>
                <w:snapToGrid w:val="0"/>
                <w:sz w:val="22"/>
                <w:szCs w:val="22"/>
              </w:rPr>
              <w:t>Utskottet ansåg att förslaget inte strider mot subsidiaritetsprincipen.</w:t>
            </w:r>
            <w:r w:rsidRPr="003B73C5">
              <w:rPr>
                <w:snapToGrid w:val="0"/>
                <w:sz w:val="22"/>
                <w:szCs w:val="22"/>
              </w:rPr>
              <w:br/>
            </w:r>
            <w:r w:rsidRPr="003B73C5">
              <w:rPr>
                <w:snapToGrid w:val="0"/>
                <w:sz w:val="22"/>
                <w:szCs w:val="22"/>
              </w:rPr>
              <w:br/>
            </w:r>
            <w:r w:rsidRPr="00B51C9C">
              <w:rPr>
                <w:snapToGrid w:val="0"/>
                <w:sz w:val="22"/>
                <w:szCs w:val="22"/>
              </w:rPr>
              <w:t>Denna paragraf förklarades omedelbart justerad.</w:t>
            </w:r>
            <w:r w:rsidR="007A3B37" w:rsidRPr="00FD58DB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</w:tr>
      <w:tr w:rsidR="007741B3" w:rsidRPr="00FD58DB" w:rsidTr="00201DCD">
        <w:tc>
          <w:tcPr>
            <w:tcW w:w="567" w:type="dxa"/>
          </w:tcPr>
          <w:p w:rsidR="007741B3" w:rsidRPr="00FD58DB" w:rsidRDefault="007741B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:rsidR="007741B3" w:rsidRDefault="007741B3" w:rsidP="00201D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741B3">
              <w:rPr>
                <w:b/>
                <w:bCs/>
                <w:color w:val="000000"/>
                <w:sz w:val="22"/>
                <w:szCs w:val="22"/>
              </w:rPr>
              <w:t>Fråga om utskottsinitiativ rörande vattendirektivets påverkan och problematiska implementering (C)</w:t>
            </w:r>
          </w:p>
          <w:p w:rsidR="00B4105C" w:rsidRDefault="00B4105C" w:rsidP="00201DC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B4105C" w:rsidRDefault="00B4105C" w:rsidP="00B4105C">
            <w:pPr>
              <w:rPr>
                <w:bCs/>
                <w:sz w:val="22"/>
                <w:szCs w:val="22"/>
              </w:rPr>
            </w:pPr>
            <w:r w:rsidRPr="00110295">
              <w:rPr>
                <w:bCs/>
                <w:sz w:val="22"/>
                <w:szCs w:val="22"/>
              </w:rPr>
              <w:t xml:space="preserve">Utskottet fortsatte behandlingen av ett utskottsinitiativ rörande vattendirektivets påverkan och problematiska implementering.  </w:t>
            </w:r>
          </w:p>
          <w:p w:rsidR="00B4105C" w:rsidRDefault="00B4105C" w:rsidP="00B4105C">
            <w:pPr>
              <w:rPr>
                <w:bCs/>
                <w:sz w:val="22"/>
                <w:szCs w:val="22"/>
              </w:rPr>
            </w:pPr>
          </w:p>
          <w:p w:rsidR="00B4105C" w:rsidRDefault="00B4105C" w:rsidP="00B4105C">
            <w:pPr>
              <w:rPr>
                <w:bCs/>
                <w:sz w:val="22"/>
                <w:szCs w:val="22"/>
              </w:rPr>
            </w:pPr>
            <w:r w:rsidRPr="00675EB5">
              <w:rPr>
                <w:bCs/>
                <w:sz w:val="22"/>
                <w:szCs w:val="22"/>
              </w:rPr>
              <w:t>Socialdemokraterna, Liberalerna och Miljöpartiet</w:t>
            </w:r>
            <w:r w:rsidRPr="00110295">
              <w:rPr>
                <w:bCs/>
                <w:sz w:val="22"/>
                <w:szCs w:val="22"/>
              </w:rPr>
              <w:t xml:space="preserve"> begärde i enlighet med 10 kap. 9 § riksdagsordningen att utskottet ska inhämta </w:t>
            </w:r>
            <w:r>
              <w:rPr>
                <w:bCs/>
                <w:sz w:val="22"/>
                <w:szCs w:val="22"/>
              </w:rPr>
              <w:t>upplysningar</w:t>
            </w:r>
            <w:r w:rsidRPr="00110295">
              <w:rPr>
                <w:bCs/>
                <w:sz w:val="22"/>
                <w:szCs w:val="22"/>
              </w:rPr>
              <w:t xml:space="preserve"> i ärendet </w:t>
            </w:r>
            <w:r>
              <w:rPr>
                <w:bCs/>
                <w:sz w:val="22"/>
                <w:szCs w:val="22"/>
              </w:rPr>
              <w:lastRenderedPageBreak/>
              <w:t xml:space="preserve">från </w:t>
            </w:r>
            <w:r w:rsidRPr="00110295">
              <w:rPr>
                <w:bCs/>
                <w:sz w:val="22"/>
                <w:szCs w:val="22"/>
              </w:rPr>
              <w:t>Ekologiska lantbrukarna, Havs- och vattenmyndigheten, Institutionen för akvatiska resurser (SLU Aqua), Inter</w:t>
            </w:r>
            <w:r>
              <w:rPr>
                <w:bCs/>
                <w:sz w:val="22"/>
                <w:szCs w:val="22"/>
              </w:rPr>
              <w:softHyphen/>
            </w:r>
            <w:r w:rsidRPr="00110295">
              <w:rPr>
                <w:bCs/>
                <w:sz w:val="22"/>
                <w:szCs w:val="22"/>
              </w:rPr>
              <w:t xml:space="preserve">nationella havsforskningsrådet (ICES), </w:t>
            </w:r>
            <w:r>
              <w:rPr>
                <w:bCs/>
                <w:sz w:val="22"/>
                <w:szCs w:val="22"/>
              </w:rPr>
              <w:t>Kammarkollegiet,</w:t>
            </w:r>
            <w:r w:rsidRPr="00110295">
              <w:rPr>
                <w:bCs/>
                <w:sz w:val="22"/>
                <w:szCs w:val="22"/>
              </w:rPr>
              <w:t xml:space="preserve"> Lantbrukarnas riksförbund (LRF), Miljödepartementet, Naturskydds</w:t>
            </w:r>
            <w:r>
              <w:rPr>
                <w:bCs/>
                <w:sz w:val="22"/>
                <w:szCs w:val="22"/>
              </w:rPr>
              <w:softHyphen/>
            </w:r>
            <w:r w:rsidRPr="00110295">
              <w:rPr>
                <w:bCs/>
                <w:sz w:val="22"/>
                <w:szCs w:val="22"/>
              </w:rPr>
              <w:t>föreningen, Naturvårds</w:t>
            </w:r>
            <w:r>
              <w:rPr>
                <w:bCs/>
                <w:sz w:val="22"/>
                <w:szCs w:val="22"/>
              </w:rPr>
              <w:softHyphen/>
            </w:r>
            <w:r w:rsidRPr="00110295">
              <w:rPr>
                <w:bCs/>
                <w:sz w:val="22"/>
                <w:szCs w:val="22"/>
              </w:rPr>
              <w:t>verket, Näringsdepartementet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110295">
              <w:rPr>
                <w:bCs/>
                <w:sz w:val="22"/>
                <w:szCs w:val="22"/>
              </w:rPr>
              <w:t>Sveriges geologiska undersökning (SGU), Sveriges meteorologiska och hydrologiska institut (SMHI), Sportfiskarna, Svenskt Vatten, Vattenkraftens miljöfond, Vattenmyndigh</w:t>
            </w:r>
            <w:r>
              <w:rPr>
                <w:bCs/>
                <w:sz w:val="22"/>
                <w:szCs w:val="22"/>
              </w:rPr>
              <w:t xml:space="preserve">eterna, </w:t>
            </w:r>
            <w:r w:rsidRPr="00110295">
              <w:rPr>
                <w:bCs/>
                <w:sz w:val="22"/>
                <w:szCs w:val="22"/>
              </w:rPr>
              <w:t>Världs</w:t>
            </w:r>
            <w:r>
              <w:rPr>
                <w:bCs/>
                <w:sz w:val="22"/>
                <w:szCs w:val="22"/>
              </w:rPr>
              <w:softHyphen/>
            </w:r>
            <w:r w:rsidRPr="00110295">
              <w:rPr>
                <w:bCs/>
                <w:sz w:val="22"/>
                <w:szCs w:val="22"/>
              </w:rPr>
              <w:t>naturfonden (WWF)</w:t>
            </w:r>
            <w:r>
              <w:rPr>
                <w:bCs/>
                <w:sz w:val="22"/>
                <w:szCs w:val="22"/>
              </w:rPr>
              <w:t xml:space="preserve"> och </w:t>
            </w:r>
            <w:r w:rsidRPr="00110295">
              <w:rPr>
                <w:bCs/>
                <w:sz w:val="22"/>
                <w:szCs w:val="22"/>
              </w:rPr>
              <w:t>Älvräddarna</w:t>
            </w:r>
            <w:r>
              <w:rPr>
                <w:bCs/>
                <w:sz w:val="22"/>
                <w:szCs w:val="22"/>
              </w:rPr>
              <w:t xml:space="preserve">. </w:t>
            </w:r>
          </w:p>
          <w:p w:rsidR="00B4105C" w:rsidRDefault="00B4105C" w:rsidP="00B4105C">
            <w:pPr>
              <w:rPr>
                <w:bCs/>
                <w:sz w:val="22"/>
                <w:szCs w:val="22"/>
              </w:rPr>
            </w:pPr>
          </w:p>
          <w:p w:rsidR="00B4105C" w:rsidRDefault="00B4105C" w:rsidP="00B4105C">
            <w:pPr>
              <w:rPr>
                <w:bCs/>
                <w:sz w:val="22"/>
                <w:szCs w:val="22"/>
              </w:rPr>
            </w:pPr>
            <w:r w:rsidRPr="00675EB5">
              <w:rPr>
                <w:bCs/>
                <w:sz w:val="22"/>
                <w:szCs w:val="22"/>
              </w:rPr>
              <w:t xml:space="preserve">Sverigedemokraterna </w:t>
            </w:r>
            <w:r>
              <w:rPr>
                <w:bCs/>
                <w:sz w:val="22"/>
                <w:szCs w:val="22"/>
              </w:rPr>
              <w:t xml:space="preserve">och Moderaterna </w:t>
            </w:r>
            <w:r w:rsidRPr="00110295">
              <w:rPr>
                <w:bCs/>
                <w:sz w:val="22"/>
                <w:szCs w:val="22"/>
              </w:rPr>
              <w:t xml:space="preserve">begärde i enlighet med 10 kap. 9 § riksdagsordningen att utskottet ska inhämta </w:t>
            </w:r>
            <w:r>
              <w:rPr>
                <w:bCs/>
                <w:sz w:val="22"/>
                <w:szCs w:val="22"/>
              </w:rPr>
              <w:t>upplysningar</w:t>
            </w:r>
            <w:r w:rsidRPr="00110295">
              <w:rPr>
                <w:bCs/>
                <w:sz w:val="22"/>
                <w:szCs w:val="22"/>
              </w:rPr>
              <w:t xml:space="preserve"> i ärendet från Riksantikvarieämbetet</w:t>
            </w:r>
            <w:r>
              <w:rPr>
                <w:bCs/>
                <w:sz w:val="22"/>
                <w:szCs w:val="22"/>
              </w:rPr>
              <w:t xml:space="preserve">. </w:t>
            </w:r>
          </w:p>
          <w:p w:rsidR="00B4105C" w:rsidRDefault="00B4105C" w:rsidP="00B4105C">
            <w:pPr>
              <w:rPr>
                <w:bCs/>
                <w:sz w:val="22"/>
                <w:szCs w:val="22"/>
              </w:rPr>
            </w:pPr>
          </w:p>
          <w:p w:rsidR="00B4105C" w:rsidRDefault="00B4105C" w:rsidP="00B4105C">
            <w:pPr>
              <w:rPr>
                <w:bCs/>
                <w:sz w:val="22"/>
                <w:szCs w:val="22"/>
              </w:rPr>
            </w:pPr>
            <w:r w:rsidRPr="000C3DBF">
              <w:rPr>
                <w:bCs/>
                <w:sz w:val="22"/>
                <w:szCs w:val="22"/>
              </w:rPr>
              <w:t>Socialdemokraterna, Liberalerna och Miljöpartiet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10295">
              <w:rPr>
                <w:bCs/>
                <w:sz w:val="22"/>
                <w:szCs w:val="22"/>
              </w:rPr>
              <w:t xml:space="preserve">begärde i enlighet med 10 kap. 9 § riksdagsordningen att utskottet ska inhämta </w:t>
            </w:r>
            <w:r>
              <w:rPr>
                <w:bCs/>
                <w:sz w:val="22"/>
                <w:szCs w:val="22"/>
              </w:rPr>
              <w:t>yttrande</w:t>
            </w:r>
            <w:r w:rsidRPr="00110295">
              <w:rPr>
                <w:bCs/>
                <w:sz w:val="22"/>
                <w:szCs w:val="22"/>
              </w:rPr>
              <w:t xml:space="preserve"> i ärendet </w:t>
            </w:r>
            <w:r>
              <w:rPr>
                <w:bCs/>
                <w:sz w:val="22"/>
                <w:szCs w:val="22"/>
              </w:rPr>
              <w:t xml:space="preserve">från Energimyndigheten och Trafikverket. </w:t>
            </w:r>
          </w:p>
          <w:p w:rsidR="00B4105C" w:rsidRDefault="00B4105C" w:rsidP="00B4105C">
            <w:pPr>
              <w:rPr>
                <w:snapToGrid w:val="0"/>
                <w:sz w:val="22"/>
                <w:szCs w:val="22"/>
              </w:rPr>
            </w:pPr>
          </w:p>
          <w:p w:rsidR="00B4105C" w:rsidRDefault="00B4105C" w:rsidP="00B4105C">
            <w:pPr>
              <w:rPr>
                <w:snapToGrid w:val="0"/>
                <w:sz w:val="22"/>
                <w:szCs w:val="22"/>
              </w:rPr>
            </w:pPr>
            <w:r w:rsidRPr="004D4399">
              <w:rPr>
                <w:snapToGrid w:val="0"/>
                <w:sz w:val="22"/>
                <w:szCs w:val="22"/>
              </w:rPr>
              <w:t xml:space="preserve">Utskottet beslutade att i enlighet med 10 kap. 4 § riksdagsordningen inhämta upplysningar och yttranden </w:t>
            </w:r>
            <w:r>
              <w:rPr>
                <w:snapToGrid w:val="0"/>
                <w:sz w:val="22"/>
                <w:szCs w:val="22"/>
              </w:rPr>
              <w:t xml:space="preserve">i ärendet i överensstämmelse med vad </w:t>
            </w:r>
            <w:r w:rsidRPr="00675EB5">
              <w:rPr>
                <w:bCs/>
                <w:sz w:val="22"/>
                <w:szCs w:val="22"/>
              </w:rPr>
              <w:t xml:space="preserve">Socialdemokraterna, </w:t>
            </w:r>
            <w:r>
              <w:rPr>
                <w:bCs/>
                <w:sz w:val="22"/>
                <w:szCs w:val="22"/>
              </w:rPr>
              <w:t xml:space="preserve">Moderaterna, Sverigedemokraterna, </w:t>
            </w:r>
            <w:r w:rsidRPr="00675EB5">
              <w:rPr>
                <w:bCs/>
                <w:sz w:val="22"/>
                <w:szCs w:val="22"/>
              </w:rPr>
              <w:t>Liberalerna och Miljöpartiet</w:t>
            </w:r>
            <w:r>
              <w:rPr>
                <w:bCs/>
                <w:sz w:val="22"/>
                <w:szCs w:val="22"/>
              </w:rPr>
              <w:t xml:space="preserve"> begärt</w:t>
            </w:r>
            <w:r w:rsidRPr="004D4399">
              <w:rPr>
                <w:snapToGrid w:val="0"/>
                <w:sz w:val="22"/>
                <w:szCs w:val="22"/>
              </w:rPr>
              <w:t>.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37D61">
              <w:rPr>
                <w:snapToGrid w:val="0"/>
                <w:sz w:val="22"/>
                <w:szCs w:val="22"/>
              </w:rPr>
              <w:t xml:space="preserve">Utskottet beslutade att </w:t>
            </w:r>
            <w:r>
              <w:rPr>
                <w:snapToGrid w:val="0"/>
                <w:sz w:val="22"/>
                <w:szCs w:val="22"/>
              </w:rPr>
              <w:t>upplysningar</w:t>
            </w:r>
            <w:r w:rsidRPr="00A37D61">
              <w:rPr>
                <w:snapToGrid w:val="0"/>
                <w:sz w:val="22"/>
                <w:szCs w:val="22"/>
              </w:rPr>
              <w:t xml:space="preserve"> i ärendet </w:t>
            </w:r>
            <w:r>
              <w:rPr>
                <w:snapToGrid w:val="0"/>
                <w:sz w:val="22"/>
                <w:szCs w:val="22"/>
              </w:rPr>
              <w:t xml:space="preserve">ska inhämtas </w:t>
            </w:r>
            <w:r w:rsidRPr="00A37D61">
              <w:rPr>
                <w:snapToGrid w:val="0"/>
                <w:sz w:val="22"/>
                <w:szCs w:val="22"/>
              </w:rPr>
              <w:t xml:space="preserve">under två </w:t>
            </w:r>
            <w:r>
              <w:rPr>
                <w:snapToGrid w:val="0"/>
                <w:sz w:val="22"/>
                <w:szCs w:val="22"/>
              </w:rPr>
              <w:t>sammanträden</w:t>
            </w:r>
            <w:r w:rsidRPr="00A37D61">
              <w:rPr>
                <w:snapToGrid w:val="0"/>
                <w:sz w:val="22"/>
                <w:szCs w:val="22"/>
              </w:rPr>
              <w:t xml:space="preserve">, 9 juni och 11 juni 2021. </w:t>
            </w:r>
          </w:p>
          <w:p w:rsidR="00B4105C" w:rsidRDefault="00B4105C" w:rsidP="00B4105C">
            <w:pPr>
              <w:rPr>
                <w:snapToGrid w:val="0"/>
                <w:sz w:val="22"/>
                <w:szCs w:val="22"/>
              </w:rPr>
            </w:pPr>
          </w:p>
          <w:p w:rsidR="00B4105C" w:rsidRDefault="00B4105C" w:rsidP="00B4105C">
            <w:pPr>
              <w:rPr>
                <w:bCs/>
                <w:sz w:val="22"/>
                <w:szCs w:val="22"/>
              </w:rPr>
            </w:pPr>
            <w:r w:rsidRPr="00675EB5">
              <w:rPr>
                <w:bCs/>
                <w:sz w:val="22"/>
                <w:szCs w:val="22"/>
              </w:rPr>
              <w:t>Socialdemokraterna, Liberalerna och Miljöpartiet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110295">
              <w:rPr>
                <w:bCs/>
                <w:sz w:val="22"/>
                <w:szCs w:val="22"/>
              </w:rPr>
              <w:t>begärde i enlighet med 10 kap. 9 § riksdagsordningen att utskottet ska</w:t>
            </w:r>
            <w:r>
              <w:rPr>
                <w:bCs/>
                <w:sz w:val="22"/>
                <w:szCs w:val="22"/>
              </w:rPr>
              <w:t xml:space="preserve"> bereda finansutskottet, civil</w:t>
            </w:r>
            <w:r>
              <w:rPr>
                <w:bCs/>
                <w:sz w:val="22"/>
                <w:szCs w:val="22"/>
              </w:rPr>
              <w:softHyphen/>
              <w:t>utskottet, trafikutskottet och näringsutskottet möjlighet att yttra sig i ärendet.</w:t>
            </w:r>
          </w:p>
          <w:p w:rsidR="00B4105C" w:rsidRDefault="00B4105C" w:rsidP="00B4105C">
            <w:pPr>
              <w:rPr>
                <w:snapToGrid w:val="0"/>
                <w:sz w:val="22"/>
                <w:szCs w:val="22"/>
              </w:rPr>
            </w:pPr>
          </w:p>
          <w:p w:rsidR="00B4105C" w:rsidRDefault="00B4105C" w:rsidP="00B4105C">
            <w:pPr>
              <w:rPr>
                <w:bCs/>
                <w:sz w:val="22"/>
                <w:szCs w:val="22"/>
              </w:rPr>
            </w:pPr>
            <w:r w:rsidRPr="00675EB5">
              <w:rPr>
                <w:bCs/>
                <w:sz w:val="22"/>
                <w:szCs w:val="22"/>
              </w:rPr>
              <w:t xml:space="preserve">Sverigedemokraterna </w:t>
            </w:r>
            <w:r>
              <w:rPr>
                <w:bCs/>
                <w:sz w:val="22"/>
                <w:szCs w:val="22"/>
              </w:rPr>
              <w:t>och Moderaterna</w:t>
            </w:r>
            <w:r w:rsidRPr="00110295">
              <w:rPr>
                <w:bCs/>
                <w:sz w:val="22"/>
                <w:szCs w:val="22"/>
              </w:rPr>
              <w:t xml:space="preserve"> begärde i enlighet med 10 kap. 9 § riksdagsordningen att utskottet ska</w:t>
            </w:r>
            <w:r>
              <w:rPr>
                <w:bCs/>
                <w:sz w:val="22"/>
                <w:szCs w:val="22"/>
              </w:rPr>
              <w:t xml:space="preserve"> bereda kulturutskottet möjlighet att yttra sig i ärendet.</w:t>
            </w:r>
          </w:p>
          <w:p w:rsidR="00B4105C" w:rsidRDefault="00B4105C" w:rsidP="00B4105C">
            <w:pPr>
              <w:rPr>
                <w:snapToGrid w:val="0"/>
                <w:sz w:val="22"/>
                <w:szCs w:val="22"/>
              </w:rPr>
            </w:pPr>
          </w:p>
          <w:p w:rsidR="00B4105C" w:rsidRDefault="00B4105C" w:rsidP="00B4105C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i enlighet med 10 kap. 7 § riksdagsordningen bereda civilutskottet, finansutskottet, kulturutskottet, näringsutskottet och trafik</w:t>
            </w:r>
            <w:r>
              <w:rPr>
                <w:snapToGrid w:val="0"/>
                <w:sz w:val="22"/>
                <w:szCs w:val="22"/>
              </w:rPr>
              <w:softHyphen/>
              <w:t>utskottet tillfälle att senast den 15 juni 2021 kl. 14.00 yttra sig i ärendet.</w:t>
            </w:r>
          </w:p>
          <w:p w:rsidR="00B4105C" w:rsidRDefault="00B4105C" w:rsidP="00B4105C">
            <w:pPr>
              <w:rPr>
                <w:bCs/>
                <w:sz w:val="22"/>
                <w:szCs w:val="22"/>
              </w:rPr>
            </w:pPr>
          </w:p>
          <w:p w:rsidR="00B4105C" w:rsidRPr="00110295" w:rsidRDefault="00B4105C" w:rsidP="00B4105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Utskottets beslutade att finansutskottet, civil</w:t>
            </w:r>
            <w:r>
              <w:rPr>
                <w:bCs/>
                <w:sz w:val="22"/>
                <w:szCs w:val="22"/>
              </w:rPr>
              <w:softHyphen/>
              <w:t xml:space="preserve">utskottet, trafikutskottet och näringsutskottet </w:t>
            </w:r>
            <w:r>
              <w:rPr>
                <w:snapToGrid w:val="0"/>
                <w:sz w:val="22"/>
                <w:szCs w:val="22"/>
              </w:rPr>
              <w:t xml:space="preserve">ska beredas möjlighet att delta vid miljö- och jordbruksutskottets sammanträden den 9 juni och den 11 juni 2021. </w:t>
            </w:r>
          </w:p>
          <w:p w:rsidR="00B4105C" w:rsidRPr="00110295" w:rsidRDefault="00B4105C" w:rsidP="00B4105C">
            <w:pPr>
              <w:rPr>
                <w:bCs/>
                <w:sz w:val="22"/>
                <w:szCs w:val="22"/>
              </w:rPr>
            </w:pPr>
          </w:p>
          <w:p w:rsidR="00B4105C" w:rsidRDefault="00B4105C" w:rsidP="00B4105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10295">
              <w:rPr>
                <w:snapToGrid w:val="0"/>
                <w:sz w:val="22"/>
                <w:szCs w:val="22"/>
              </w:rPr>
              <w:t xml:space="preserve">Denna paragraf förklarades omedelbart justerad.  </w:t>
            </w:r>
          </w:p>
          <w:p w:rsidR="007741B3" w:rsidRPr="007741B3" w:rsidRDefault="007741B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A1132" w:rsidRPr="00FD58DB" w:rsidTr="00201DCD">
        <w:tc>
          <w:tcPr>
            <w:tcW w:w="567" w:type="dxa"/>
          </w:tcPr>
          <w:p w:rsidR="007A1132" w:rsidRPr="00FD58DB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58DB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7741B3">
              <w:rPr>
                <w:b/>
                <w:snapToGrid w:val="0"/>
                <w:sz w:val="22"/>
                <w:szCs w:val="22"/>
              </w:rPr>
              <w:t>6</w:t>
            </w:r>
            <w:r w:rsidRPr="00FD58DB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7741B3" w:rsidRDefault="007A3B37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D58D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Inkommen skrivelse</w:t>
            </w:r>
            <w:r w:rsidRPr="00FD58D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FD58D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 w:rsidRPr="00FD58D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En inkommen skrivelse enligt bilaga </w:t>
            </w:r>
            <w:r w:rsidRPr="007051D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</w:t>
            </w:r>
            <w:r w:rsidRPr="00FD58D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anmäldes och lades till handlingarna.</w:t>
            </w:r>
          </w:p>
          <w:p w:rsidR="007A1132" w:rsidRPr="00FD58DB" w:rsidRDefault="007A3B37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D58D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741B3" w:rsidRPr="00FD58DB" w:rsidTr="00201DCD">
        <w:tc>
          <w:tcPr>
            <w:tcW w:w="567" w:type="dxa"/>
          </w:tcPr>
          <w:p w:rsidR="007741B3" w:rsidRPr="00FD58DB" w:rsidRDefault="007741B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946" w:type="dxa"/>
            <w:gridSpan w:val="2"/>
          </w:tcPr>
          <w:p w:rsidR="007741B3" w:rsidRDefault="007741B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Övriga frågor</w:t>
            </w:r>
          </w:p>
          <w:p w:rsidR="007051D7" w:rsidRDefault="007051D7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7051D7" w:rsidRPr="007051D7" w:rsidRDefault="007051D7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7051D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Magnus Oscarsson (KD) föreslog att Lantbrukarnas riksförbund (LRF) och </w:t>
            </w:r>
            <w:r w:rsidR="00C3532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l</w:t>
            </w:r>
            <w:r w:rsidRPr="007051D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andsbygdsministern bjuds in för att informera om sin syn på vädrets påverkan för lantbrukarna med anledning av den senaste tidens regn.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Utskottet beslutade att låta presidiet hantera den fortsatta planeringen av frågan. </w:t>
            </w:r>
          </w:p>
          <w:p w:rsidR="007741B3" w:rsidRPr="00FD58DB" w:rsidRDefault="007741B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FD58DB" w:rsidTr="00C5706E">
        <w:tc>
          <w:tcPr>
            <w:tcW w:w="567" w:type="dxa"/>
          </w:tcPr>
          <w:p w:rsidR="00D87D66" w:rsidRPr="00FD58DB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D58D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741B3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D87D66" w:rsidRPr="00FD58D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FD58DB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FD58DB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1812C4" w:rsidRDefault="005957E5" w:rsidP="002A14AC">
            <w:pPr>
              <w:rPr>
                <w:snapToGrid w:val="0"/>
                <w:sz w:val="22"/>
                <w:szCs w:val="22"/>
              </w:rPr>
            </w:pPr>
            <w:r w:rsidRPr="00FD58DB">
              <w:rPr>
                <w:snapToGrid w:val="0"/>
                <w:sz w:val="22"/>
                <w:szCs w:val="22"/>
              </w:rPr>
              <w:t>Nästa sammanträde äger rum t</w:t>
            </w:r>
            <w:r w:rsidR="007A3B37" w:rsidRPr="00FD58DB">
              <w:rPr>
                <w:snapToGrid w:val="0"/>
                <w:sz w:val="22"/>
                <w:szCs w:val="22"/>
              </w:rPr>
              <w:t>i</w:t>
            </w:r>
            <w:r w:rsidRPr="00FD58DB">
              <w:rPr>
                <w:snapToGrid w:val="0"/>
                <w:sz w:val="22"/>
                <w:szCs w:val="22"/>
              </w:rPr>
              <w:t>sdagen den</w:t>
            </w:r>
            <w:r w:rsidR="00305501" w:rsidRPr="00FD58DB">
              <w:rPr>
                <w:snapToGrid w:val="0"/>
                <w:sz w:val="22"/>
                <w:szCs w:val="22"/>
              </w:rPr>
              <w:t xml:space="preserve"> </w:t>
            </w:r>
            <w:r w:rsidR="007A3B37" w:rsidRPr="00FD58DB">
              <w:rPr>
                <w:snapToGrid w:val="0"/>
                <w:sz w:val="22"/>
                <w:szCs w:val="22"/>
              </w:rPr>
              <w:t>1 juni</w:t>
            </w:r>
            <w:r w:rsidR="00CB71B9" w:rsidRPr="00FD58DB">
              <w:rPr>
                <w:snapToGrid w:val="0"/>
                <w:sz w:val="22"/>
                <w:szCs w:val="22"/>
              </w:rPr>
              <w:t xml:space="preserve"> 202</w:t>
            </w:r>
            <w:r w:rsidR="00AA1A3B" w:rsidRPr="00FD58DB">
              <w:rPr>
                <w:snapToGrid w:val="0"/>
                <w:sz w:val="22"/>
                <w:szCs w:val="22"/>
              </w:rPr>
              <w:t>1</w:t>
            </w:r>
            <w:r w:rsidRPr="00FD58DB">
              <w:rPr>
                <w:snapToGrid w:val="0"/>
                <w:sz w:val="22"/>
                <w:szCs w:val="22"/>
              </w:rPr>
              <w:t xml:space="preserve"> kl. </w:t>
            </w:r>
            <w:r w:rsidR="007A3B37" w:rsidRPr="00FD58DB">
              <w:rPr>
                <w:snapToGrid w:val="0"/>
                <w:sz w:val="22"/>
                <w:szCs w:val="22"/>
              </w:rPr>
              <w:t>11</w:t>
            </w:r>
            <w:r w:rsidRPr="00FD58DB">
              <w:rPr>
                <w:snapToGrid w:val="0"/>
                <w:sz w:val="22"/>
                <w:szCs w:val="22"/>
              </w:rPr>
              <w:t>.00.</w:t>
            </w:r>
          </w:p>
          <w:p w:rsidR="005957E5" w:rsidRPr="00FD58DB" w:rsidRDefault="007A3B37" w:rsidP="002A14AC">
            <w:pPr>
              <w:rPr>
                <w:snapToGrid w:val="0"/>
                <w:sz w:val="22"/>
                <w:szCs w:val="22"/>
              </w:rPr>
            </w:pPr>
            <w:r w:rsidRPr="00FD58DB">
              <w:rPr>
                <w:snapToGrid w:val="0"/>
                <w:sz w:val="22"/>
                <w:szCs w:val="22"/>
              </w:rPr>
              <w:br/>
            </w:r>
          </w:p>
          <w:p w:rsidR="005957E5" w:rsidRPr="00FD58DB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FD58DB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FD58D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FD58D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lastRenderedPageBreak/>
              <w:t>Vid protokollet</w:t>
            </w:r>
          </w:p>
          <w:p w:rsidR="00D5250E" w:rsidRPr="00FD58D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FD58DB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7A3B37" w:rsidRPr="00FD58DB" w:rsidRDefault="007A3B37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FD58D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Justeras den</w:t>
            </w:r>
            <w:r w:rsidR="00505A58" w:rsidRPr="00FD58DB">
              <w:rPr>
                <w:sz w:val="22"/>
                <w:szCs w:val="22"/>
              </w:rPr>
              <w:t xml:space="preserve"> </w:t>
            </w:r>
            <w:r w:rsidR="007A3B37" w:rsidRPr="00FD58DB">
              <w:rPr>
                <w:sz w:val="22"/>
                <w:szCs w:val="22"/>
              </w:rPr>
              <w:t>3 juni</w:t>
            </w:r>
            <w:r w:rsidR="00CB71B9" w:rsidRPr="00FD58DB">
              <w:rPr>
                <w:sz w:val="22"/>
                <w:szCs w:val="22"/>
              </w:rPr>
              <w:t xml:space="preserve"> 202</w:t>
            </w:r>
            <w:r w:rsidR="00AA1A3B" w:rsidRPr="00FD58DB">
              <w:rPr>
                <w:sz w:val="22"/>
                <w:szCs w:val="22"/>
              </w:rPr>
              <w:t>1</w:t>
            </w:r>
          </w:p>
          <w:p w:rsidR="00D5250E" w:rsidRPr="00FD58DB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FD58DB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FD58DB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:rsidR="00F143DB" w:rsidRPr="00FD58DB" w:rsidRDefault="000019AE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</w:tc>
      </w:tr>
    </w:tbl>
    <w:p w:rsidR="00177FF8" w:rsidRPr="00FD58DB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FD58DB" w:rsidRDefault="00B96E81" w:rsidP="001806D9">
      <w:pPr>
        <w:pStyle w:val="Brdtext"/>
        <w:rPr>
          <w:sz w:val="22"/>
          <w:szCs w:val="22"/>
        </w:rPr>
        <w:sectPr w:rsidR="00B96E81" w:rsidRPr="00FD58DB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FD58DB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FD58DB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lastRenderedPageBreak/>
              <w:br w:type="page"/>
            </w:r>
            <w:r w:rsidRPr="00FD58DB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FD58DB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D58D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FD58DB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D58DB">
              <w:rPr>
                <w:b/>
                <w:sz w:val="22"/>
                <w:szCs w:val="22"/>
              </w:rPr>
              <w:t xml:space="preserve">Bilaga 1 </w:t>
            </w:r>
            <w:r w:rsidRPr="00FD58DB">
              <w:rPr>
                <w:sz w:val="22"/>
                <w:szCs w:val="22"/>
              </w:rPr>
              <w:t xml:space="preserve">till </w:t>
            </w:r>
          </w:p>
          <w:p w:rsidR="009823FA" w:rsidRPr="00FD58DB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prot. 20</w:t>
            </w:r>
            <w:r w:rsidR="007A1132" w:rsidRPr="00FD58DB">
              <w:rPr>
                <w:sz w:val="22"/>
                <w:szCs w:val="22"/>
              </w:rPr>
              <w:t>20</w:t>
            </w:r>
            <w:r w:rsidRPr="00FD58DB">
              <w:rPr>
                <w:sz w:val="22"/>
                <w:szCs w:val="22"/>
              </w:rPr>
              <w:t>/</w:t>
            </w:r>
            <w:r w:rsidR="000E777E" w:rsidRPr="00FD58DB">
              <w:rPr>
                <w:sz w:val="22"/>
                <w:szCs w:val="22"/>
              </w:rPr>
              <w:t>2</w:t>
            </w:r>
            <w:r w:rsidR="007A1132" w:rsidRPr="00FD58DB">
              <w:rPr>
                <w:sz w:val="22"/>
                <w:szCs w:val="22"/>
              </w:rPr>
              <w:t>1</w:t>
            </w:r>
            <w:r w:rsidRPr="00FD58DB">
              <w:rPr>
                <w:sz w:val="22"/>
                <w:szCs w:val="22"/>
              </w:rPr>
              <w:t>:</w:t>
            </w:r>
            <w:r w:rsidR="00E068D8">
              <w:rPr>
                <w:sz w:val="22"/>
                <w:szCs w:val="22"/>
              </w:rPr>
              <w:t>49</w:t>
            </w:r>
          </w:p>
        </w:tc>
      </w:tr>
      <w:tr w:rsidR="009823FA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FD58DB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FD58DB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 xml:space="preserve">§ </w:t>
            </w:r>
            <w:r w:rsidR="007051D7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FD58DB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 xml:space="preserve"> </w:t>
            </w:r>
            <w:r w:rsidR="007051D7">
              <w:rPr>
                <w:sz w:val="22"/>
                <w:szCs w:val="22"/>
              </w:rPr>
              <w:t>§ 2–4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FD58DB" w:rsidRDefault="007051D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5–8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FD58DB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FD58DB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FD58DB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D58D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V</w:t>
            </w: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B7B" w:rsidRPr="00FD58DB" w:rsidRDefault="00B40F4D" w:rsidP="00B40F4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 w:rsidRPr="00FD58DB">
              <w:rPr>
                <w:sz w:val="22"/>
                <w:szCs w:val="22"/>
                <w:lang w:eastAsia="en-US"/>
              </w:rPr>
              <w:t>Kristina Yngwe (C),</w:t>
            </w:r>
            <w:r w:rsidRPr="00FD58DB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D58DB">
              <w:rPr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FD58DB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D58DB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D58DB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FD58DB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FD58DB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FD58DB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FD58DB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D58DB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D58DB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FD58DB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FD58DB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D58DB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D58DB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D58DB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D58DB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D58DB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D58DB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D58DB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D58D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D58DB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D58DB">
              <w:rPr>
                <w:sz w:val="22"/>
                <w:szCs w:val="22"/>
                <w:lang w:eastAsia="en-US"/>
              </w:rPr>
              <w:t>Nina Lundström</w:t>
            </w:r>
            <w:r w:rsidR="00B40F4D" w:rsidRPr="00FD58DB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DC305F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D58DB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="00B40F4D" w:rsidRPr="00FD58DB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FD58DB">
              <w:rPr>
                <w:sz w:val="22"/>
                <w:szCs w:val="22"/>
                <w:lang w:eastAsia="en-US"/>
              </w:rPr>
              <w:t>Ulrika Heie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FD58DB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D58DB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D58DB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D58DB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D58DB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D58DB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D58DB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D58DB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D58DB">
              <w:rPr>
                <w:sz w:val="22"/>
                <w:szCs w:val="22"/>
              </w:rPr>
              <w:t xml:space="preserve">Birger </w:t>
            </w:r>
            <w:r w:rsidRPr="00FD58DB">
              <w:rPr>
                <w:sz w:val="22"/>
                <w:szCs w:val="22"/>
                <w:lang w:eastAsia="en-US"/>
              </w:rPr>
              <w:t>Lahti</w:t>
            </w:r>
            <w:r w:rsidRPr="00FD58DB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D58DB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C286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D58DB">
              <w:rPr>
                <w:sz w:val="22"/>
                <w:szCs w:val="22"/>
                <w:lang w:val="en-US" w:eastAsia="en-US"/>
              </w:rPr>
              <w:t>Mats Nordberg</w:t>
            </w:r>
            <w:r w:rsidR="00B40F4D" w:rsidRPr="00FD58DB"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D58DB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D58DB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D58DB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D58DB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D58DB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D58DB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FD58DB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7051D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D58DB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D58DB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D58DB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D58DB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D58DB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D58DB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D58DB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D58DB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D58DB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D58DB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D58DB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D58DB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FD58DB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D58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D58D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D58D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D58D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D58D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D58D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D58D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D58D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D58D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D58D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D58D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D58D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FD58DB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FD58DB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FD58DB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D1794C" w:rsidRPr="00FD58DB" w:rsidRDefault="00D1794C">
      <w:pPr>
        <w:widowControl/>
        <w:rPr>
          <w:sz w:val="22"/>
          <w:szCs w:val="22"/>
        </w:rPr>
      </w:pPr>
    </w:p>
    <w:p w:rsidR="00800F79" w:rsidRPr="00FD58DB" w:rsidRDefault="00800F79" w:rsidP="00800F79">
      <w:pPr>
        <w:pStyle w:val="Brdtext"/>
        <w:rPr>
          <w:sz w:val="22"/>
          <w:szCs w:val="22"/>
        </w:rPr>
        <w:sectPr w:rsidR="00800F79" w:rsidRPr="00FD58DB" w:rsidSect="002D06F9">
          <w:pgSz w:w="11906" w:h="16838" w:code="9"/>
          <w:pgMar w:top="567" w:right="1134" w:bottom="567" w:left="1134" w:header="720" w:footer="720" w:gutter="0"/>
          <w:cols w:space="720"/>
          <w:titlePg/>
        </w:sect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1843"/>
        <w:gridCol w:w="1701"/>
      </w:tblGrid>
      <w:tr w:rsidR="00800F79" w:rsidRPr="00FD58DB" w:rsidTr="00292359">
        <w:tc>
          <w:tcPr>
            <w:tcW w:w="5457" w:type="dxa"/>
          </w:tcPr>
          <w:p w:rsidR="00800F79" w:rsidRPr="00FD58DB" w:rsidRDefault="00800F79" w:rsidP="00292359">
            <w:pPr>
              <w:tabs>
                <w:tab w:val="left" w:pos="1276"/>
              </w:tabs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lastRenderedPageBreak/>
              <w:br w:type="page"/>
              <w:t>MILJÖ- OCH JORDBRUKSUTSKOTTET</w:t>
            </w:r>
          </w:p>
        </w:tc>
        <w:tc>
          <w:tcPr>
            <w:tcW w:w="1843" w:type="dxa"/>
          </w:tcPr>
          <w:p w:rsidR="00800F79" w:rsidRPr="00FD58DB" w:rsidRDefault="00800F79" w:rsidP="00292359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800F79" w:rsidRPr="00FD58DB" w:rsidRDefault="00800F79" w:rsidP="00292359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D58DB">
              <w:rPr>
                <w:b/>
                <w:sz w:val="22"/>
                <w:szCs w:val="22"/>
              </w:rPr>
              <w:t xml:space="preserve">Bilaga </w:t>
            </w:r>
            <w:r w:rsidR="007051D7">
              <w:rPr>
                <w:b/>
                <w:sz w:val="22"/>
                <w:szCs w:val="22"/>
              </w:rPr>
              <w:t>2</w:t>
            </w:r>
          </w:p>
          <w:p w:rsidR="00800F79" w:rsidRPr="00FD58DB" w:rsidRDefault="00800F79" w:rsidP="00292359">
            <w:pPr>
              <w:tabs>
                <w:tab w:val="left" w:pos="1276"/>
              </w:tabs>
              <w:ind w:right="-212"/>
              <w:rPr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till protokoll</w:t>
            </w:r>
          </w:p>
          <w:p w:rsidR="00800F79" w:rsidRPr="00FD58DB" w:rsidRDefault="00800F79" w:rsidP="00292359">
            <w:pPr>
              <w:tabs>
                <w:tab w:val="left" w:pos="1276"/>
              </w:tabs>
              <w:ind w:right="-212"/>
              <w:rPr>
                <w:b/>
                <w:sz w:val="22"/>
                <w:szCs w:val="22"/>
              </w:rPr>
            </w:pPr>
            <w:r w:rsidRPr="00FD58DB">
              <w:rPr>
                <w:sz w:val="22"/>
                <w:szCs w:val="22"/>
              </w:rPr>
              <w:t>2020/21:</w:t>
            </w:r>
            <w:r w:rsidR="00E068D8">
              <w:rPr>
                <w:sz w:val="22"/>
                <w:szCs w:val="22"/>
              </w:rPr>
              <w:t>49</w:t>
            </w:r>
          </w:p>
        </w:tc>
      </w:tr>
    </w:tbl>
    <w:p w:rsidR="00800F79" w:rsidRPr="00FD58DB" w:rsidRDefault="00800F79" w:rsidP="00800F79">
      <w:pPr>
        <w:tabs>
          <w:tab w:val="left" w:pos="142"/>
          <w:tab w:val="left" w:pos="7655"/>
        </w:tabs>
        <w:ind w:right="-568"/>
        <w:rPr>
          <w:sz w:val="22"/>
          <w:szCs w:val="22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800F79" w:rsidRPr="00FD58DB" w:rsidTr="00292359">
        <w:trPr>
          <w:trHeight w:val="614"/>
        </w:trPr>
        <w:tc>
          <w:tcPr>
            <w:tcW w:w="2197" w:type="dxa"/>
          </w:tcPr>
          <w:p w:rsidR="00800F79" w:rsidRPr="00FD58DB" w:rsidRDefault="00800F79" w:rsidP="00292359">
            <w:pPr>
              <w:tabs>
                <w:tab w:val="left" w:pos="142"/>
                <w:tab w:val="left" w:pos="7655"/>
              </w:tabs>
              <w:ind w:right="-568"/>
              <w:rPr>
                <w:b/>
                <w:i/>
                <w:sz w:val="22"/>
                <w:szCs w:val="22"/>
              </w:rPr>
            </w:pPr>
          </w:p>
        </w:tc>
        <w:tc>
          <w:tcPr>
            <w:tcW w:w="6945" w:type="dxa"/>
          </w:tcPr>
          <w:p w:rsidR="00800F79" w:rsidRPr="00FD58DB" w:rsidRDefault="00800F79" w:rsidP="00292359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FD58DB">
              <w:rPr>
                <w:i/>
                <w:sz w:val="22"/>
                <w:szCs w:val="22"/>
              </w:rPr>
              <w:t>Inkomna skrivelser</w:t>
            </w:r>
          </w:p>
        </w:tc>
      </w:tr>
      <w:tr w:rsidR="00800F79" w:rsidRPr="00FD58DB" w:rsidTr="00292359">
        <w:trPr>
          <w:trHeight w:val="594"/>
        </w:trPr>
        <w:tc>
          <w:tcPr>
            <w:tcW w:w="2197" w:type="dxa"/>
          </w:tcPr>
          <w:p w:rsidR="00800F79" w:rsidRPr="00FD58DB" w:rsidRDefault="00800F79" w:rsidP="00292359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  <w:szCs w:val="22"/>
              </w:rPr>
            </w:pPr>
            <w:r w:rsidRPr="00FD58DB">
              <w:rPr>
                <w:i/>
                <w:sz w:val="22"/>
                <w:szCs w:val="22"/>
              </w:rPr>
              <w:t>Dnr</w:t>
            </w:r>
          </w:p>
        </w:tc>
        <w:tc>
          <w:tcPr>
            <w:tcW w:w="6945" w:type="dxa"/>
          </w:tcPr>
          <w:p w:rsidR="00800F79" w:rsidRPr="00FD58DB" w:rsidRDefault="00800F79" w:rsidP="00292359">
            <w:pPr>
              <w:tabs>
                <w:tab w:val="left" w:pos="142"/>
                <w:tab w:val="left" w:pos="7655"/>
              </w:tabs>
              <w:ind w:right="-568"/>
              <w:rPr>
                <w:b/>
                <w:i/>
                <w:sz w:val="22"/>
                <w:szCs w:val="22"/>
              </w:rPr>
            </w:pPr>
            <w:r w:rsidRPr="00FD58DB">
              <w:rPr>
                <w:i/>
                <w:sz w:val="22"/>
                <w:szCs w:val="22"/>
              </w:rPr>
              <w:t>Avsändare / ämne</w:t>
            </w:r>
          </w:p>
        </w:tc>
      </w:tr>
      <w:tr w:rsidR="00800F79" w:rsidRPr="00FD58DB" w:rsidTr="00292359">
        <w:trPr>
          <w:trHeight w:val="660"/>
        </w:trPr>
        <w:tc>
          <w:tcPr>
            <w:tcW w:w="2197" w:type="dxa"/>
          </w:tcPr>
          <w:p w:rsidR="00800F79" w:rsidRPr="00FD58DB" w:rsidRDefault="00E068D8" w:rsidP="00292359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1973</w:t>
            </w:r>
            <w:r w:rsidRPr="00FD58DB">
              <w:rPr>
                <w:sz w:val="22"/>
                <w:szCs w:val="22"/>
              </w:rPr>
              <w:t>–2020</w:t>
            </w:r>
            <w:r w:rsidR="00800F79" w:rsidRPr="00FD58DB">
              <w:rPr>
                <w:sz w:val="22"/>
                <w:szCs w:val="22"/>
              </w:rPr>
              <w:t>/21</w:t>
            </w:r>
          </w:p>
        </w:tc>
        <w:tc>
          <w:tcPr>
            <w:tcW w:w="6945" w:type="dxa"/>
          </w:tcPr>
          <w:p w:rsidR="00800F79" w:rsidRPr="00FD58DB" w:rsidRDefault="00E068D8" w:rsidP="00292359">
            <w:pPr>
              <w:tabs>
                <w:tab w:val="left" w:pos="142"/>
                <w:tab w:val="left" w:pos="7655"/>
              </w:tabs>
              <w:ind w:right="-568"/>
              <w:rPr>
                <w:sz w:val="22"/>
                <w:szCs w:val="22"/>
              </w:rPr>
            </w:pPr>
            <w:r w:rsidRPr="00E068D8">
              <w:rPr>
                <w:sz w:val="22"/>
                <w:szCs w:val="22"/>
              </w:rPr>
              <w:t>Eva Sträng</w:t>
            </w:r>
            <w:r>
              <w:rPr>
                <w:sz w:val="22"/>
                <w:szCs w:val="22"/>
              </w:rPr>
              <w:t xml:space="preserve"> / </w:t>
            </w:r>
            <w:r w:rsidRPr="00E068D8">
              <w:rPr>
                <w:sz w:val="22"/>
                <w:szCs w:val="22"/>
              </w:rPr>
              <w:t>Skrivelse om jourhavande veterinärer</w:t>
            </w:r>
          </w:p>
        </w:tc>
      </w:tr>
    </w:tbl>
    <w:p w:rsidR="00800F79" w:rsidRPr="00FD58DB" w:rsidRDefault="00800F79" w:rsidP="00800F79">
      <w:pPr>
        <w:tabs>
          <w:tab w:val="left" w:pos="426"/>
          <w:tab w:val="left" w:pos="3261"/>
          <w:tab w:val="left" w:pos="6804"/>
        </w:tabs>
        <w:rPr>
          <w:sz w:val="22"/>
          <w:szCs w:val="22"/>
        </w:rPr>
      </w:pPr>
    </w:p>
    <w:p w:rsidR="004E030E" w:rsidRPr="00FD58DB" w:rsidRDefault="004E030E">
      <w:pPr>
        <w:rPr>
          <w:sz w:val="22"/>
          <w:szCs w:val="22"/>
        </w:rPr>
      </w:pPr>
    </w:p>
    <w:sectPr w:rsidR="004E030E" w:rsidRPr="00FD58DB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19AE"/>
    <w:rsid w:val="00007222"/>
    <w:rsid w:val="00022E0C"/>
    <w:rsid w:val="00033928"/>
    <w:rsid w:val="000340CE"/>
    <w:rsid w:val="0003479D"/>
    <w:rsid w:val="00034F00"/>
    <w:rsid w:val="00040A3C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E402E"/>
    <w:rsid w:val="000E777E"/>
    <w:rsid w:val="000F6792"/>
    <w:rsid w:val="000F7D9B"/>
    <w:rsid w:val="00102D5B"/>
    <w:rsid w:val="00102F93"/>
    <w:rsid w:val="001107C9"/>
    <w:rsid w:val="00111773"/>
    <w:rsid w:val="001201A1"/>
    <w:rsid w:val="001238B9"/>
    <w:rsid w:val="0014421B"/>
    <w:rsid w:val="00154537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12C4"/>
    <w:rsid w:val="00183F5A"/>
    <w:rsid w:val="00190D5B"/>
    <w:rsid w:val="001A198D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B05AC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74911"/>
    <w:rsid w:val="00381298"/>
    <w:rsid w:val="00384217"/>
    <w:rsid w:val="00387440"/>
    <w:rsid w:val="003941CA"/>
    <w:rsid w:val="00395EBD"/>
    <w:rsid w:val="00396766"/>
    <w:rsid w:val="003A006F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6D24"/>
    <w:rsid w:val="00647558"/>
    <w:rsid w:val="0065168B"/>
    <w:rsid w:val="00657FD1"/>
    <w:rsid w:val="00675F6F"/>
    <w:rsid w:val="0069597E"/>
    <w:rsid w:val="006A63A7"/>
    <w:rsid w:val="006D05CF"/>
    <w:rsid w:val="006D312E"/>
    <w:rsid w:val="006D4530"/>
    <w:rsid w:val="006D5F8F"/>
    <w:rsid w:val="006E15D9"/>
    <w:rsid w:val="006F4672"/>
    <w:rsid w:val="007027D6"/>
    <w:rsid w:val="007051D7"/>
    <w:rsid w:val="00716686"/>
    <w:rsid w:val="00721C53"/>
    <w:rsid w:val="007453FF"/>
    <w:rsid w:val="00754C4A"/>
    <w:rsid w:val="007555BE"/>
    <w:rsid w:val="00762508"/>
    <w:rsid w:val="007719E4"/>
    <w:rsid w:val="007741B3"/>
    <w:rsid w:val="00783165"/>
    <w:rsid w:val="00796426"/>
    <w:rsid w:val="007A1132"/>
    <w:rsid w:val="007A3B37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692B"/>
    <w:rsid w:val="008E1864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53D4"/>
    <w:rsid w:val="0097584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05C"/>
    <w:rsid w:val="00B419CA"/>
    <w:rsid w:val="00B54A57"/>
    <w:rsid w:val="00B5691D"/>
    <w:rsid w:val="00B579F1"/>
    <w:rsid w:val="00B62905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22E5F"/>
    <w:rsid w:val="00C35324"/>
    <w:rsid w:val="00C367C6"/>
    <w:rsid w:val="00C55553"/>
    <w:rsid w:val="00C65F27"/>
    <w:rsid w:val="00C6697A"/>
    <w:rsid w:val="00C674DC"/>
    <w:rsid w:val="00C80EBD"/>
    <w:rsid w:val="00CA0FF8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3199D"/>
    <w:rsid w:val="00D46465"/>
    <w:rsid w:val="00D5250E"/>
    <w:rsid w:val="00D75A18"/>
    <w:rsid w:val="00D830E6"/>
    <w:rsid w:val="00D87D66"/>
    <w:rsid w:val="00D94F64"/>
    <w:rsid w:val="00D95C10"/>
    <w:rsid w:val="00DA2C47"/>
    <w:rsid w:val="00DA34F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068D8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55B2"/>
    <w:rsid w:val="00F82610"/>
    <w:rsid w:val="00F832D2"/>
    <w:rsid w:val="00F86DDF"/>
    <w:rsid w:val="00F902C3"/>
    <w:rsid w:val="00F97D4A"/>
    <w:rsid w:val="00FA6C99"/>
    <w:rsid w:val="00FB0559"/>
    <w:rsid w:val="00FB5AF3"/>
    <w:rsid w:val="00FC1B12"/>
    <w:rsid w:val="00FC47A3"/>
    <w:rsid w:val="00FD58DB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7D631-801F-4A5C-9192-898683CC6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906</Words>
  <Characters>6137</Characters>
  <Application>Microsoft Office Word</Application>
  <DocSecurity>4</DocSecurity>
  <Lines>1022</Lines>
  <Paragraphs>251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2020-10-20T07:22:00Z</cp:lastPrinted>
  <dcterms:created xsi:type="dcterms:W3CDTF">2021-06-03T13:53:00Z</dcterms:created>
  <dcterms:modified xsi:type="dcterms:W3CDTF">2021-06-03T13:53:00Z</dcterms:modified>
</cp:coreProperties>
</file>