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154A2" w14:paraId="7D423193" w14:textId="77777777">
      <w:pPr>
        <w:pStyle w:val="RubrikFrslagTIllRiksdagsbeslut"/>
      </w:pPr>
      <w:sdt>
        <w:sdtPr>
          <w:alias w:val="CC_Boilerplate_4"/>
          <w:tag w:val="CC_Boilerplate_4"/>
          <w:id w:val="-1644581176"/>
          <w:lock w:val="sdtContentLocked"/>
          <w:placeholder>
            <w:docPart w:val="575CB7BFBF2846EBAC88C576025187B9"/>
          </w:placeholder>
          <w:text/>
        </w:sdtPr>
        <w:sdtContent>
          <w:r w:rsidRPr="009B062B">
            <w:t>Förslag till riksdagsbeslut</w:t>
          </w:r>
        </w:sdtContent>
      </w:sdt>
      <w:bookmarkEnd w:id="0"/>
      <w:bookmarkEnd w:id="1"/>
    </w:p>
    <w:sdt>
      <w:sdtPr>
        <w:alias w:val="Yrkande 1"/>
        <w:tag w:val="73d7afdd-439f-45f2-99bf-42a13d9c6d27"/>
        <w:id w:val="-263302734"/>
        <w:lock w:val="sdtLocked"/>
        <w:richText/>
      </w:sdtPr>
      <w:sdtContent>
        <w:p w:rsidR="00415F2B" w14:paraId="35D1C277" w14:textId="77777777">
          <w:pPr>
            <w:pStyle w:val="Frslagstext"/>
            <w:numPr>
              <w:ilvl w:val="0"/>
              <w:numId w:val="0"/>
            </w:numPr>
          </w:pPr>
          <w:r>
            <w:t>Riksdagen ställer sig bakom det som anförs i motionen om att säkerställa att översynen av minerallagen omfattar stärkt inflytande, rättssäkerhet och ersättningsskydd för berörda markägare vid prospektering och mineralutvinning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F1400908D1A4BB08B8E265B2D5A0C19"/>
        </w:placeholder>
        <w:text/>
      </w:sdtPr>
      <w:sdtContent>
        <w:p w:rsidR="006D79C9" w:rsidRPr="009B062B" w:rsidP="00333E95" w14:paraId="6FDF121F" w14:textId="77777777">
          <w:pPr>
            <w:pStyle w:val="Heading1"/>
          </w:pPr>
          <w:r>
            <w:t>Motivering</w:t>
          </w:r>
        </w:p>
      </w:sdtContent>
    </w:sdt>
    <w:bookmarkEnd w:id="3" w:displacedByCustomXml="prev"/>
    <w:bookmarkEnd w:id="4" w:displacedByCustomXml="prev"/>
    <w:p w:rsidR="00B25961" w:rsidP="00FE3CF8" w14:paraId="2FD5237F" w14:textId="77777777">
      <w:pPr>
        <w:pStyle w:val="Normalutanindragellerluft"/>
      </w:pPr>
      <w:r>
        <w:t>Sverige behöver en konkurrenskraftig gruvnäring. Mineral och metaller är viktiga för industrin, klimatomställningen och vår försörjningsberedskap. Tillståndsprocesserna behöver vara effektiva och förutsebara, samtidigt som höga miljökrav och hänsyn till berörda människor upprätthålls.</w:t>
      </w:r>
    </w:p>
    <w:p w:rsidR="00B25961" w:rsidP="00B25961" w14:paraId="371A6378" w14:textId="7BD02999">
      <w:r>
        <w:t>Gruvnäringens betydelse får dock inte innebära att den enskilde markägarens intressen ges för liten vikt. Prospektering och planer på mineralutvinning kan skapa långvarig osäkerhet om möjligheten att använda och utveckla den egna fastigheten. För markägaren handlar det både om ekonomiska värden och om mark som ofta har brukats och förvaltats inom familjen i generationer. Regeringen har under mandatperioden 2022–2026 tagit initiativ till en översyn av koncessionsprövningen och mineral</w:t>
      </w:r>
      <w:r>
        <w:softHyphen/>
      </w:r>
      <w:r>
        <w:t>ersättningen. Det är välkommet! Reformarbetet behöver samtidigt tydligt omfatta markägarens ställning genom hela processen, från undersökningstillstånd till eventuell gruvdrift. Översynen bör pröva hur markägare kan få tidigare och tydligare information, bättre möjligheter att påverka planerade åtgärder och ett starkare skydd mot opropor</w:t>
      </w:r>
      <w:r>
        <w:softHyphen/>
      </w:r>
      <w:r>
        <w:t>tionerliga intrång. Även ersättningsreglerna behöver granskas, inklusive hur skador, intrång och eventuell värdeminskning hanteras.</w:t>
      </w:r>
    </w:p>
    <w:p w:rsidR="00B25961" w:rsidP="00B25961" w14:paraId="21A153D2" w14:textId="77777777">
      <w:r>
        <w:t>Regelverket måste skapa en rimlig balans mellan samhällets behov av mineraler och den enskildes äganderätt. Ett stärkt skydd för markägaren kan också bidra till större förtroende för prövningen och bättre lokal förankring för gruvnäringen.</w:t>
      </w:r>
    </w:p>
    <w:sdt>
      <w:sdtPr>
        <w:rPr>
          <w:i/>
          <w:noProof/>
        </w:rPr>
        <w:alias w:val="CC_Underskrifter"/>
        <w:tag w:val="CC_Underskrifter"/>
        <w:id w:val="583496634"/>
        <w:lock w:val="sdtContentLocked"/>
        <w:placeholder>
          <w:docPart w:val="8BA284AF7BB14F25AF8AB224F8187ACF"/>
        </w:placeholder>
        <w:richText/>
      </w:sdtPr>
      <w:sdtContent>
        <w:p w:rsidR="006154A2" w:rsidP="006154A2" w14:paraId="7F54E188" w14:textId="0A66B7AE"/>
        <w:p w:rsidR="006154A2" w:rsidP="006154A2" w14:paraId="155A0EE6" w14:textId="0B67E1CE"/>
      </w:sdtContent>
    </w:sdt>
    <w:tbl>
      <w:tblPr>
        <w:tblCaption w:val="underskrifter"/>
        <w:tblW w:w="5000" w:type="pct"/>
        <w:tblLook w:val="04A0"/>
      </w:tblPr>
      <w:tblGrid>
        <w:gridCol w:w="4252"/>
        <w:gridCol w:w="4252"/>
      </w:tblGrid>
      <w:tr w14:paraId="7E190F16" w14:textId="77777777">
        <w:tblPrEx>
          <w:tblW w:w="5000" w:type="pct"/>
          <w:tblLook w:val="04A0"/>
        </w:tblPrEx>
        <w:trPr>
          <w:cantSplit/>
        </w:trPr>
        <w:tc>
          <w:tcPr>
            <w:tcW w:w="50" w:type="pct"/>
            <w:vAlign w:val="bottom"/>
          </w:tcPr>
          <w:p w:rsidR="00415F2B" w14:paraId="4B1E1523" w14:textId="77777777">
            <w:pPr>
              <w:pStyle w:val="Underskrifter"/>
              <w:spacing w:after="0"/>
            </w:pPr>
            <w:r>
              <w:t>Kjell-Arne Ottosson (KD)</w:t>
            </w:r>
          </w:p>
        </w:tc>
        <w:tc>
          <w:tcPr>
            <w:tcW w:w="50" w:type="pct"/>
            <w:vAlign w:val="bottom"/>
          </w:tcPr>
          <w:p w:rsidR="00415F2B" w14:paraId="5C1DCB9C" w14:textId="77777777">
            <w:pPr>
              <w:pStyle w:val="Underskrifter"/>
              <w:spacing w:after="0"/>
            </w:pPr>
          </w:p>
        </w:tc>
      </w:tr>
    </w:tbl>
    <w:p w:rsidR="004801AC" w:rsidRPr="008E0FE2" w:rsidP="00DF3554" w14:paraId="26CFFF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715868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605F0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54A2" w:rsidP="006154A2" w14:paraId="04B53124" w14:textId="40DDC9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6A7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0443CE9">
                          <w:pPr>
                            <w:jc w:val="right"/>
                          </w:pPr>
                          <w:sdt>
                            <w:sdtPr>
                              <w:alias w:val="CC_Noformat_Partikod"/>
                              <w:tag w:val="CC_Noformat_Partikod"/>
                              <w:id w:val="-53464382"/>
                              <w:placeholder>
                                <w:docPart w:val="419CC7EE26DA42BFBFE83DCA803534F9"/>
                              </w:placeholder>
                              <w:text/>
                            </w:sdtPr>
                            <w:sdtContent>
                              <w:r w:rsidR="00FE3CF8">
                                <w:t>KD</w:t>
                              </w:r>
                            </w:sdtContent>
                          </w:sdt>
                          <w:sdt>
                            <w:sdtPr>
                              <w:alias w:val="CC_Noformat_Partinummer"/>
                              <w:tag w:val="CC_Noformat_Partinummer"/>
                              <w:id w:val="-1709555926"/>
                              <w:placeholder>
                                <w:docPart w:val="D6AA8CB0D5E94E829A6B47F23D7293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26DF791" w14:textId="40443CE9">
                    <w:pPr>
                      <w:jc w:val="right"/>
                    </w:pPr>
                    <w:sdt>
                      <w:sdtPr>
                        <w:alias w:val="CC_Noformat_Partikod"/>
                        <w:tag w:val="CC_Noformat_Partikod"/>
                        <w:id w:val="752748578"/>
                        <w:placeholder>
                          <w:docPart w:val="419CC7EE26DA42BFBFE83DCA803534F9"/>
                        </w:placeholder>
                        <w:text/>
                      </w:sdtPr>
                      <w:sdtContent>
                        <w:r w:rsidR="00FE3CF8">
                          <w:t>KD</w:t>
                        </w:r>
                      </w:sdtContent>
                    </w:sdt>
                    <w:sdt>
                      <w:sdtPr>
                        <w:alias w:val="CC_Noformat_Partinummer"/>
                        <w:tag w:val="CC_Noformat_Partinummer"/>
                        <w:id w:val="1708333560"/>
                        <w:placeholder>
                          <w:docPart w:val="D6AA8CB0D5E94E829A6B47F23D7293CF"/>
                        </w:placeholder>
                        <w:showingPlcHdr/>
                        <w:text/>
                      </w:sdtPr>
                      <w:sdtContent>
                        <w:r>
                          <w:t xml:space="preserve"> </w:t>
                        </w:r>
                      </w:sdtContent>
                    </w:sdt>
                  </w:p>
                </w:txbxContent>
              </v:textbox>
            </v:shape>
          </w:pict>
        </mc:Fallback>
      </mc:AlternateContent>
    </w:r>
  </w:p>
  <w:p w:rsidR="00262EA3" w:rsidRPr="00293C4F" w:rsidP="00776B74" w14:paraId="5554E65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B9BF31" w14:textId="77777777">
    <w:pPr>
      <w:jc w:val="right"/>
    </w:pPr>
  </w:p>
  <w:p w:rsidR="00262EA3" w:rsidP="00776B74" w14:paraId="47E88BC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F23A0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2A945F0" w14:textId="2DD246D0">
    <w:pPr>
      <w:pStyle w:val="FSHNormal"/>
      <w:spacing w:before="40"/>
    </w:pPr>
    <w:sdt>
      <w:sdtPr>
        <w:alias w:val="CC_Noformat_Motionstyp"/>
        <w:tag w:val="CC_Noformat_Motionstyp"/>
        <w:id w:val="1162973129"/>
        <w:lock w:val="sdtContentLocked"/>
        <w:text/>
        <w15:appearance w15:val="hidden"/>
      </w:sdtPr>
      <w:sdtContent>
        <w:r w:rsidR="00B91C94">
          <w:t>Enskild motion</w:t>
        </w:r>
      </w:sdtContent>
    </w:sdt>
    <w:r w:rsidR="00821B36">
      <w:t xml:space="preserve"> </w:t>
    </w:r>
    <w:sdt>
      <w:sdtPr>
        <w:alias w:val="CC_Noformat_Partikod"/>
        <w:tag w:val="CC_Noformat_Partikod"/>
        <w:id w:val="1471015553"/>
        <w:text/>
      </w:sdtPr>
      <w:sdtContent>
        <w:r w:rsidR="00FE3CF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ECB36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DAC08A9" w14:textId="424DEEB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91C9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91C94">
          <w:t>:222</w:t>
        </w:r>
      </w:sdtContent>
    </w:sdt>
  </w:p>
  <w:p w:rsidR="00262EA3" w:rsidP="00E03A3D" w14:paraId="0BD4FE62" w14:textId="20D267D6">
    <w:pPr>
      <w:pStyle w:val="Motionr"/>
    </w:pPr>
    <w:sdt>
      <w:sdtPr>
        <w:alias w:val="CC_Noformat_Avtext"/>
        <w:tag w:val="CC_Noformat_Avtext"/>
        <w:id w:val="-2020768203"/>
        <w:lock w:val="sdtContentLocked"/>
        <w:placeholder>
          <w:docPart w:val="419CC7EE26DA42BFBFE83DCA803534F9"/>
        </w:placeholder>
        <w:text/>
        <w15:appearance w15:val="hidden"/>
      </w:sdtPr>
      <w:sdtContent>
        <w:r w:rsidR="00B91C94">
          <w:t>av Kjell-Arne Ottosson (KD)</w:t>
        </w:r>
      </w:sdtContent>
    </w:sdt>
  </w:p>
  <w:sdt>
    <w:sdtPr>
      <w:alias w:val="CC_Noformat_Rubtext"/>
      <w:tag w:val="CC_Noformat_Rubtext"/>
      <w:id w:val="-218060500"/>
      <w:lock w:val="sdtLocked"/>
      <w:placeholder>
        <w:docPart w:val="D6AA8CB0D5E94E829A6B47F23D7293CF"/>
      </w:placeholder>
      <w:text/>
    </w:sdtPr>
    <w:sdtContent>
      <w:p w:rsidR="00262EA3" w:rsidP="00283E0F" w14:paraId="052FB7EB" w14:textId="66D50FBB">
        <w:pPr>
          <w:pStyle w:val="FSHRub2"/>
        </w:pPr>
        <w:r>
          <w:t>Stärkt ställning för markägare i minerallagen</w:t>
        </w:r>
      </w:p>
    </w:sdtContent>
  </w:sdt>
  <w:sdt>
    <w:sdtPr>
      <w:alias w:val="CC_Boilerplate_3"/>
      <w:tag w:val="CC_Boilerplate_3"/>
      <w:id w:val="1606463544"/>
      <w:lock w:val="sdtContentLocked"/>
      <w:text w:multiLine="1"/>
      <w15:appearance w15:val="hidden"/>
    </w:sdtPr>
    <w:sdtContent>
      <w:p w:rsidR="00262EA3" w:rsidP="00283E0F" w14:paraId="12AF5C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F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C18"/>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68F"/>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0E63"/>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5F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4A2"/>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0A6"/>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0CD3"/>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7F0"/>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D01"/>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0F8"/>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660"/>
    <w:rsid w:val="00AB3479"/>
    <w:rsid w:val="00AB49B2"/>
    <w:rsid w:val="00AB4A4B"/>
    <w:rsid w:val="00AB4D62"/>
    <w:rsid w:val="00AB5100"/>
    <w:rsid w:val="00AB5A42"/>
    <w:rsid w:val="00AB6015"/>
    <w:rsid w:val="00AB6299"/>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586C"/>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34DC"/>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961"/>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232"/>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C4"/>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1E2"/>
    <w:rsid w:val="00B849B8"/>
    <w:rsid w:val="00B85727"/>
    <w:rsid w:val="00B85BF9"/>
    <w:rsid w:val="00B86112"/>
    <w:rsid w:val="00B86E64"/>
    <w:rsid w:val="00B87133"/>
    <w:rsid w:val="00B87FDA"/>
    <w:rsid w:val="00B90F89"/>
    <w:rsid w:val="00B911CA"/>
    <w:rsid w:val="00B91803"/>
    <w:rsid w:val="00B91C64"/>
    <w:rsid w:val="00B91C9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4EF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4B4F"/>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DE6"/>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5E4"/>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CF8"/>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260B89"/>
  <w15:chartTrackingRefBased/>
  <w15:docId w15:val="{06CF6F1A-E849-4660-BA6D-95DC3E1B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75CB7BFBF2846EBAC88C576025187B9"/>
        <w:category>
          <w:name w:val="Allmänt"/>
          <w:gallery w:val="placeholder"/>
        </w:category>
        <w:types>
          <w:type w:val="bbPlcHdr"/>
        </w:types>
        <w:behaviors>
          <w:behavior w:val="content"/>
        </w:behaviors>
        <w:guid w:val="{5D08848C-662B-4EDE-B723-1376D9C292CE}"/>
      </w:docPartPr>
      <w:docPartBody>
        <w:p w:rsidR="00AC586C">
          <w:pPr>
            <w:pStyle w:val="575CB7BFBF2846EBAC88C576025187B9"/>
          </w:pPr>
          <w:r w:rsidRPr="005A0A93">
            <w:rPr>
              <w:rStyle w:val="PlaceholderText"/>
            </w:rPr>
            <w:t>Förslag till riksdagsbeslut</w:t>
          </w:r>
        </w:p>
      </w:docPartBody>
    </w:docPart>
    <w:docPart>
      <w:docPartPr>
        <w:name w:val="9F1400908D1A4BB08B8E265B2D5A0C19"/>
        <w:category>
          <w:name w:val="Allmänt"/>
          <w:gallery w:val="placeholder"/>
        </w:category>
        <w:types>
          <w:type w:val="bbPlcHdr"/>
        </w:types>
        <w:behaviors>
          <w:behavior w:val="content"/>
        </w:behaviors>
        <w:guid w:val="{9DF78578-0EF6-4625-B739-77247586ACD7}"/>
      </w:docPartPr>
      <w:docPartBody>
        <w:p w:rsidR="00AC586C">
          <w:pPr>
            <w:pStyle w:val="9F1400908D1A4BB08B8E265B2D5A0C19"/>
          </w:pPr>
          <w:r w:rsidRPr="005A0A93">
            <w:rPr>
              <w:rStyle w:val="PlaceholderText"/>
            </w:rPr>
            <w:t>Motivering</w:t>
          </w:r>
        </w:p>
      </w:docPartBody>
    </w:docPart>
    <w:docPart>
      <w:docPartPr>
        <w:name w:val="419CC7EE26DA42BFBFE83DCA803534F9"/>
        <w:category>
          <w:name w:val="Allmänt"/>
          <w:gallery w:val="placeholder"/>
        </w:category>
        <w:types>
          <w:type w:val="bbPlcHdr"/>
        </w:types>
        <w:behaviors>
          <w:behavior w:val="content"/>
        </w:behaviors>
        <w:guid w:val="{EDD52F94-84B6-42D8-A15A-96C1A7B9FA1A}"/>
      </w:docPartPr>
      <w:docPartBody>
        <w:p w:rsidR="00AC586C">
          <w:pPr>
            <w:pStyle w:val="419CC7EE26DA42BFBFE83DCA803534F9"/>
          </w:pPr>
          <w:r>
            <w:rPr>
              <w:rStyle w:val="PlaceholderText"/>
            </w:rPr>
            <w:t xml:space="preserve"> </w:t>
          </w:r>
        </w:p>
      </w:docPartBody>
    </w:docPart>
    <w:docPart>
      <w:docPartPr>
        <w:name w:val="D6AA8CB0D5E94E829A6B47F23D7293CF"/>
        <w:category>
          <w:name w:val="Allmänt"/>
          <w:gallery w:val="placeholder"/>
        </w:category>
        <w:types>
          <w:type w:val="bbPlcHdr"/>
        </w:types>
        <w:behaviors>
          <w:behavior w:val="content"/>
        </w:behaviors>
        <w:guid w:val="{3A84C50F-7E40-45F9-BDCC-FAEA5145BD08}"/>
      </w:docPartPr>
      <w:docPartBody>
        <w:p w:rsidR="00AC586C">
          <w:pPr>
            <w:pStyle w:val="D6AA8CB0D5E94E829A6B47F23D7293CF"/>
          </w:pPr>
          <w:r>
            <w:t xml:space="preserve"> </w:t>
          </w:r>
        </w:p>
      </w:docPartBody>
    </w:docPart>
    <w:docPart>
      <w:docPartPr>
        <w:name w:val="8BA284AF7BB14F25AF8AB224F8187ACF"/>
        <w:category>
          <w:name w:val="Allmänt"/>
          <w:gallery w:val="placeholder"/>
        </w:category>
        <w:types>
          <w:type w:val="bbPlcHdr"/>
        </w:types>
        <w:behaviors>
          <w:behavior w:val="content"/>
        </w:behaviors>
        <w:guid w:val="{79EA4447-D615-4C09-B088-3875735AF067}"/>
      </w:docPartPr>
      <w:docPartBody>
        <w:p w:rsidR="00A110F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50"/>
    <w:rsid w:val="00092979"/>
    <w:rsid w:val="00092C18"/>
    <w:rsid w:val="001A54B1"/>
    <w:rsid w:val="00340E63"/>
    <w:rsid w:val="004E5C01"/>
    <w:rsid w:val="005C2569"/>
    <w:rsid w:val="008067F0"/>
    <w:rsid w:val="00A110F8"/>
    <w:rsid w:val="00AC586C"/>
    <w:rsid w:val="00B841E2"/>
    <w:rsid w:val="00D21750"/>
    <w:rsid w:val="00DD6DE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75CB7BFBF2846EBAC88C576025187B9">
    <w:name w:val="575CB7BFBF2846EBAC88C576025187B9"/>
  </w:style>
  <w:style w:type="paragraph" w:customStyle="1" w:styleId="9F1400908D1A4BB08B8E265B2D5A0C19">
    <w:name w:val="9F1400908D1A4BB08B8E265B2D5A0C19"/>
  </w:style>
  <w:style w:type="paragraph" w:customStyle="1" w:styleId="419CC7EE26DA42BFBFE83DCA803534F9">
    <w:name w:val="419CC7EE26DA42BFBFE83DCA803534F9"/>
  </w:style>
  <w:style w:type="paragraph" w:customStyle="1" w:styleId="D6AA8CB0D5E94E829A6B47F23D7293CF">
    <w:name w:val="D6AA8CB0D5E94E829A6B47F23D729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370AB-7774-4564-8908-CED219C240E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231</Words>
  <Characters>1599</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