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B93" w:rsidRDefault="00EB5B93">
      <w:pPr>
        <w:pStyle w:val="Rubrik1"/>
        <w:spacing w:before="0"/>
      </w:pPr>
      <w:bookmarkStart w:id="0" w:name="_Toc381702910"/>
      <w:r>
        <w:t>Till konstitutionsutskottet</w:t>
      </w:r>
      <w:bookmarkEnd w:id="0"/>
    </w:p>
    <w:p w:rsidR="00EB5B93" w:rsidRDefault="00EB5B93">
      <w:pPr>
        <w:pStyle w:val="Vinkela"/>
      </w:pPr>
      <w:r>
        <w:t>Konstitutionsutskottet har den 17 december 1996 beslutat att bereda samtliga utskott tillfälle att – i de delar som har samband med respektive utskotts beredningsområde – yttra sig över regeringens skrivelse 1996/97:15 med redogörelse för behan</w:t>
      </w:r>
      <w:r>
        <w:t>d</w:t>
      </w:r>
      <w:r>
        <w:t>lingen av riksdagens skrivelser.</w:t>
      </w:r>
    </w:p>
    <w:p w:rsidR="00EB5B93" w:rsidRDefault="00EB5B93">
      <w:pPr>
        <w:pStyle w:val="Rubrik2"/>
      </w:pPr>
      <w:bookmarkStart w:id="1" w:name="_Toc381702911"/>
      <w:r>
        <w:t>Utskottet</w:t>
      </w:r>
      <w:bookmarkEnd w:id="1"/>
    </w:p>
    <w:p w:rsidR="00EB5B93" w:rsidRDefault="00EB5B93">
      <w:pPr>
        <w:pStyle w:val="Vinkela"/>
      </w:pPr>
      <w:r>
        <w:t>Redogörelsen omfattar regeringsbeslut under tiden den 1 juli 1995– den 30 juni 1996. För att underlätta utskottens möjligheter att vid sitt uppföljning</w:t>
      </w:r>
      <w:r>
        <w:t>s</w:t>
      </w:r>
      <w:r>
        <w:t>arbete få en så aktuell bild som möjligt har redovisningen fått omfatta även vissa regeringsbeslut från tiden efter redovisningsperiodens slut. Detta förf</w:t>
      </w:r>
      <w:r>
        <w:t>a</w:t>
      </w:r>
      <w:r>
        <w:t>rande har dock endast använts om riksdagsskrivelserna därigenom har kunnat rapporteras som slutbehandlade. Årets redogörelse omfattar även de åtgärder som regeringen vidtog till följd av riksdagens beslut i juli 1996 med anle</w:t>
      </w:r>
      <w:r>
        <w:t>d</w:t>
      </w:r>
      <w:r>
        <w:t>ning av propositionerna 1995/96:207 och 1995/96:222 om halvering av den öppna arbetslösheten (bet. 1995/96:FiU15, rskr. 307).</w:t>
      </w:r>
    </w:p>
    <w:p w:rsidR="00EB5B93" w:rsidRDefault="00EB5B93">
      <w:pPr>
        <w:pStyle w:val="Normaltindrag"/>
      </w:pPr>
      <w:r>
        <w:t>Inom utskottet har en granskning genomförts av de sammanlagt 31 rik</w:t>
      </w:r>
      <w:r>
        <w:t>s</w:t>
      </w:r>
      <w:r>
        <w:t>dagsskrivelser som redovisas i 1996 års redogörelse inom utskottets då a</w:t>
      </w:r>
      <w:r>
        <w:t>k</w:t>
      </w:r>
      <w:r>
        <w:t>tuella beredningsområde. Åren 1994 och 1995 behandlades vardera 43 skr</w:t>
      </w:r>
      <w:r>
        <w:t>i</w:t>
      </w:r>
      <w:r>
        <w:t>velser i motsvarande redogörelser. Av skrivelserna är endast tre stycken äldre än två år. Åtta av skrivelserna anges som inte slutbehandlade, vilket innebär en minskning i förhållande till föregående år med två stycken. Enligt f</w:t>
      </w:r>
      <w:r>
        <w:t>i</w:t>
      </w:r>
      <w:r>
        <w:t>nansutskottets mening är det tillfredsställande att riksdagens beslut inom utskottets ansvarsområde i allt väsentligt genomförts i rimlig tid.</w:t>
      </w:r>
    </w:p>
    <w:p w:rsidR="00EB5B93" w:rsidRDefault="00EB5B93">
      <w:pPr>
        <w:pStyle w:val="Normaltindrag"/>
      </w:pPr>
      <w:r>
        <w:t>Utskottet har särskilt granskat hur riksdagens tillkännagivanden till reg</w:t>
      </w:r>
      <w:r>
        <w:t>e</w:t>
      </w:r>
      <w:r>
        <w:t>ringen redovisats och genomförts av regeringen. När det gäller tillkännag</w:t>
      </w:r>
      <w:r>
        <w:t>i</w:t>
      </w:r>
      <w:r>
        <w:t>vanden kan konstateras att finansutskottet under senare år varit mycket åte</w:t>
      </w:r>
      <w:r>
        <w:t>r</w:t>
      </w:r>
      <w:r>
        <w:t>hållsamt med att föreslå sådana. Av redogörelsen framgår att utskottet använt sig av detta instrument endast sju gånger under det föregående riksmötet. Därtill kommer sju tillkännagivanden av äldre datum som inte tidigare har slutbehandlats. Av de således sammanlagt 14 tillkännagivanden som redov</w:t>
      </w:r>
      <w:r>
        <w:t>i</w:t>
      </w:r>
      <w:r>
        <w:t>sas i den nu aktuella redogörelsen tillhör tre stycken andra utskotts bere</w:t>
      </w:r>
      <w:r>
        <w:t>d</w:t>
      </w:r>
      <w:r>
        <w:t>ningsområden. De har initierats av berörda utskott i yttranden till finansu</w:t>
      </w:r>
      <w:r>
        <w:t>t</w:t>
      </w:r>
      <w:r>
        <w:t>skottet i samband med beredningen av olika ekonomisk-politiska förslag.</w:t>
      </w:r>
    </w:p>
    <w:p w:rsidR="00EB5B93" w:rsidRDefault="00EB5B93">
      <w:pPr>
        <w:pStyle w:val="Normaltindrag"/>
      </w:pPr>
      <w:r>
        <w:lastRenderedPageBreak/>
        <w:t>Inom utskottets område görs tillkännagivanden till regeringen regelmässigt i samband med behandlingen av förslagen till riktlinjer för den ekonomiska politiken respektive budgetpolitiken i budgetproposition/vårproposition eller i anslutning till ekonomisk-politiska åtgärdspaket. Dessa tillkännagivanden avskrivs normalt mot nästkommande ekonomisk-politiska förslag. Utskottet har tidigare uttalat att man inte har något att erinra mot detta förfaringssätt (se bl.a. 1994/95:FiU2y). Fem av av de nu redovisade ti</w:t>
      </w:r>
      <w:r>
        <w:t>llkännagivandena är av sådan riktlinjekaraktär. Finansutskottet konstaterar att regeringens skrive</w:t>
      </w:r>
      <w:r>
        <w:t>l</w:t>
      </w:r>
      <w:r>
        <w:t>se i allt väsentligt korrekt återspeglar vad riksdagen avsåg när besluten fatt</w:t>
      </w:r>
      <w:r>
        <w:t>a</w:t>
      </w:r>
      <w:r>
        <w:t>des. Utskottet finner dock anledning att kommentera redovisningen på en punkt.</w:t>
      </w:r>
    </w:p>
    <w:p w:rsidR="00EB5B93" w:rsidRDefault="00EB5B93">
      <w:pPr>
        <w:pStyle w:val="Normaltindrag"/>
      </w:pPr>
      <w:r>
        <w:t>I sitt betänkande 1995/96:FiU14 behandlade utskottet frågan om en sa</w:t>
      </w:r>
      <w:r>
        <w:t>m</w:t>
      </w:r>
      <w:r>
        <w:t xml:space="preserve">manslagning av Penninglotteriet och Tipstjänst. När det gällde </w:t>
      </w:r>
      <w:r>
        <w:rPr>
          <w:i/>
        </w:rPr>
        <w:t>lokaliseringen av det nya bolaget</w:t>
      </w:r>
      <w:r>
        <w:t xml:space="preserve"> gjordes ett tillkännagivande till regeringen (redogörelsen punkt Fi70 mom. 2). I betänkandet (s. 8) anförde utskottet bl.a. följande: ”En inriktning bör vara att huvudkontoret med dess funktioner för den samlade verksamheten lokaliseras till Visby. Det är också av stor vikt att en betyda</w:t>
      </w:r>
      <w:r>
        <w:t>n</w:t>
      </w:r>
      <w:r>
        <w:t>de del av den totala verksamheten i övrigt skall bedrivas från Gotland så att sysselsättningen på Gotland bevaras och förstärks vid en sammanslagning. Även i fortsättningen bör verksamhet bedrivas i Sundbyberg, där styrelsen för Tipstjänst nu har sitt säte och där bolagets huvudkontor är beläget. U</w:t>
      </w:r>
      <w:r>
        <w:t>t</w:t>
      </w:r>
      <w:r>
        <w:t>skottet anser det naturligt att det på båda orterna kommer att finnas högkv</w:t>
      </w:r>
      <w:r>
        <w:t>a</w:t>
      </w:r>
      <w:r>
        <w:t>lificerade arbetsuppgifter.” Av regeringens redovisning framgår att det nya bolaget enligt bolagsordningen skall ha sitt säte i Visby. Däremot framgår inte hur regeringen avser efterkomma riksdagens uttalande i övrigt. Utskottet utgår ifrån att en sådan redovisning kommer att lämnas i nästkommande redogörelse från regeringen.</w:t>
      </w:r>
    </w:p>
    <w:p w:rsidR="00EB5B93" w:rsidRDefault="00EB5B93">
      <w:pPr>
        <w:pStyle w:val="Normaltindrag"/>
      </w:pPr>
      <w:r>
        <w:t>I samband med behandlingen av regeringens skrivelse görs inom utskottet också en uppföljning av hur riksdagens budgetbeslut har genomförts. En granskning sker därvid av hur regleringsbreven överensstämmer med riksd</w:t>
      </w:r>
      <w:r>
        <w:t>a</w:t>
      </w:r>
      <w:r>
        <w:t>gens beslut i anslagsfrågor. Enligt utskottets bedömning har riksdagens bu</w:t>
      </w:r>
      <w:r>
        <w:t>d</w:t>
      </w:r>
      <w:r>
        <w:t>getbeslut inom finansutskottets ansvarsområde av regeringen fullföljts på det sätt som riksdagen avsåg vid beslutstillfället. Utskottet avser också att senare ta del av berörda myndigheters årsredovisningar, Riksrevisionsverkets rev</w:t>
      </w:r>
      <w:r>
        <w:t>i</w:t>
      </w:r>
      <w:r>
        <w:t>sionsrapporter med anledning av dessa liksom Riksrevisionsverkets s.k. årliga rapport till regeringen. Som ett led i utskottets uppföljningsverksamhet har därutöver närmare uppgifter tagits in om medelsanvändningen på vissa anslag som Regeringskansliet (Finansdepartementet) disponerar.</w:t>
      </w:r>
    </w:p>
    <w:p w:rsidR="00EB5B93" w:rsidRDefault="00EB5B93">
      <w:pPr>
        <w:pStyle w:val="Stockholm"/>
      </w:pPr>
      <w:r>
        <w:t>Stockholm den 25 februari 1997</w:t>
      </w:r>
    </w:p>
    <w:p w:rsidR="00EB5B93" w:rsidRDefault="00EB5B93">
      <w:pPr>
        <w:pStyle w:val="Vgnar"/>
      </w:pPr>
      <w:r>
        <w:t>På finansutskottets vägnar</w:t>
      </w:r>
    </w:p>
    <w:p w:rsidR="00EB5B93" w:rsidRDefault="00EB5B93">
      <w:pPr>
        <w:pStyle w:val="Ordfnamn"/>
      </w:pPr>
      <w:bookmarkStart w:id="2" w:name="Ordförande"/>
      <w:bookmarkEnd w:id="2"/>
      <w:r>
        <w:t xml:space="preserve">Jan Bergqvist </w:t>
      </w:r>
    </w:p>
    <w:p w:rsidR="00EB5B93" w:rsidRDefault="00EB5B93">
      <w:pPr>
        <w:pStyle w:val="Deltagare"/>
      </w:pPr>
      <w:bookmarkStart w:id="3" w:name="Deltagare"/>
      <w:bookmarkEnd w:id="3"/>
      <w:r>
        <w:t>I beslutet har deltagit: Jan Bergqvist (s), Per-Ola Eriksson (c), Sören Lekberg (s), Lars Tobisson (m), Bo Nilsson (s), Sonja Rembo (m), Arne Kjörnsberg (s), Lennart Hedquist (m), Anne Wibble (fp), Susanne Eberstein (s), Johan Lönnroth (v), Kristina Nordström (s), Roy Ottosson (mp), Mats Odell (kd), Kjell Nordström (s), Sven-Erik Österberg (s) och Per Bill (m).</w:t>
      </w:r>
    </w:p>
    <w:p w:rsidR="00EB5B93" w:rsidRDefault="00EB5B93">
      <w:pPr>
        <w:pStyle w:val="Normaltindrag"/>
      </w:pPr>
    </w:p>
    <w:p w:rsidR="00EB5B93" w:rsidRDefault="00EB5B93"/>
    <w:p w:rsidR="00EB5B93" w:rsidRDefault="00EB5B93">
      <w:pPr>
        <w:pStyle w:val="Normaltindrag"/>
      </w:pPr>
      <w:bookmarkStart w:id="4" w:name="Nästa_Reservation"/>
      <w:bookmarkEnd w:id="4"/>
    </w:p>
    <w:p w:rsidR="00EB5B93" w:rsidRDefault="00EB5B93">
      <w:pPr>
        <w:pStyle w:val="Innehll"/>
      </w:pPr>
      <w:r>
        <w:t xml:space="preserve"> </w:t>
      </w: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p>
    <w:p w:rsidR="00EB5B93" w:rsidRDefault="00EB5B93">
      <w:pPr>
        <w:pStyle w:val="Tryckort"/>
      </w:pPr>
      <w:r>
        <w:t>Gotab, Stockholm  1997</w:t>
      </w:r>
    </w:p>
    <w:sectPr w:rsidR="00EB5B93">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B93" w:rsidRDefault="00EB5B93">
      <w:pPr>
        <w:spacing w:before="0" w:line="240" w:lineRule="auto"/>
      </w:pPr>
      <w:r>
        <w:separator/>
      </w:r>
    </w:p>
  </w:endnote>
  <w:endnote w:type="continuationSeparator" w:id="0">
    <w:p w:rsidR="00EB5B93" w:rsidRDefault="00EB5B9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B93" w:rsidRDefault="00EB5B9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B93" w:rsidRDefault="00EB5B93">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B93" w:rsidRDefault="00EB5B93">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B93" w:rsidRDefault="00EB5B93">
      <w:pPr>
        <w:spacing w:before="0" w:line="240" w:lineRule="auto"/>
      </w:pPr>
      <w:r>
        <w:separator/>
      </w:r>
    </w:p>
  </w:footnote>
  <w:footnote w:type="continuationSeparator" w:id="0">
    <w:p w:rsidR="00EB5B93" w:rsidRDefault="00EB5B9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B93" w:rsidRDefault="00EB5B9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1996/97:FiU1y</w:t>
    </w:r>
    <w:r>
      <w:fldChar w:fldCharType="end"/>
    </w:r>
  </w:p>
  <w:p w:rsidR="00EB5B93" w:rsidRDefault="00EB5B93">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B5B93" w:rsidRDefault="00EB5B93">
    <w:pPr>
      <w:pStyle w:val="SidhuvudV"/>
      <w:framePr w:w="2302" w:h="1928" w:hRule="exact" w:wrap="notBeside"/>
    </w:pPr>
    <w:r>
      <w:fldChar w:fldCharType="end"/>
    </w:r>
  </w:p>
  <w:p w:rsidR="00EB5B93" w:rsidRDefault="00EB5B9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B93" w:rsidRDefault="00EB5B93">
    <w:pPr>
      <w:pStyle w:val="SidhuvudKant"/>
      <w:framePr w:hSpace="284" w:wrap="around"/>
    </w:pPr>
    <w:r>
      <w:rPr>
        <w:sz w:val="21"/>
      </w:rPr>
      <w:t>1996/97:FiU1y</w:t>
    </w:r>
  </w:p>
  <w:p w:rsidR="00EB5B93" w:rsidRDefault="00EB5B93">
    <w:pPr>
      <w:pStyle w:val="SidhuvudKant"/>
      <w:framePr w:hSpace="284" w:wrap="around"/>
      <w:rPr>
        <w:vanish/>
      </w:rPr>
    </w:pPr>
    <w:r>
      <w:rPr>
        <w:vanish/>
      </w:rPr>
      <w:t>&gt;B</w:t>
    </w:r>
  </w:p>
  <w:p w:rsidR="00EB5B93" w:rsidRDefault="00EB5B93">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B93" w:rsidRDefault="00EB5B93">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178" r:id="rId2"/>
      </w:object>
    </w:r>
  </w:p>
  <w:p w:rsidR="00EB5B93" w:rsidRDefault="00EB5B93">
    <w:pPr>
      <w:pStyle w:val="SidhuvudFVapen"/>
      <w:framePr w:wrap="notBeside" w:x="7253" w:y="188"/>
      <w:spacing w:line="230" w:lineRule="auto"/>
      <w:rPr>
        <w:sz w:val="24"/>
      </w:rPr>
    </w:pPr>
    <w:bookmarkStart w:id="5" w:name="BnrVapen"/>
    <w:r>
      <w:rPr>
        <w:sz w:val="24"/>
      </w:rPr>
      <w:t>1996/97</w:t>
    </w:r>
  </w:p>
  <w:p w:rsidR="00EB5B93" w:rsidRDefault="00EB5B93">
    <w:pPr>
      <w:pStyle w:val="SidhuvudFVapen"/>
      <w:framePr w:wrap="notBeside" w:x="7253" w:y="188"/>
      <w:spacing w:line="230" w:lineRule="auto"/>
      <w:rPr>
        <w:sz w:val="24"/>
      </w:rPr>
    </w:pPr>
    <w:r>
      <w:rPr>
        <w:sz w:val="24"/>
      </w:rPr>
      <w:t xml:space="preserve">FiU1y </w:t>
    </w:r>
    <w:bookmarkEnd w:id="5"/>
    <w:r w:rsidR="00AD623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0745939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7953D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EB5B93" w:rsidRDefault="00EB5B93">
    <w:pPr>
      <w:pStyle w:val="SidhuvudFText"/>
      <w:framePr w:w="5727" w:h="2722" w:hRule="exact" w:hSpace="0" w:wrap="notBeside" w:hAnchor="page" w:x="1135" w:y="568"/>
      <w:spacing w:line="400" w:lineRule="exact"/>
      <w:ind w:right="629"/>
      <w:rPr>
        <w:sz w:val="36"/>
      </w:rPr>
    </w:pPr>
    <w:bookmarkStart w:id="6" w:name="DokumentTyp"/>
    <w:r>
      <w:rPr>
        <w:sz w:val="36"/>
      </w:rPr>
      <w:t xml:space="preserve">Finansutskottets yttrande </w:t>
    </w:r>
    <w:bookmarkEnd w:id="6"/>
  </w:p>
  <w:p w:rsidR="00EB5B93" w:rsidRDefault="00EB5B93">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1996/97:FiU1y </w:t>
    </w:r>
    <w:bookmarkEnd w:id="7"/>
    <w:r>
      <w:rPr>
        <w:sz w:val="36"/>
      </w:rPr>
      <w:t xml:space="preserve">       </w:t>
    </w:r>
    <w:bookmarkStart w:id="8" w:name="Utkast"/>
    <w:r>
      <w:rPr>
        <w:sz w:val="36"/>
      </w:rPr>
      <w:t xml:space="preserve"> </w:t>
    </w:r>
  </w:p>
  <w:p w:rsidR="00EB5B93" w:rsidRDefault="00EB5B93">
    <w:pPr>
      <w:pStyle w:val="SidhuvudFText"/>
      <w:framePr w:w="5727" w:h="2722" w:hRule="exact" w:hSpace="0" w:wrap="notBeside" w:hAnchor="page" w:x="1135" w:y="568"/>
      <w:spacing w:before="123" w:after="900" w:line="280" w:lineRule="exact"/>
      <w:ind w:right="629"/>
      <w:rPr>
        <w:sz w:val="26"/>
      </w:rPr>
    </w:pPr>
    <w:bookmarkStart w:id="9" w:name="Rubrik"/>
    <w:bookmarkEnd w:id="8"/>
    <w:r>
      <w:rPr>
        <w:sz w:val="28"/>
      </w:rPr>
      <w:t>Regeringens behandling av riksdagens skrivelser (skr. 1996/97:15)</w:t>
    </w:r>
    <w:r>
      <w:rPr>
        <w:sz w:val="26"/>
      </w:rPr>
      <w:t xml:space="preserve"> </w:t>
    </w:r>
    <w:bookmarkEnd w:id="9"/>
    <w:r>
      <w:rPr>
        <w:sz w:val="26"/>
      </w:rPr>
      <w:t xml:space="preserve"> </w:t>
    </w:r>
  </w:p>
  <w:p w:rsidR="00EB5B93" w:rsidRDefault="00EB5B93">
    <w:pPr>
      <w:pStyle w:val="SidhuvudFText"/>
      <w:framePr w:w="5727" w:h="2722" w:hRule="exact" w:hSpace="0" w:wrap="notBeside" w:hAnchor="page" w:x="1135" w:y="568"/>
      <w:spacing w:line="460" w:lineRule="exact"/>
      <w:ind w:right="629"/>
      <w:rPr>
        <w:sz w:val="36"/>
      </w:rPr>
    </w:pPr>
  </w:p>
  <w:p w:rsidR="00EB5B93" w:rsidRDefault="00EB5B93">
    <w:pPr>
      <w:pStyle w:val="SidhuvudFText"/>
      <w:framePr w:w="5727" w:h="2722" w:hRule="exact" w:hSpace="0" w:wrap="notBeside" w:hAnchor="page" w:x="1135" w:y="568"/>
      <w:spacing w:before="40" w:after="900" w:line="300" w:lineRule="exact"/>
      <w:ind w:right="629"/>
      <w:rPr>
        <w:sz w:val="26"/>
      </w:rPr>
    </w:pPr>
    <w:r>
      <w:rPr>
        <w:sz w:val="26"/>
      </w:rPr>
      <w:t xml:space="preserve"> </w:t>
    </w:r>
  </w:p>
  <w:p w:rsidR="00EB5B93" w:rsidRDefault="00EB5B9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iU1y"/>
    <w:docVar w:name="Flyttförsök" w:val="JA"/>
    <w:docVar w:name="HelaNamnet" w:val="1996/97:FiU1y"/>
    <w:docVar w:name="NR" w:val="1y"/>
    <w:docVar w:name="RUBRIK" w:val="Regeringens behandling av riksdagens skrivelser (skr. 1996/97:15)"/>
    <w:docVar w:name="SkapVERSION" w:val="V7.21 970204"/>
    <w:docVar w:name="SkapÅr" w:val="9697"/>
    <w:docVar w:name="Typer" w:val="S"/>
    <w:docVar w:name="USK" w:val="FiU"/>
    <w:docVar w:name="USKKORT" w:val="FiU"/>
    <w:docVar w:name="USKNAMN" w:val="Finansutskottets"/>
    <w:docVar w:name="USKNAMNG" w:val="finansutskottets"/>
    <w:docVar w:name="ÅR" w:val="1996/97"/>
  </w:docVars>
  <w:rsids>
    <w:rsidRoot w:val="001455F7"/>
    <w:rsid w:val="001455F7"/>
    <w:rsid w:val="00AD623F"/>
    <w:rsid w:val="00EB5B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58C67F-696E-41DD-9DEF-FCD974AC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7"/>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7"/>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738</Words>
  <Characters>4825</Characters>
  <Application>Microsoft Office Word</Application>
  <DocSecurity>4</DocSecurity>
  <Lines>141</Lines>
  <Paragraphs>16</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1y</dc:title>
  <dc:subject>Finansutskottets betänkande nr 1y</dc:subject>
  <dc:creator>Riksdagen</dc:creator>
  <cp:keywords>Riksdagen</cp:keywords>
  <cp:lastModifiedBy>Lars Brink</cp:lastModifiedBy>
  <cp:revision>2</cp:revision>
  <cp:lastPrinted>1997-03-11T12:00:00Z</cp:lastPrinted>
  <dcterms:created xsi:type="dcterms:W3CDTF">2025-12-15T18:41:00Z</dcterms:created>
  <dcterms:modified xsi:type="dcterms:W3CDTF">2025-12-15T18:41:00Z</dcterms:modified>
</cp:coreProperties>
</file>