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Ylva Johansson (S)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ledamot i finansutskottet, suppleant i justitieutskottet och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Arman Teimouri (L)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Arnholm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Björklund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ledamot i justitieutskottet, krigsdelegationen och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Arnholm (L)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Björklund (L)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 suppleant i justitieutskottet och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Allan Widman (L)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2018/19:41 Torsdagen den 29 augusti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2018/19:308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Lagstiftningen kring könsdysfori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2018/19:FPM56 BESLUT om ett strategiskt innovationsprogram för Europeiska institutet för innovation och teknik (EIT) 2021-2027 och FÖRORDNING om Europeiska institutet för innovation och teknik (omarbetning) </w:t>
            </w:r>
            <w:r>
              <w:rPr>
                <w:i/>
                <w:iCs/>
                <w:rtl w:val="0"/>
              </w:rPr>
              <w:t>COM(2019) 331, COM(2019) 330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2018/19:FPM57 Meddelande om en åtgärdsplan för att stärka rättsstatsprincipen inom unionen </w:t>
            </w:r>
            <w:r>
              <w:rPr>
                <w:i/>
                <w:iCs/>
                <w:rtl w:val="0"/>
              </w:rPr>
              <w:t>2018/19:FPM46, COM(2019) 343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2018/19:145 Personlig assistans för hjälp med andning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förlänga motionstiden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2018/19:155 Ett stärkt straffrättsligt skydd för blåljusverksamhet och myndighetsutövning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förlänga motionstiden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2018/19:156 Avtal om politisk dialog och samarbete mellan Europeiska unionen och dess medlemsstater, å ena sidan, och Republiken Kuba, å andra sidan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förlänga motionstiden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2018/19:157 Straffrättsliga åtgärder mot utnyttjande av barn genom köp av sexuell handling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förlänga motionstiden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2018/19:146 Redovisning av fördelningen av medel från Allmänna arvsfonden under budgetåret 2018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förlänga motionstiden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330 Förslag till Europaparlamentets och rådets beslut om ett strategiskt innovationsprogram för Europeiska institutet för innovation och teknik (EIT) 2021–2027: en ökad innovationsförmåga för Europa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oktober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331 Förslag till Europaparlamentets och rådets förordning om Europeiska institutet för innovation och teknik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oktober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354 Förslag till Europaparlamentets och rådets förordning om en styrningsram för budgetinstrumentet för konvergens och konkurrenskraft för euroområdet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oktober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till markägare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2019-09-05</SAFIR_Sammantradesdatum_Doc>
    <SAFIR_SammantradeID xmlns="C07A1A6C-0B19-41D9-BDF8-F523BA3921EB">7cad4e35-ee38-49f4-abfd-f7239085b047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49672-3560-4BB4-AFA8-048E27162E1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