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9A1" w:rsidRPr="00010D67" w:rsidRDefault="006119A1">
      <w:pPr>
        <w:pStyle w:val="Frslagsrubrik"/>
      </w:pPr>
      <w:r w:rsidRPr="00010D67">
        <w:t>Förslag till riksdagsbeslut</w:t>
      </w:r>
    </w:p>
    <w:p w:rsidR="006119A1" w:rsidRPr="00010D67" w:rsidRDefault="006119A1">
      <w:pPr>
        <w:pStyle w:val="Hemstlatt"/>
      </w:pPr>
      <w:r w:rsidRPr="00010D67">
        <w:t xml:space="preserve">Riksdagen tillkännager för regeringen som sin mening vad som anförs i motionen om </w:t>
      </w:r>
      <w:r w:rsidRPr="00010D67">
        <w:rPr>
          <w:color w:val="000000"/>
        </w:rPr>
        <w:t>att Sverige bör verka för Taiwans deltagande som observatör i ICAO.</w:t>
      </w:r>
    </w:p>
    <w:p w:rsidR="006119A1" w:rsidRPr="00010D67" w:rsidRDefault="006119A1">
      <w:pPr>
        <w:pStyle w:val="Rubrik1"/>
      </w:pPr>
      <w:r w:rsidRPr="00010D67">
        <w:t>Motivering</w:t>
      </w:r>
    </w:p>
    <w:p w:rsidR="006119A1" w:rsidRPr="00010D67" w:rsidRDefault="006119A1">
      <w:pPr>
        <w:rPr>
          <w:color w:val="000000"/>
        </w:rPr>
      </w:pPr>
      <w:r w:rsidRPr="00010D67">
        <w:rPr>
          <w:bCs/>
        </w:rPr>
        <w:t>International Civil Aviation Organization</w:t>
      </w:r>
      <w:r w:rsidRPr="00010D67">
        <w:t xml:space="preserve"> (</w:t>
      </w:r>
      <w:r w:rsidRPr="00010D67">
        <w:rPr>
          <w:bCs/>
        </w:rPr>
        <w:t>ICAO</w:t>
      </w:r>
      <w:r w:rsidRPr="00010D67">
        <w:t>)</w:t>
      </w:r>
      <w:r w:rsidRPr="00010D67">
        <w:rPr>
          <w:color w:val="000000"/>
        </w:rPr>
        <w:t xml:space="preserve"> bildades 1944, i enlighet med konventionen om internationell civil luftfart (Chicagokonventionen), med grundsynen att ”den framtida utvecklingen av den internationella civila luftfarten i hög grad kan bidra till att skapa och bevara vänskap och förståelse mellan nationer och folk i världen”.</w:t>
      </w:r>
    </w:p>
    <w:p w:rsidR="006119A1" w:rsidRPr="00010D67" w:rsidRDefault="006119A1">
      <w:pPr>
        <w:pStyle w:val="Normaltindrag"/>
      </w:pPr>
      <w:r w:rsidRPr="00010D67">
        <w:t>Till följd av terroristattackerna i New York den 11 september 2001 sa</w:t>
      </w:r>
      <w:r w:rsidRPr="00010D67">
        <w:t>m</w:t>
      </w:r>
      <w:r w:rsidRPr="00010D67">
        <w:t>mankallade ICAO en ministerkonferens om luftfartsskydd, vilken ställde sig bakom en övergripande strategi för att stärka flygsäkerheten i världen. Konf</w:t>
      </w:r>
      <w:r w:rsidRPr="00010D67">
        <w:t>e</w:t>
      </w:r>
      <w:r w:rsidRPr="00010D67">
        <w:t>rensen resulterade också i ett offentligt uttalande om att brister i någon del av luftfartssystemet utgör ett hot mot hela det globala systemet och att det bör finnas ett åtagande att ”främja internationellt säkerhetssamarbete på området för luftfartsskydd och att harmonisera genomförandet av säkerhetsåtgärder”.</w:t>
      </w:r>
    </w:p>
    <w:p w:rsidR="006119A1" w:rsidRPr="00010D67" w:rsidRDefault="006119A1">
      <w:pPr>
        <w:pStyle w:val="Normaltindrag"/>
      </w:pPr>
      <w:r w:rsidRPr="00010D67">
        <w:t>Taipeis flyginformationsregion (Taipei FIR) t</w:t>
      </w:r>
      <w:r w:rsidRPr="00010D67">
        <w:t>äcker, under Taiwans civila luftfartssektorsmyndigheters jurisdiktion, ett luftrum av 176 000 nautiska kvadratmil och tillhandahåller flygkontrolltjänster till över 1 350 000 pass</w:t>
      </w:r>
      <w:r w:rsidRPr="00010D67">
        <w:t>a</w:t>
      </w:r>
      <w:r w:rsidRPr="00010D67">
        <w:t>gerare för resor till och från Taiwan årligen. Sammanlagt 30 flygbolag, varav 23 är utlandsägda, erbjuder idag reguljärflyg till Taiwan, och de taiwanesiska flygplatserna hanterar årligen mer än 1 580 000 ton flygfrakt. Taiwan Taoy</w:t>
      </w:r>
      <w:r w:rsidRPr="00010D67">
        <w:t>u</w:t>
      </w:r>
      <w:r w:rsidRPr="00010D67">
        <w:t>an International Airport rankades 2009 som världens 8:e och 18:e största flygplats avseende godsvoly</w:t>
      </w:r>
      <w:r w:rsidRPr="00010D67">
        <w:t>m samt antalet internationella passagerare. Detta speglar tydligt vikten av Taiwan som betydande nav för luftfarten och som länk vidare mot nordöstra och sydöstra Asien.</w:t>
      </w:r>
    </w:p>
    <w:p w:rsidR="006119A1" w:rsidRPr="00010D67" w:rsidRDefault="006119A1">
      <w:pPr>
        <w:pStyle w:val="Normaltindrag"/>
      </w:pPr>
      <w:r w:rsidRPr="00010D67">
        <w:lastRenderedPageBreak/>
        <w:t>Som en aktiv och viktig del i det internationella handelsnätverket är Ta</w:t>
      </w:r>
      <w:r w:rsidRPr="00010D67">
        <w:t>i</w:t>
      </w:r>
      <w:r w:rsidRPr="00010D67">
        <w:t>wan välintegrerat med andra medlemmar av världssamfundet. Taiwan har dock nekats deltagande i ICAO, vilket har lett till betydande luckor i det gl</w:t>
      </w:r>
      <w:r w:rsidRPr="00010D67">
        <w:t>o</w:t>
      </w:r>
      <w:r w:rsidRPr="00010D67">
        <w:t>bala flygindustrinätverket och har påverkat såväl arbetet kring flygsäkerheten som bekvämligheten för passagerare. För att överbrygga denna klyfta menar vi att ICAO bör involvera Taiwan i kommitténs möten, mekanismer och akt</w:t>
      </w:r>
      <w:r w:rsidRPr="00010D67">
        <w:t>i</w:t>
      </w:r>
      <w:r w:rsidRPr="00010D67">
        <w:t>viteter.</w:t>
      </w:r>
    </w:p>
    <w:p w:rsidR="006119A1" w:rsidRPr="00010D67" w:rsidRDefault="006119A1">
      <w:pPr>
        <w:pStyle w:val="Normaltindrag"/>
      </w:pPr>
      <w:r w:rsidRPr="00010D67">
        <w:t xml:space="preserve">Då de nekas att delta i ICAO, har inte Taiwan tillgång till information om de senaste internationella bestämmelserna och kan inte </w:t>
      </w:r>
      <w:r w:rsidRPr="00010D67">
        <w:t>heller ta emot ICAO:s tekniska bistånd. Som ett resultat av detta måste Taiwan vända sig till altern</w:t>
      </w:r>
      <w:r w:rsidRPr="00010D67">
        <w:t>a</w:t>
      </w:r>
      <w:r w:rsidRPr="00010D67">
        <w:t>tiva kanaler för att inhämta information och framföra synpunkter på intern</w:t>
      </w:r>
      <w:r w:rsidRPr="00010D67">
        <w:t>a</w:t>
      </w:r>
      <w:r w:rsidRPr="00010D67">
        <w:t>tionella bestämmelser och förfaranden. Detta har haft en negativ inverkan på såväl effektiviteten som konkurrensmässigheten för Taiwans civila luftfart.</w:t>
      </w:r>
    </w:p>
    <w:p w:rsidR="006119A1" w:rsidRPr="00010D67" w:rsidRDefault="006119A1">
      <w:pPr>
        <w:pStyle w:val="Normaltindrag"/>
      </w:pPr>
      <w:r w:rsidRPr="00010D67">
        <w:t>Arbetet för luftfartsskydd och flygsäkerhet överskrider, liksom själva luf</w:t>
      </w:r>
      <w:r w:rsidRPr="00010D67">
        <w:t>t</w:t>
      </w:r>
      <w:r w:rsidRPr="00010D67">
        <w:t>farten, nationella gränser. Chicagokonventionen från 1944 syftade till att främja internationellt samarbete och främja fred i världen och ICAO för att öka deltagandet i detta. Då Taiwans civila luftfart är av stor geografisk bet</w:t>
      </w:r>
      <w:r w:rsidRPr="00010D67">
        <w:t>y</w:t>
      </w:r>
      <w:r w:rsidRPr="00010D67">
        <w:t>delse för utvecklingen av den internationella luftfarten, och även spelar en viktig roll i arbetet för säkerheten i den internationella civila luftfarten, menar vi att ICAO bör bjuda in Taiwan att delta som observatör och införliva Ta</w:t>
      </w:r>
      <w:r w:rsidRPr="00010D67">
        <w:t>i</w:t>
      </w:r>
      <w:r w:rsidRPr="00010D67">
        <w:t>wan i dess arbete för säkerhetsövervakning, säk</w:t>
      </w:r>
      <w:r w:rsidRPr="00010D67">
        <w:t>erhetsgranskningar, luftfart</w:t>
      </w:r>
      <w:r w:rsidRPr="00010D67">
        <w:t>s</w:t>
      </w:r>
      <w:r w:rsidRPr="00010D67">
        <w:t>skyddsförvaltning och att delta i dess tekniska möten och utbildningar.</w:t>
      </w:r>
    </w:p>
    <w:p w:rsidR="006119A1" w:rsidRPr="00010D67" w:rsidRDefault="006119A1">
      <w:pPr>
        <w:pStyle w:val="Normaltindrag"/>
      </w:pPr>
      <w:r w:rsidRPr="00010D67">
        <w:t>Med anledning av ovanstående menar vi att riksdagen bör ta ställning för Taiwans viktiga deltagande som observatör i ICAO.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D67">
        <w:trPr>
          <w:cantSplit/>
        </w:trPr>
        <w:tc>
          <w:tcPr>
            <w:tcW w:w="3046" w:type="dxa"/>
          </w:tcPr>
          <w:p w:rsidR="006119A1" w:rsidRPr="00010D67" w:rsidRDefault="006119A1">
            <w:pPr>
              <w:pStyle w:val="UnderskriftDatum"/>
              <w:spacing w:before="240"/>
            </w:pPr>
            <w:r w:rsidRPr="00010D67">
              <w:t>Stockholm den 21 oktober 2010</w:t>
            </w:r>
          </w:p>
        </w:tc>
        <w:tc>
          <w:tcPr>
            <w:tcW w:w="3047" w:type="dxa"/>
          </w:tcPr>
          <w:p w:rsidR="006119A1" w:rsidRPr="00010D67" w:rsidRDefault="006119A1">
            <w:pPr>
              <w:pStyle w:val="Underskrifter"/>
              <w:spacing w:before="240"/>
            </w:pPr>
          </w:p>
        </w:tc>
      </w:tr>
      <w:tr w:rsidR="00000000" w:rsidRPr="00010D67">
        <w:trPr>
          <w:cantSplit/>
        </w:trPr>
        <w:tc>
          <w:tcPr>
            <w:tcW w:w="3046" w:type="dxa"/>
          </w:tcPr>
          <w:p w:rsidR="006119A1" w:rsidRPr="00010D67" w:rsidRDefault="006119A1">
            <w:pPr>
              <w:pStyle w:val="Underskrifter"/>
            </w:pPr>
            <w:r w:rsidRPr="00010D67">
              <w:t>Gunnar Axén (M)</w:t>
            </w:r>
          </w:p>
        </w:tc>
        <w:tc>
          <w:tcPr>
            <w:tcW w:w="3046" w:type="dxa"/>
          </w:tcPr>
          <w:p w:rsidR="006119A1" w:rsidRPr="00010D67" w:rsidRDefault="006119A1">
            <w:pPr>
              <w:pStyle w:val="Underskrifter"/>
            </w:pPr>
            <w:r w:rsidRPr="00010D67">
              <w:t>Finn Bengtsson (M)</w:t>
            </w:r>
          </w:p>
        </w:tc>
      </w:tr>
    </w:tbl>
    <w:p w:rsidR="006119A1" w:rsidRPr="00010D67" w:rsidRDefault="006119A1">
      <w:pPr>
        <w:pStyle w:val="Normaltindrag"/>
      </w:pPr>
    </w:p>
    <w:sectPr w:rsidR="006119A1" w:rsidRPr="00010D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9A1" w:rsidRPr="00010D67" w:rsidRDefault="006119A1">
      <w:r w:rsidRPr="00010D67">
        <w:separator/>
      </w:r>
    </w:p>
  </w:endnote>
  <w:endnote w:type="continuationSeparator" w:id="0">
    <w:p w:rsidR="006119A1" w:rsidRPr="00010D67" w:rsidRDefault="006119A1">
      <w:r w:rsidRPr="00010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9A1" w:rsidRPr="00010D67" w:rsidRDefault="00010D67">
    <w:pPr>
      <w:pStyle w:val="Sidfot"/>
    </w:pPr>
    <w:r w:rsidRPr="00010D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240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A1" w:rsidRDefault="006119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19A1" w:rsidRDefault="006119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9A1" w:rsidRPr="00010D67" w:rsidRDefault="00010D67">
    <w:pPr>
      <w:pStyle w:val="Sidfot"/>
    </w:pPr>
    <w:r w:rsidRPr="00010D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760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A1" w:rsidRDefault="006119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19A1" w:rsidRDefault="006119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9A1" w:rsidRPr="00010D67" w:rsidRDefault="00010D67">
    <w:pPr>
      <w:pStyle w:val="Sidfot"/>
    </w:pPr>
    <w:r w:rsidRPr="00010D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240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A1" w:rsidRDefault="006119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19A1" w:rsidRDefault="006119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9A1" w:rsidRPr="00010D67" w:rsidRDefault="006119A1">
      <w:r w:rsidRPr="00010D67">
        <w:separator/>
      </w:r>
    </w:p>
  </w:footnote>
  <w:footnote w:type="continuationSeparator" w:id="0">
    <w:p w:rsidR="006119A1" w:rsidRPr="00010D67" w:rsidRDefault="006119A1">
      <w:r w:rsidRPr="00010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9A1" w:rsidRPr="00010D67" w:rsidRDefault="00010D67">
    <w:pPr>
      <w:pStyle w:val="Sidhuvud"/>
    </w:pPr>
    <w:r w:rsidRPr="00010D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315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A1" w:rsidRDefault="006119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19A1" w:rsidRDefault="006119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9A1" w:rsidRPr="00010D67" w:rsidRDefault="00010D67">
    <w:pPr>
      <w:pStyle w:val="Sidhuvud"/>
    </w:pPr>
    <w:r w:rsidRPr="00010D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447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A1" w:rsidRDefault="006119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19A1" w:rsidRDefault="006119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9A1" w:rsidRPr="00010D67" w:rsidRDefault="006119A1">
    <w:pPr>
      <w:pStyle w:val="FSHNormal"/>
      <w:tabs>
        <w:tab w:val="right" w:pos="5840"/>
      </w:tabs>
    </w:pPr>
    <w:r w:rsidRPr="00010D67">
      <w:br/>
    </w:r>
    <w:r w:rsidRPr="00010D67">
      <w:fldChar w:fldCharType="begin" w:fldLock="1"/>
    </w:r>
    <w:r w:rsidRPr="00010D67">
      <w:instrText xml:space="preserve"> DOCPROPERTY</w:instrText>
    </w:r>
    <w:r w:rsidRPr="00010D67">
      <w:rPr>
        <w:sz w:val="18"/>
      </w:rPr>
      <w:instrText xml:space="preserve"> "YearUser" *\charformat </w:instrText>
    </w:r>
    <w:r w:rsidRPr="00010D67">
      <w:fldChar w:fldCharType="separate"/>
    </w:r>
    <w:r w:rsidRPr="00010D67">
      <w:t>2010/11</w:t>
    </w:r>
    <w:r w:rsidRPr="00010D67">
      <w:fldChar w:fldCharType="end"/>
    </w:r>
    <w:r w:rsidRPr="00010D67">
      <w:t xml:space="preserve"> </w:t>
    </w:r>
    <w:r w:rsidRPr="00010D67">
      <w:tab/>
      <w:t xml:space="preserve">mnr: </w:t>
    </w:r>
    <w:r w:rsidRPr="00010D67">
      <w:fldChar w:fldCharType="begin" w:fldLock="1"/>
    </w:r>
    <w:r w:rsidRPr="00010D67">
      <w:instrText xml:space="preserve"> DOCPROPERTY</w:instrText>
    </w:r>
    <w:r w:rsidRPr="00010D67">
      <w:rPr>
        <w:sz w:val="18"/>
      </w:rPr>
      <w:instrText xml:space="preserve"> "Motionsnummer" *\charformat </w:instrText>
    </w:r>
    <w:r w:rsidRPr="00010D67">
      <w:fldChar w:fldCharType="separate"/>
    </w:r>
    <w:r w:rsidRPr="00010D67">
      <w:t>U234</w:t>
    </w:r>
    <w:r w:rsidRPr="00010D67">
      <w:fldChar w:fldCharType="end"/>
    </w:r>
    <w:r w:rsidRPr="00010D67">
      <w:br/>
    </w:r>
    <w:r w:rsidRPr="00010D67">
      <w:fldChar w:fldCharType="begin" w:fldLock="1"/>
    </w:r>
    <w:r w:rsidRPr="00010D67">
      <w:instrText xml:space="preserve"> DOCPROPERTY</w:instrText>
    </w:r>
    <w:r w:rsidRPr="00010D67">
      <w:rPr>
        <w:sz w:val="18"/>
      </w:rPr>
      <w:instrText xml:space="preserve"> "Samling" *\charformat </w:instrText>
    </w:r>
    <w:r w:rsidRPr="00010D67">
      <w:fldChar w:fldCharType="end"/>
    </w:r>
    <w:r w:rsidRPr="00010D67">
      <w:tab/>
      <w:t xml:space="preserve">pnr: </w:t>
    </w:r>
    <w:r w:rsidRPr="00010D67">
      <w:fldChar w:fldCharType="begin" w:fldLock="1"/>
    </w:r>
    <w:r w:rsidRPr="00010D67">
      <w:instrText xml:space="preserve"> DOCPROPERTY</w:instrText>
    </w:r>
    <w:r w:rsidRPr="00010D67">
      <w:rPr>
        <w:sz w:val="18"/>
      </w:rPr>
      <w:instrText xml:space="preserve"> "Partinummer" *\charformat </w:instrText>
    </w:r>
    <w:r w:rsidRPr="00010D67">
      <w:fldChar w:fldCharType="separate"/>
    </w:r>
    <w:r w:rsidRPr="00010D67">
      <w:t>M1020</w:t>
    </w:r>
    <w:r w:rsidRPr="00010D67">
      <w:fldChar w:fldCharType="end"/>
    </w:r>
  </w:p>
  <w:p w:rsidR="006119A1" w:rsidRPr="00010D67" w:rsidRDefault="006119A1">
    <w:pPr>
      <w:pStyle w:val="FSHRub1"/>
    </w:pPr>
    <w:r w:rsidRPr="00010D67">
      <w:t>Motion till riksdagen</w:t>
    </w:r>
    <w:r w:rsidRPr="00010D67">
      <w:br/>
    </w:r>
    <w:r w:rsidRPr="00010D67">
      <w:fldChar w:fldCharType="begin" w:fldLock="1"/>
    </w:r>
    <w:r w:rsidRPr="00010D67">
      <w:instrText xml:space="preserve"> DOCPROPERTY "YearUser" *\charformat </w:instrText>
    </w:r>
    <w:r w:rsidRPr="00010D67">
      <w:fldChar w:fldCharType="separate"/>
    </w:r>
    <w:r w:rsidRPr="00010D67">
      <w:t>2010/11</w:t>
    </w:r>
    <w:r w:rsidRPr="00010D67">
      <w:fldChar w:fldCharType="end"/>
    </w:r>
    <w:r w:rsidRPr="00010D67">
      <w:t>:</w:t>
    </w:r>
    <w:r w:rsidRPr="00010D67">
      <w:fldChar w:fldCharType="begin" w:fldLock="1"/>
    </w:r>
    <w:r w:rsidRPr="00010D67">
      <w:instrText xml:space="preserve"> DOCPROPERTY "Motionsnummer" *\charformat </w:instrText>
    </w:r>
    <w:r w:rsidRPr="00010D67">
      <w:fldChar w:fldCharType="separate"/>
    </w:r>
    <w:r w:rsidRPr="00010D67">
      <w:t>U234</w:t>
    </w:r>
    <w:r w:rsidRPr="00010D67">
      <w:fldChar w:fldCharType="end"/>
    </w:r>
  </w:p>
  <w:p w:rsidR="006119A1" w:rsidRPr="00010D67" w:rsidRDefault="006119A1">
    <w:pPr>
      <w:pStyle w:val="FSHNormalS5"/>
    </w:pPr>
    <w:r w:rsidRPr="00010D67">
      <w:fldChar w:fldCharType="begin" w:fldLock="1"/>
    </w:r>
    <w:r w:rsidRPr="00010D67">
      <w:instrText xml:space="preserve"> DOCPROPERTY "MotionarText" *\charformat </w:instrText>
    </w:r>
    <w:r w:rsidRPr="00010D67">
      <w:fldChar w:fldCharType="separate"/>
    </w:r>
    <w:r w:rsidRPr="00010D67">
      <w:t>av Gunnar Axén och Finn Bengtsson (M)</w:t>
    </w:r>
    <w:r w:rsidRPr="00010D67">
      <w:fldChar w:fldCharType="end"/>
    </w:r>
    <w:r w:rsidRPr="00010D67">
      <w:br/>
    </w:r>
    <w:r w:rsidRPr="00010D67">
      <w:fldChar w:fldCharType="begin" w:fldLock="1"/>
    </w:r>
    <w:r w:rsidRPr="00010D67">
      <w:instrText xml:space="preserve"> DOCPROPERTY "SvarFrasKort" *\charformat </w:instrText>
    </w:r>
    <w:r w:rsidRPr="00010D67">
      <w:fldChar w:fldCharType="end"/>
    </w:r>
  </w:p>
  <w:p w:rsidR="006119A1" w:rsidRPr="00010D67" w:rsidRDefault="006119A1">
    <w:pPr>
      <w:pStyle w:val="FSHTitel"/>
    </w:pPr>
    <w:r w:rsidRPr="00010D67">
      <w:fldChar w:fldCharType="begin" w:fldLock="1"/>
    </w:r>
    <w:r w:rsidRPr="00010D67">
      <w:instrText xml:space="preserve"> DOCPROPERTY</w:instrText>
    </w:r>
    <w:r w:rsidRPr="00010D67">
      <w:rPr>
        <w:sz w:val="18"/>
      </w:rPr>
      <w:instrText xml:space="preserve"> "RubrikSvar" *\charformat </w:instrText>
    </w:r>
    <w:r w:rsidRPr="00010D67">
      <w:fldChar w:fldCharType="separate"/>
    </w:r>
    <w:r w:rsidRPr="00010D67">
      <w:t>Taiwans deltagande i ICAO</w:t>
    </w:r>
    <w:r w:rsidRPr="00010D67">
      <w:fldChar w:fldCharType="end"/>
    </w:r>
  </w:p>
  <w:p w:rsidR="006119A1" w:rsidRPr="00010D67" w:rsidRDefault="006119A1">
    <w:pPr>
      <w:pStyle w:val="Normal00"/>
    </w:pPr>
  </w:p>
  <w:p w:rsidR="006119A1" w:rsidRPr="00010D67" w:rsidRDefault="006119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7308998">
    <w:abstractNumId w:val="3"/>
  </w:num>
  <w:num w:numId="2" w16cid:durableId="1775592636">
    <w:abstractNumId w:val="2"/>
  </w:num>
  <w:num w:numId="3" w16cid:durableId="1129930468">
    <w:abstractNumId w:val="1"/>
  </w:num>
  <w:num w:numId="4" w16cid:durableId="729495977">
    <w:abstractNumId w:val="0"/>
  </w:num>
  <w:num w:numId="5" w16cid:durableId="1364019492">
    <w:abstractNumId w:val="7"/>
  </w:num>
  <w:num w:numId="6" w16cid:durableId="1002466316">
    <w:abstractNumId w:val="6"/>
  </w:num>
  <w:num w:numId="7" w16cid:durableId="1398163501">
    <w:abstractNumId w:val="5"/>
  </w:num>
  <w:num w:numId="8" w16cid:durableId="703822253">
    <w:abstractNumId w:val="4"/>
  </w:num>
  <w:num w:numId="9" w16cid:durableId="1067648292">
    <w:abstractNumId w:val="8"/>
  </w:num>
  <w:num w:numId="10" w16cid:durableId="1968773214">
    <w:abstractNumId w:val="9"/>
  </w:num>
  <w:num w:numId="11" w16cid:durableId="325522291">
    <w:abstractNumId w:val="10"/>
  </w:num>
  <w:num w:numId="12" w16cid:durableId="1475291297">
    <w:abstractNumId w:val="13"/>
  </w:num>
  <w:num w:numId="13" w16cid:durableId="1948735843">
    <w:abstractNumId w:val="15"/>
  </w:num>
  <w:num w:numId="14" w16cid:durableId="2058963946">
    <w:abstractNumId w:val="16"/>
  </w:num>
  <w:num w:numId="15" w16cid:durableId="655064347">
    <w:abstractNumId w:val="11"/>
  </w:num>
  <w:num w:numId="16" w16cid:durableId="1206410237">
    <w:abstractNumId w:val="18"/>
  </w:num>
  <w:num w:numId="17" w16cid:durableId="1331179870">
    <w:abstractNumId w:val="17"/>
  </w:num>
  <w:num w:numId="18" w16cid:durableId="353919776">
    <w:abstractNumId w:val="14"/>
  </w:num>
  <w:num w:numId="19" w16cid:durableId="410930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54FCBD4-9235-4AE4-8205-6EA96CAF95DF},{F1C0FD78-9D14-42EA-B1B2-0CE5B9AA8DA9}"/>
  </w:docVars>
  <w:rsids>
    <w:rsidRoot w:val="002B0CA0"/>
    <w:rsid w:val="00010D67"/>
    <w:rsid w:val="002B0CA0"/>
    <w:rsid w:val="006119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2BC860-C409-479A-B14D-3A7DF442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gt-icon-text1">
    <w:name w:val="gt-icon-text1"/>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6459">
      <w:bodyDiv w:val="1"/>
      <w:marLeft w:val="0"/>
      <w:marRight w:val="0"/>
      <w:marTop w:val="0"/>
      <w:marBottom w:val="0"/>
      <w:divBdr>
        <w:top w:val="none" w:sz="0" w:space="0" w:color="auto"/>
        <w:left w:val="none" w:sz="0" w:space="0" w:color="auto"/>
        <w:bottom w:val="none" w:sz="0" w:space="0" w:color="auto"/>
        <w:right w:val="none" w:sz="0" w:space="0" w:color="auto"/>
      </w:divBdr>
      <w:divsChild>
        <w:div w:id="1186286471">
          <w:marLeft w:val="0"/>
          <w:marRight w:val="0"/>
          <w:marTop w:val="0"/>
          <w:marBottom w:val="0"/>
          <w:divBdr>
            <w:top w:val="none" w:sz="0" w:space="0" w:color="auto"/>
            <w:left w:val="none" w:sz="0" w:space="0" w:color="auto"/>
            <w:bottom w:val="none" w:sz="0" w:space="0" w:color="auto"/>
            <w:right w:val="none" w:sz="0" w:space="0" w:color="auto"/>
          </w:divBdr>
          <w:divsChild>
            <w:div w:id="1077366551">
              <w:marLeft w:val="0"/>
              <w:marRight w:val="0"/>
              <w:marTop w:val="0"/>
              <w:marBottom w:val="0"/>
              <w:divBdr>
                <w:top w:val="none" w:sz="0" w:space="0" w:color="auto"/>
                <w:left w:val="none" w:sz="0" w:space="0" w:color="auto"/>
                <w:bottom w:val="none" w:sz="0" w:space="0" w:color="auto"/>
                <w:right w:val="none" w:sz="0" w:space="0" w:color="auto"/>
              </w:divBdr>
              <w:divsChild>
                <w:div w:id="1504052786">
                  <w:marLeft w:val="0"/>
                  <w:marRight w:val="0"/>
                  <w:marTop w:val="0"/>
                  <w:marBottom w:val="0"/>
                  <w:divBdr>
                    <w:top w:val="none" w:sz="0" w:space="0" w:color="auto"/>
                    <w:left w:val="none" w:sz="0" w:space="0" w:color="auto"/>
                    <w:bottom w:val="none" w:sz="0" w:space="0" w:color="auto"/>
                    <w:right w:val="none" w:sz="0" w:space="0" w:color="auto"/>
                  </w:divBdr>
                  <w:divsChild>
                    <w:div w:id="315307611">
                      <w:marLeft w:val="0"/>
                      <w:marRight w:val="0"/>
                      <w:marTop w:val="0"/>
                      <w:marBottom w:val="0"/>
                      <w:divBdr>
                        <w:top w:val="none" w:sz="0" w:space="0" w:color="auto"/>
                        <w:left w:val="none" w:sz="0" w:space="0" w:color="auto"/>
                        <w:bottom w:val="none" w:sz="0" w:space="0" w:color="auto"/>
                        <w:right w:val="none" w:sz="0" w:space="0" w:color="auto"/>
                      </w:divBdr>
                      <w:divsChild>
                        <w:div w:id="975836105">
                          <w:marLeft w:val="0"/>
                          <w:marRight w:val="0"/>
                          <w:marTop w:val="0"/>
                          <w:marBottom w:val="0"/>
                          <w:divBdr>
                            <w:top w:val="none" w:sz="0" w:space="0" w:color="auto"/>
                            <w:left w:val="none" w:sz="0" w:space="0" w:color="auto"/>
                            <w:bottom w:val="none" w:sz="0" w:space="0" w:color="auto"/>
                            <w:right w:val="none" w:sz="0" w:space="0" w:color="auto"/>
                          </w:divBdr>
                          <w:divsChild>
                            <w:div w:id="1097025062">
                              <w:marLeft w:val="0"/>
                              <w:marRight w:val="0"/>
                              <w:marTop w:val="120"/>
                              <w:marBottom w:val="0"/>
                              <w:divBdr>
                                <w:top w:val="none" w:sz="0" w:space="0" w:color="auto"/>
                                <w:left w:val="none" w:sz="0" w:space="0" w:color="auto"/>
                                <w:bottom w:val="none" w:sz="0" w:space="0" w:color="auto"/>
                                <w:right w:val="none" w:sz="0" w:space="0" w:color="auto"/>
                              </w:divBdr>
                              <w:divsChild>
                                <w:div w:id="139007595">
                                  <w:marLeft w:val="0"/>
                                  <w:marRight w:val="240"/>
                                  <w:marTop w:val="0"/>
                                  <w:marBottom w:val="0"/>
                                  <w:divBdr>
                                    <w:top w:val="none" w:sz="0" w:space="0" w:color="auto"/>
                                    <w:left w:val="none" w:sz="0" w:space="0" w:color="auto"/>
                                    <w:bottom w:val="none" w:sz="0" w:space="0" w:color="auto"/>
                                    <w:right w:val="none" w:sz="0" w:space="0" w:color="auto"/>
                                  </w:divBdr>
                                </w:div>
                                <w:div w:id="674189006">
                                  <w:marLeft w:val="0"/>
                                  <w:marRight w:val="240"/>
                                  <w:marTop w:val="0"/>
                                  <w:marBottom w:val="0"/>
                                  <w:divBdr>
                                    <w:top w:val="none" w:sz="0" w:space="0" w:color="auto"/>
                                    <w:left w:val="none" w:sz="0" w:space="0" w:color="auto"/>
                                    <w:bottom w:val="none" w:sz="0" w:space="0" w:color="auto"/>
                                    <w:right w:val="none" w:sz="0" w:space="0" w:color="auto"/>
                                  </w:divBdr>
                                </w:div>
                              </w:divsChild>
                            </w:div>
                            <w:div w:id="2110152637">
                              <w:marLeft w:val="0"/>
                              <w:marRight w:val="0"/>
                              <w:marTop w:val="0"/>
                              <w:marBottom w:val="0"/>
                              <w:divBdr>
                                <w:top w:val="none" w:sz="0" w:space="0" w:color="auto"/>
                                <w:left w:val="none" w:sz="0" w:space="0" w:color="auto"/>
                                <w:bottom w:val="none" w:sz="0" w:space="0" w:color="auto"/>
                                <w:right w:val="none" w:sz="0" w:space="0" w:color="auto"/>
                              </w:divBdr>
                              <w:divsChild>
                                <w:div w:id="14585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16454">
      <w:bodyDiv w:val="1"/>
      <w:marLeft w:val="0"/>
      <w:marRight w:val="0"/>
      <w:marTop w:val="0"/>
      <w:marBottom w:val="0"/>
      <w:divBdr>
        <w:top w:val="none" w:sz="0" w:space="0" w:color="auto"/>
        <w:left w:val="none" w:sz="0" w:space="0" w:color="auto"/>
        <w:bottom w:val="none" w:sz="0" w:space="0" w:color="auto"/>
        <w:right w:val="none" w:sz="0" w:space="0" w:color="auto"/>
      </w:divBdr>
      <w:divsChild>
        <w:div w:id="576204748">
          <w:marLeft w:val="0"/>
          <w:marRight w:val="0"/>
          <w:marTop w:val="0"/>
          <w:marBottom w:val="0"/>
          <w:divBdr>
            <w:top w:val="none" w:sz="0" w:space="0" w:color="auto"/>
            <w:left w:val="none" w:sz="0" w:space="0" w:color="auto"/>
            <w:bottom w:val="none" w:sz="0" w:space="0" w:color="auto"/>
            <w:right w:val="none" w:sz="0" w:space="0" w:color="auto"/>
          </w:divBdr>
          <w:divsChild>
            <w:div w:id="1771394992">
              <w:marLeft w:val="0"/>
              <w:marRight w:val="0"/>
              <w:marTop w:val="0"/>
              <w:marBottom w:val="0"/>
              <w:divBdr>
                <w:top w:val="none" w:sz="0" w:space="0" w:color="auto"/>
                <w:left w:val="none" w:sz="0" w:space="0" w:color="auto"/>
                <w:bottom w:val="none" w:sz="0" w:space="0" w:color="auto"/>
                <w:right w:val="none" w:sz="0" w:space="0" w:color="auto"/>
              </w:divBdr>
              <w:divsChild>
                <w:div w:id="1930965642">
                  <w:marLeft w:val="0"/>
                  <w:marRight w:val="0"/>
                  <w:marTop w:val="0"/>
                  <w:marBottom w:val="0"/>
                  <w:divBdr>
                    <w:top w:val="none" w:sz="0" w:space="0" w:color="auto"/>
                    <w:left w:val="none" w:sz="0" w:space="0" w:color="auto"/>
                    <w:bottom w:val="none" w:sz="0" w:space="0" w:color="auto"/>
                    <w:right w:val="none" w:sz="0" w:space="0" w:color="auto"/>
                  </w:divBdr>
                  <w:divsChild>
                    <w:div w:id="4484307">
                      <w:marLeft w:val="0"/>
                      <w:marRight w:val="0"/>
                      <w:marTop w:val="0"/>
                      <w:marBottom w:val="0"/>
                      <w:divBdr>
                        <w:top w:val="none" w:sz="0" w:space="0" w:color="auto"/>
                        <w:left w:val="none" w:sz="0" w:space="0" w:color="auto"/>
                        <w:bottom w:val="none" w:sz="0" w:space="0" w:color="auto"/>
                        <w:right w:val="none" w:sz="0" w:space="0" w:color="auto"/>
                      </w:divBdr>
                      <w:divsChild>
                        <w:div w:id="165246224">
                          <w:marLeft w:val="0"/>
                          <w:marRight w:val="0"/>
                          <w:marTop w:val="0"/>
                          <w:marBottom w:val="0"/>
                          <w:divBdr>
                            <w:top w:val="none" w:sz="0" w:space="0" w:color="auto"/>
                            <w:left w:val="none" w:sz="0" w:space="0" w:color="auto"/>
                            <w:bottom w:val="none" w:sz="0" w:space="0" w:color="auto"/>
                            <w:right w:val="none" w:sz="0" w:space="0" w:color="auto"/>
                          </w:divBdr>
                          <w:divsChild>
                            <w:div w:id="408357145">
                              <w:marLeft w:val="0"/>
                              <w:marRight w:val="0"/>
                              <w:marTop w:val="120"/>
                              <w:marBottom w:val="0"/>
                              <w:divBdr>
                                <w:top w:val="none" w:sz="0" w:space="0" w:color="auto"/>
                                <w:left w:val="none" w:sz="0" w:space="0" w:color="auto"/>
                                <w:bottom w:val="none" w:sz="0" w:space="0" w:color="auto"/>
                                <w:right w:val="none" w:sz="0" w:space="0" w:color="auto"/>
                              </w:divBdr>
                              <w:divsChild>
                                <w:div w:id="1515531884">
                                  <w:marLeft w:val="0"/>
                                  <w:marRight w:val="240"/>
                                  <w:marTop w:val="0"/>
                                  <w:marBottom w:val="0"/>
                                  <w:divBdr>
                                    <w:top w:val="none" w:sz="0" w:space="0" w:color="auto"/>
                                    <w:left w:val="none" w:sz="0" w:space="0" w:color="auto"/>
                                    <w:bottom w:val="none" w:sz="0" w:space="0" w:color="auto"/>
                                    <w:right w:val="none" w:sz="0" w:space="0" w:color="auto"/>
                                  </w:divBdr>
                                </w:div>
                                <w:div w:id="1763605800">
                                  <w:marLeft w:val="0"/>
                                  <w:marRight w:val="240"/>
                                  <w:marTop w:val="0"/>
                                  <w:marBottom w:val="0"/>
                                  <w:divBdr>
                                    <w:top w:val="none" w:sz="0" w:space="0" w:color="auto"/>
                                    <w:left w:val="none" w:sz="0" w:space="0" w:color="auto"/>
                                    <w:bottom w:val="none" w:sz="0" w:space="0" w:color="auto"/>
                                    <w:right w:val="none" w:sz="0" w:space="0" w:color="auto"/>
                                  </w:divBdr>
                                </w:div>
                              </w:divsChild>
                            </w:div>
                            <w:div w:id="1943536342">
                              <w:marLeft w:val="0"/>
                              <w:marRight w:val="0"/>
                              <w:marTop w:val="0"/>
                              <w:marBottom w:val="0"/>
                              <w:divBdr>
                                <w:top w:val="none" w:sz="0" w:space="0" w:color="auto"/>
                                <w:left w:val="none" w:sz="0" w:space="0" w:color="auto"/>
                                <w:bottom w:val="none" w:sz="0" w:space="0" w:color="auto"/>
                                <w:right w:val="none" w:sz="0" w:space="0" w:color="auto"/>
                              </w:divBdr>
                              <w:divsChild>
                                <w:div w:id="13065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4132">
      <w:bodyDiv w:val="1"/>
      <w:marLeft w:val="0"/>
      <w:marRight w:val="0"/>
      <w:marTop w:val="0"/>
      <w:marBottom w:val="0"/>
      <w:divBdr>
        <w:top w:val="none" w:sz="0" w:space="0" w:color="auto"/>
        <w:left w:val="none" w:sz="0" w:space="0" w:color="auto"/>
        <w:bottom w:val="none" w:sz="0" w:space="0" w:color="auto"/>
        <w:right w:val="none" w:sz="0" w:space="0" w:color="auto"/>
      </w:divBdr>
      <w:divsChild>
        <w:div w:id="1796367109">
          <w:marLeft w:val="0"/>
          <w:marRight w:val="0"/>
          <w:marTop w:val="0"/>
          <w:marBottom w:val="0"/>
          <w:divBdr>
            <w:top w:val="none" w:sz="0" w:space="0" w:color="auto"/>
            <w:left w:val="none" w:sz="0" w:space="0" w:color="auto"/>
            <w:bottom w:val="none" w:sz="0" w:space="0" w:color="auto"/>
            <w:right w:val="none" w:sz="0" w:space="0" w:color="auto"/>
          </w:divBdr>
          <w:divsChild>
            <w:div w:id="1397045421">
              <w:marLeft w:val="0"/>
              <w:marRight w:val="0"/>
              <w:marTop w:val="0"/>
              <w:marBottom w:val="0"/>
              <w:divBdr>
                <w:top w:val="none" w:sz="0" w:space="0" w:color="auto"/>
                <w:left w:val="none" w:sz="0" w:space="0" w:color="auto"/>
                <w:bottom w:val="none" w:sz="0" w:space="0" w:color="auto"/>
                <w:right w:val="none" w:sz="0" w:space="0" w:color="auto"/>
              </w:divBdr>
              <w:divsChild>
                <w:div w:id="261573796">
                  <w:marLeft w:val="0"/>
                  <w:marRight w:val="0"/>
                  <w:marTop w:val="0"/>
                  <w:marBottom w:val="0"/>
                  <w:divBdr>
                    <w:top w:val="none" w:sz="0" w:space="0" w:color="auto"/>
                    <w:left w:val="none" w:sz="0" w:space="0" w:color="auto"/>
                    <w:bottom w:val="none" w:sz="0" w:space="0" w:color="auto"/>
                    <w:right w:val="none" w:sz="0" w:space="0" w:color="auto"/>
                  </w:divBdr>
                  <w:divsChild>
                    <w:div w:id="1753696935">
                      <w:marLeft w:val="0"/>
                      <w:marRight w:val="0"/>
                      <w:marTop w:val="0"/>
                      <w:marBottom w:val="0"/>
                      <w:divBdr>
                        <w:top w:val="none" w:sz="0" w:space="0" w:color="auto"/>
                        <w:left w:val="none" w:sz="0" w:space="0" w:color="auto"/>
                        <w:bottom w:val="none" w:sz="0" w:space="0" w:color="auto"/>
                        <w:right w:val="none" w:sz="0" w:space="0" w:color="auto"/>
                      </w:divBdr>
                      <w:divsChild>
                        <w:div w:id="2014645949">
                          <w:marLeft w:val="0"/>
                          <w:marRight w:val="0"/>
                          <w:marTop w:val="0"/>
                          <w:marBottom w:val="0"/>
                          <w:divBdr>
                            <w:top w:val="none" w:sz="0" w:space="0" w:color="auto"/>
                            <w:left w:val="none" w:sz="0" w:space="0" w:color="auto"/>
                            <w:bottom w:val="none" w:sz="0" w:space="0" w:color="auto"/>
                            <w:right w:val="none" w:sz="0" w:space="0" w:color="auto"/>
                          </w:divBdr>
                          <w:divsChild>
                            <w:div w:id="1183278093">
                              <w:marLeft w:val="0"/>
                              <w:marRight w:val="0"/>
                              <w:marTop w:val="0"/>
                              <w:marBottom w:val="0"/>
                              <w:divBdr>
                                <w:top w:val="none" w:sz="0" w:space="0" w:color="auto"/>
                                <w:left w:val="none" w:sz="0" w:space="0" w:color="auto"/>
                                <w:bottom w:val="none" w:sz="0" w:space="0" w:color="auto"/>
                                <w:right w:val="none" w:sz="0" w:space="0" w:color="auto"/>
                              </w:divBdr>
                              <w:divsChild>
                                <w:div w:id="1983805467">
                                  <w:marLeft w:val="0"/>
                                  <w:marRight w:val="0"/>
                                  <w:marTop w:val="0"/>
                                  <w:marBottom w:val="0"/>
                                  <w:divBdr>
                                    <w:top w:val="none" w:sz="0" w:space="0" w:color="auto"/>
                                    <w:left w:val="none" w:sz="0" w:space="0" w:color="auto"/>
                                    <w:bottom w:val="none" w:sz="0" w:space="0" w:color="auto"/>
                                    <w:right w:val="none" w:sz="0" w:space="0" w:color="auto"/>
                                  </w:divBdr>
                                </w:div>
                              </w:divsChild>
                            </w:div>
                            <w:div w:id="1374816540">
                              <w:marLeft w:val="0"/>
                              <w:marRight w:val="0"/>
                              <w:marTop w:val="120"/>
                              <w:marBottom w:val="0"/>
                              <w:divBdr>
                                <w:top w:val="none" w:sz="0" w:space="0" w:color="auto"/>
                                <w:left w:val="none" w:sz="0" w:space="0" w:color="auto"/>
                                <w:bottom w:val="none" w:sz="0" w:space="0" w:color="auto"/>
                                <w:right w:val="none" w:sz="0" w:space="0" w:color="auto"/>
                              </w:divBdr>
                              <w:divsChild>
                                <w:div w:id="1831172198">
                                  <w:marLeft w:val="0"/>
                                  <w:marRight w:val="240"/>
                                  <w:marTop w:val="0"/>
                                  <w:marBottom w:val="0"/>
                                  <w:divBdr>
                                    <w:top w:val="none" w:sz="0" w:space="0" w:color="auto"/>
                                    <w:left w:val="none" w:sz="0" w:space="0" w:color="auto"/>
                                    <w:bottom w:val="none" w:sz="0" w:space="0" w:color="auto"/>
                                    <w:right w:val="none" w:sz="0" w:space="0" w:color="auto"/>
                                  </w:divBdr>
                                </w:div>
                                <w:div w:id="21176011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3086</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m1020</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m1020</dc:title>
  <dc:subject>m1020</dc:subject>
  <dc:creator>Riksdagen</dc:creator>
  <cp:keywords>Riksdagen</cp:keywords>
  <dc:description>Versal/gemen i partibeteckning. Gemen i tryck för 0910, versal för 1011 och nyare</dc:description>
  <cp:lastModifiedBy>Lars Brink</cp:lastModifiedBy>
  <cp:revision>2</cp:revision>
  <cp:lastPrinted>2010-11-25T08:46:00Z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Taiwans deltagande i ICAO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Taiwans deltagande i ICAO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Finn Bengtsson (M)</vt:lpwstr>
  </property>
  <property fmtid="{D5CDD505-2E9C-101B-9397-08002B2CF9AE}" pid="26" name="MotionarLista">
    <vt:lpwstr>Axén, Gunnar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20102011000000000109000010200069</vt:lpwstr>
  </property>
  <property fmtid="{D5CDD505-2E9C-101B-9397-08002B2CF9AE}" pid="47" name="datum">
    <vt:lpwstr>101021</vt:lpwstr>
  </property>
  <property fmtid="{D5CDD505-2E9C-101B-9397-08002B2CF9AE}" pid="48" name="avsändar-e-post">
    <vt:lpwstr>albin.molander@riksdagen.se</vt:lpwstr>
  </property>
  <property fmtid="{D5CDD505-2E9C-101B-9397-08002B2CF9AE}" pid="49" name="id">
    <vt:lpwstr>20102011000000000109000010200069</vt:lpwstr>
  </property>
  <property fmtid="{D5CDD505-2E9C-101B-9397-08002B2CF9AE}" pid="50" name="nummer">
    <vt:lpwstr>234</vt:lpwstr>
  </property>
  <property fmtid="{D5CDD505-2E9C-101B-9397-08002B2CF9AE}" pid="51" name="utskottsbeteckning">
    <vt:lpwstr>U</vt:lpwstr>
  </property>
  <property fmtid="{D5CDD505-2E9C-101B-9397-08002B2CF9AE}" pid="52" name="GlobalUID">
    <vt:lpwstr>{B861B5B7-EC23-42E4-B9C1-045B090B3578}</vt:lpwstr>
  </property>
  <property fmtid="{D5CDD505-2E9C-101B-9397-08002B2CF9AE}" pid="53" name="Överföringar">
    <vt:i4>0</vt:i4>
  </property>
  <property fmtid="{D5CDD505-2E9C-101B-9397-08002B2CF9AE}" pid="54" name="Checksum">
    <vt:lpwstr>*1011400645004*</vt:lpwstr>
  </property>
  <property fmtid="{D5CDD505-2E9C-101B-9397-08002B2CF9AE}" pid="55" name="skuggnummer">
    <vt:lpwstr>1232</vt:lpwstr>
  </property>
  <property fmtid="{D5CDD505-2E9C-101B-9397-08002B2CF9AE}" pid="56" name="urixVersion">
    <vt:lpwstr>4.3.0.0</vt:lpwstr>
  </property>
  <property fmtid="{D5CDD505-2E9C-101B-9397-08002B2CF9AE}" pid="57" name="urixOrigin">
    <vt:lpwstr>101125 13:30:46.276</vt:lpwstr>
  </property>
  <property fmtid="{D5CDD505-2E9C-101B-9397-08002B2CF9AE}" pid="58" name="urixGuid">
    <vt:lpwstr>{DEBB5F44-AD8C-4B31-BFE0-A89FB57937F5}</vt:lpwstr>
  </property>
</Properties>
</file>