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1E7D8920-7F11-49B8-B972-43F2A2975C36}"/>
</file>

<file path=customXml/itemProps3.xml><?xml version="1.0" encoding="utf-8"?>
<ds:datastoreItem xmlns:ds="http://schemas.openxmlformats.org/officeDocument/2006/customXml" ds:itemID="{F9B4B12B-64CF-4D68-9B92-3E0C3CD9083B}"/>
</file>

<file path=customXml/itemProps4.xml><?xml version="1.0" encoding="utf-8"?>
<ds:datastoreItem xmlns:ds="http://schemas.openxmlformats.org/officeDocument/2006/customXml" ds:itemID="{1AE8F44E-5375-41C1-AE9C-B87F7D1E142D}"/>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