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2931F9">
              <w:rPr>
                <w:b/>
              </w:rPr>
              <w:t>2</w:t>
            </w:r>
            <w:r w:rsidR="00217D45">
              <w:rPr>
                <w:b/>
              </w:rPr>
              <w:t>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2022-0</w:t>
            </w:r>
            <w:r w:rsidR="009D65FE">
              <w:t>3-</w:t>
            </w:r>
            <w:r w:rsidR="00BA7C52">
              <w:t>2</w:t>
            </w:r>
            <w:r w:rsidR="00217D45">
              <w:t>4</w:t>
            </w:r>
          </w:p>
        </w:tc>
      </w:tr>
      <w:tr w:rsidR="00072F27" w:rsidRPr="007A327C">
        <w:tc>
          <w:tcPr>
            <w:tcW w:w="1985" w:type="dxa"/>
          </w:tcPr>
          <w:p w:rsidR="00072F27" w:rsidRPr="007A327C" w:rsidRDefault="00072F27">
            <w:r>
              <w:t>TID</w:t>
            </w:r>
          </w:p>
        </w:tc>
        <w:tc>
          <w:tcPr>
            <w:tcW w:w="6463" w:type="dxa"/>
          </w:tcPr>
          <w:p w:rsidR="00072F27" w:rsidRDefault="00072F27" w:rsidP="00AC3854">
            <w:r>
              <w:t>09.30–10.40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030ABE" w:rsidRDefault="00030ABE">
      <w:pPr>
        <w:tabs>
          <w:tab w:val="left" w:pos="1701"/>
        </w:tabs>
        <w:rPr>
          <w:snapToGrid w:val="0"/>
          <w:color w:val="000000"/>
        </w:rPr>
      </w:pPr>
    </w:p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05C6B" w:rsidRPr="007A327C" w:rsidTr="00F5133A">
        <w:tc>
          <w:tcPr>
            <w:tcW w:w="567" w:type="dxa"/>
          </w:tcPr>
          <w:p w:rsidR="00F05C6B" w:rsidRPr="007A327C" w:rsidRDefault="00727D8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1DF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9053E" w:rsidRDefault="0059053E" w:rsidP="005905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59053E" w:rsidRDefault="0059053E" w:rsidP="0059053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7C52" w:rsidRPr="00BA7C52" w:rsidRDefault="0059053E" w:rsidP="0059053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justerade protokoll 2021/22:</w:t>
            </w:r>
            <w:r w:rsidRPr="0038247D">
              <w:rPr>
                <w:snapToGrid w:val="0"/>
              </w:rPr>
              <w:t>2</w:t>
            </w:r>
            <w:r>
              <w:rPr>
                <w:snapToGrid w:val="0"/>
              </w:rPr>
              <w:t>8</w:t>
            </w:r>
            <w:r w:rsidRPr="0038247D">
              <w:rPr>
                <w:snapToGrid w:val="0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4C59D1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01F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161DFE" w:rsidRDefault="00072F27" w:rsidP="00BA7C5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Arbetskraftsinvandring (SfU19)</w:t>
            </w:r>
          </w:p>
          <w:p w:rsidR="00072F27" w:rsidRDefault="00072F27" w:rsidP="00BA7C5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2F27" w:rsidRDefault="00072F27" w:rsidP="00BA7C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arbetskraftsinvandring.</w:t>
            </w:r>
            <w:r>
              <w:rPr>
                <w:snapToGrid w:val="0"/>
              </w:rPr>
              <w:br/>
            </w:r>
          </w:p>
          <w:p w:rsidR="00072F27" w:rsidRPr="00072F27" w:rsidRDefault="00072F27" w:rsidP="00BA7C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BA7C52" w:rsidRPr="007A327C" w:rsidTr="00F5133A">
        <w:tc>
          <w:tcPr>
            <w:tcW w:w="567" w:type="dxa"/>
          </w:tcPr>
          <w:p w:rsidR="00BA7C52" w:rsidRPr="007A327C" w:rsidRDefault="00BA7C52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A7C52" w:rsidRPr="004C59D1" w:rsidRDefault="00BA7C52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2F27" w:rsidRPr="007A327C" w:rsidTr="00F5133A">
        <w:tc>
          <w:tcPr>
            <w:tcW w:w="567" w:type="dxa"/>
          </w:tcPr>
          <w:p w:rsidR="00072F27" w:rsidRPr="007A327C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072F27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Skärpta och förbättrade regler om arbetskraftsinvandring (SfU22)</w:t>
            </w:r>
          </w:p>
          <w:p w:rsidR="00072F27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2F27" w:rsidRDefault="00072F27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2021/22:134 och motioner om skärpta och förbättrade regler om arbetskraftsinvandring.</w:t>
            </w:r>
          </w:p>
          <w:p w:rsidR="00072F27" w:rsidRDefault="00072F27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072F27" w:rsidRPr="00072F27" w:rsidRDefault="00072F27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072F27" w:rsidRPr="007A327C" w:rsidTr="00F5133A">
        <w:tc>
          <w:tcPr>
            <w:tcW w:w="567" w:type="dxa"/>
          </w:tcPr>
          <w:p w:rsidR="00072F27" w:rsidRPr="007A327C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72F27" w:rsidRPr="004C59D1" w:rsidRDefault="00072F27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2F27" w:rsidRPr="007A327C" w:rsidTr="00F5133A">
        <w:tc>
          <w:tcPr>
            <w:tcW w:w="567" w:type="dxa"/>
          </w:tcPr>
          <w:p w:rsidR="00072F27" w:rsidRPr="007A327C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072F27" w:rsidRDefault="00AF1C0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Europeisk samordning av mottagandet av flyktingar</w:t>
            </w:r>
          </w:p>
          <w:p w:rsidR="00AF1C07" w:rsidRDefault="00AF1C0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F1C07" w:rsidRDefault="00AF1C07" w:rsidP="00AF1C0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överlade med regeringen, statssekreterare Sebastian de Toro, biträdd av medarbetare från Justitiedepartementet. </w:t>
            </w:r>
          </w:p>
          <w:p w:rsidR="00AF1C07" w:rsidRDefault="00AF1C07" w:rsidP="00AF1C07">
            <w:pPr>
              <w:tabs>
                <w:tab w:val="left" w:pos="1701"/>
              </w:tabs>
              <w:rPr>
                <w:snapToGrid w:val="0"/>
              </w:rPr>
            </w:pPr>
          </w:p>
          <w:p w:rsidR="00AF1C07" w:rsidRDefault="00AF1C07" w:rsidP="00AF1C0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Underlaget utgjordes av regeringens </w:t>
            </w:r>
            <w:r w:rsidR="00634851">
              <w:rPr>
                <w:snapToGrid w:val="0"/>
              </w:rPr>
              <w:t>kommenterade dagordning för RIF-rådets möte den 28 mars 2022.</w:t>
            </w:r>
          </w:p>
          <w:p w:rsidR="00634851" w:rsidRDefault="00634851" w:rsidP="00AF1C07">
            <w:pPr>
              <w:tabs>
                <w:tab w:val="left" w:pos="1701"/>
              </w:tabs>
              <w:rPr>
                <w:snapToGrid w:val="0"/>
              </w:rPr>
            </w:pPr>
          </w:p>
          <w:p w:rsidR="00634851" w:rsidRDefault="00634851" w:rsidP="00AF1C0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redogjorde för regeringens ståndpunkt i enlighet med den kommenterade dagordningen:</w:t>
            </w:r>
          </w:p>
          <w:p w:rsidR="00634851" w:rsidRDefault="00634851" w:rsidP="00AF1C07">
            <w:pPr>
              <w:tabs>
                <w:tab w:val="left" w:pos="1701"/>
              </w:tabs>
              <w:rPr>
                <w:snapToGrid w:val="0"/>
              </w:rPr>
            </w:pPr>
          </w:p>
          <w:p w:rsidR="00634851" w:rsidRPr="00634851" w:rsidRDefault="00634851" w:rsidP="00634851">
            <w:pPr>
              <w:tabs>
                <w:tab w:val="left" w:pos="1701"/>
              </w:tabs>
              <w:ind w:left="428"/>
              <w:rPr>
                <w:snapToGrid w:val="0"/>
              </w:rPr>
            </w:pPr>
            <w:r w:rsidRPr="00634851">
              <w:rPr>
                <w:snapToGrid w:val="0"/>
              </w:rPr>
              <w:t>Regeringen välkomnar att det franska ordförandeskapet har tagit initiativ till ett extrainsatt RIF-råd. EU behöver stå enat i mottagandet av skyddsbehövande från Ukraina. Det är viktigt med stark EU-samordning och ett helhetsgrepp i det nuvarande läget.</w:t>
            </w:r>
          </w:p>
          <w:p w:rsidR="00634851" w:rsidRPr="00634851" w:rsidRDefault="00634851" w:rsidP="00634851">
            <w:pPr>
              <w:tabs>
                <w:tab w:val="left" w:pos="1701"/>
              </w:tabs>
              <w:ind w:left="428"/>
              <w:rPr>
                <w:snapToGrid w:val="0"/>
              </w:rPr>
            </w:pPr>
            <w:r w:rsidRPr="00634851">
              <w:rPr>
                <w:snapToGrid w:val="0"/>
              </w:rPr>
              <w:t>Det finns bl</w:t>
            </w:r>
            <w:r w:rsidR="00EF10E1">
              <w:rPr>
                <w:snapToGrid w:val="0"/>
              </w:rPr>
              <w:t>.a.</w:t>
            </w:r>
            <w:r w:rsidRPr="00634851">
              <w:rPr>
                <w:snapToGrid w:val="0"/>
              </w:rPr>
              <w:t xml:space="preserve"> behov av klargörande och samordning av frågor kring genomförandet av massflyktsdirektivet, inte minst vad gäller registrering, rörlighet inom EU och åtnjutande av rättigheter samt säkerhetsaspekter. Samtidigt som gränskontroller </w:t>
            </w:r>
            <w:r w:rsidRPr="00634851">
              <w:rPr>
                <w:snapToGrid w:val="0"/>
              </w:rPr>
              <w:lastRenderedPageBreak/>
              <w:t>utförs på ett sådant sätt att de inte orsakar onödiga hinder för människor som flyr är det viktigt att vara vaksam mot potentiella hot mot allmän ordning och inre säkerhet.</w:t>
            </w:r>
          </w:p>
          <w:p w:rsidR="00634851" w:rsidRDefault="00634851" w:rsidP="00D57CB4">
            <w:pPr>
              <w:tabs>
                <w:tab w:val="left" w:pos="1701"/>
              </w:tabs>
              <w:ind w:left="428"/>
              <w:rPr>
                <w:snapToGrid w:val="0"/>
              </w:rPr>
            </w:pPr>
            <w:r w:rsidRPr="00634851">
              <w:rPr>
                <w:snapToGrid w:val="0"/>
              </w:rPr>
              <w:t>Regeringen står fast vid att Sverige ska ta sin del av ansvaret för människor på flykt och förväntar sig att andra medlemsstater</w:t>
            </w:r>
            <w:r>
              <w:rPr>
                <w:snapToGrid w:val="0"/>
              </w:rPr>
              <w:t>.</w:t>
            </w:r>
          </w:p>
          <w:p w:rsidR="00EF10E1" w:rsidRDefault="00EF10E1" w:rsidP="00D57CB4">
            <w:pPr>
              <w:tabs>
                <w:tab w:val="left" w:pos="1701"/>
              </w:tabs>
              <w:ind w:left="428"/>
              <w:rPr>
                <w:snapToGrid w:val="0"/>
              </w:rPr>
            </w:pPr>
          </w:p>
          <w:p w:rsidR="00EF10E1" w:rsidRPr="00B30FEC" w:rsidRDefault="00EF10E1" w:rsidP="00EF10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Ordföranden konstaterade att det fanns stöd för regeringens ståndpunkt. </w:t>
            </w:r>
          </w:p>
        </w:tc>
      </w:tr>
      <w:tr w:rsidR="00072F27" w:rsidRPr="007A327C" w:rsidTr="00F5133A">
        <w:tc>
          <w:tcPr>
            <w:tcW w:w="567" w:type="dxa"/>
          </w:tcPr>
          <w:p w:rsidR="00072F27" w:rsidRPr="007A327C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72F27" w:rsidRPr="004C59D1" w:rsidRDefault="00072F27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2F27" w:rsidRPr="007A327C" w:rsidTr="00F5133A">
        <w:tc>
          <w:tcPr>
            <w:tcW w:w="567" w:type="dxa"/>
          </w:tcPr>
          <w:p w:rsidR="00072F27" w:rsidRPr="007A327C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</w:tc>
        <w:tc>
          <w:tcPr>
            <w:tcW w:w="6946" w:type="dxa"/>
            <w:gridSpan w:val="2"/>
          </w:tcPr>
          <w:p w:rsidR="00072F27" w:rsidRDefault="00AF1C0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 på det migrationspolitiska området</w:t>
            </w:r>
          </w:p>
          <w:p w:rsidR="00B30FEC" w:rsidRDefault="00B30FEC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D7F81" w:rsidRPr="00B30FEC" w:rsidRDefault="00B30FEC" w:rsidP="00EF10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Sebastian de Toro </w:t>
            </w:r>
            <w:r w:rsidR="00634851">
              <w:rPr>
                <w:snapToGrid w:val="0"/>
              </w:rPr>
              <w:t>å</w:t>
            </w:r>
            <w:r>
              <w:rPr>
                <w:snapToGrid w:val="0"/>
              </w:rPr>
              <w:t>terrapporte</w:t>
            </w:r>
            <w:r w:rsidR="00634851">
              <w:rPr>
                <w:snapToGrid w:val="0"/>
              </w:rPr>
              <w:t>rade</w:t>
            </w:r>
            <w:r>
              <w:rPr>
                <w:snapToGrid w:val="0"/>
              </w:rPr>
              <w:t xml:space="preserve"> från RIF-rådets möte</w:t>
            </w:r>
            <w:r w:rsidR="006652C5">
              <w:rPr>
                <w:snapToGrid w:val="0"/>
              </w:rPr>
              <w:t>n</w:t>
            </w:r>
            <w:r>
              <w:rPr>
                <w:snapToGrid w:val="0"/>
              </w:rPr>
              <w:t xml:space="preserve"> den 27 februari 2022 och den 3–4 mars 2022.</w:t>
            </w:r>
            <w:r w:rsidR="00634851">
              <w:rPr>
                <w:snapToGrid w:val="0"/>
              </w:rPr>
              <w:t xml:space="preserve"> Vidare informerade statssekreteraren om kommissionens förslag till förordning om ändring av bl.a. fonderna för inrikes frågor 2014–2020, </w:t>
            </w:r>
            <w:proofErr w:type="gramStart"/>
            <w:r w:rsidR="00634851">
              <w:rPr>
                <w:snapToGrid w:val="0"/>
              </w:rPr>
              <w:t>COM(</w:t>
            </w:r>
            <w:proofErr w:type="gramEnd"/>
            <w:r w:rsidR="00634851">
              <w:rPr>
                <w:snapToGrid w:val="0"/>
              </w:rPr>
              <w:t>2022) 112.</w:t>
            </w:r>
          </w:p>
        </w:tc>
      </w:tr>
      <w:tr w:rsidR="00072F27" w:rsidRPr="007A327C" w:rsidTr="00F5133A">
        <w:tc>
          <w:tcPr>
            <w:tcW w:w="567" w:type="dxa"/>
          </w:tcPr>
          <w:p w:rsidR="00072F27" w:rsidRPr="007A327C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72F27" w:rsidRPr="004C59D1" w:rsidRDefault="00072F27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2F27" w:rsidRPr="007A327C" w:rsidTr="00F5133A">
        <w:tc>
          <w:tcPr>
            <w:tcW w:w="567" w:type="dxa"/>
          </w:tcPr>
          <w:p w:rsidR="00072F27" w:rsidRPr="007A327C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072F27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Migrationsverket och Justitiedepartementet</w:t>
            </w:r>
          </w:p>
          <w:p w:rsidR="00072F27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2F27" w:rsidRPr="00072F27" w:rsidRDefault="00072F27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 Mikael </w:t>
            </w:r>
            <w:proofErr w:type="spellStart"/>
            <w:r>
              <w:rPr>
                <w:snapToGrid w:val="0"/>
              </w:rPr>
              <w:t>Ribbenvik</w:t>
            </w:r>
            <w:proofErr w:type="spellEnd"/>
            <w:r>
              <w:rPr>
                <w:snapToGrid w:val="0"/>
              </w:rPr>
              <w:t>, Migrationsverket och statssekreterare Sebastian de Toro, Justitiedepartementet informerade med anledning av situationen i Ukraina.</w:t>
            </w:r>
          </w:p>
        </w:tc>
      </w:tr>
      <w:tr w:rsidR="00072F27" w:rsidRPr="007A327C" w:rsidTr="00F5133A">
        <w:tc>
          <w:tcPr>
            <w:tcW w:w="567" w:type="dxa"/>
          </w:tcPr>
          <w:p w:rsidR="00072F27" w:rsidRPr="007A327C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72F27" w:rsidRPr="004C59D1" w:rsidRDefault="00072F27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2F27" w:rsidRPr="007A327C" w:rsidTr="00F5133A">
        <w:tc>
          <w:tcPr>
            <w:tcW w:w="567" w:type="dxa"/>
          </w:tcPr>
          <w:p w:rsidR="00072F27" w:rsidRPr="007A327C" w:rsidRDefault="006652C5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072F27" w:rsidRDefault="006652C5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 fråga</w:t>
            </w:r>
          </w:p>
          <w:p w:rsidR="006652C5" w:rsidRDefault="006652C5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652C5" w:rsidRPr="006652C5" w:rsidRDefault="006652C5" w:rsidP="006652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bjuda in generaldirektören och styrelseordföranden för Pensionsmyndigheten samt socialförsäkringsminister Ardalan Shekarabi</w:t>
            </w:r>
            <w:r w:rsidR="00EF10E1">
              <w:rPr>
                <w:snapToGrid w:val="0"/>
              </w:rPr>
              <w:t xml:space="preserve"> och statssekreterare Alejandro </w:t>
            </w:r>
            <w:proofErr w:type="spellStart"/>
            <w:r w:rsidR="00EF10E1">
              <w:rPr>
                <w:snapToGrid w:val="0"/>
              </w:rPr>
              <w:t>Firpo</w:t>
            </w:r>
            <w:proofErr w:type="spellEnd"/>
            <w:r w:rsidR="00EF10E1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Socialdepartementet, för att informera om beredningen av </w:t>
            </w:r>
            <w:r w:rsidR="00EF10E1">
              <w:rPr>
                <w:snapToGrid w:val="0"/>
              </w:rPr>
              <w:t>fråga om garantitillägg i bostadstillägg till pensionärer.</w:t>
            </w:r>
            <w:bookmarkStart w:id="0" w:name="_GoBack"/>
            <w:bookmarkEnd w:id="0"/>
          </w:p>
        </w:tc>
      </w:tr>
      <w:tr w:rsidR="00072F27" w:rsidRPr="007A327C" w:rsidTr="00F5133A">
        <w:tc>
          <w:tcPr>
            <w:tcW w:w="567" w:type="dxa"/>
          </w:tcPr>
          <w:p w:rsidR="00072F27" w:rsidRPr="007A327C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72F27" w:rsidRPr="004C59D1" w:rsidRDefault="00072F27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52C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5A0F" w:rsidRPr="00F06797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0F184D">
              <w:rPr>
                <w:szCs w:val="24"/>
              </w:rPr>
              <w:t>t</w:t>
            </w:r>
            <w:r w:rsidR="00072F27">
              <w:rPr>
                <w:szCs w:val="24"/>
              </w:rPr>
              <w:t>i</w:t>
            </w:r>
            <w:r w:rsidR="00BA7C52">
              <w:rPr>
                <w:szCs w:val="24"/>
              </w:rPr>
              <w:t>s</w:t>
            </w:r>
            <w:r w:rsidR="00161DFE">
              <w:rPr>
                <w:szCs w:val="24"/>
              </w:rPr>
              <w:t xml:space="preserve">dagen den </w:t>
            </w:r>
            <w:r w:rsidR="00F104F7">
              <w:rPr>
                <w:szCs w:val="24"/>
              </w:rPr>
              <w:t>2</w:t>
            </w:r>
            <w:r w:rsidR="00072F27">
              <w:rPr>
                <w:szCs w:val="24"/>
              </w:rPr>
              <w:t>9</w:t>
            </w:r>
            <w:r w:rsidR="000F184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mars 2022 kl. </w:t>
            </w:r>
            <w:r w:rsidR="00072F27">
              <w:rPr>
                <w:szCs w:val="24"/>
              </w:rPr>
              <w:t>11.00</w:t>
            </w:r>
            <w:r>
              <w:rPr>
                <w:szCs w:val="24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</w:pPr>
          </w:p>
          <w:p w:rsidR="000F184D" w:rsidRDefault="000F184D" w:rsidP="00705A0F">
            <w:pPr>
              <w:tabs>
                <w:tab w:val="left" w:pos="1701"/>
              </w:tabs>
            </w:pPr>
          </w:p>
          <w:p w:rsidR="000F184D" w:rsidRDefault="000F184D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F62502" w:rsidRPr="007A327C" w:rsidRDefault="00F62502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F104F7">
              <w:t>2</w:t>
            </w:r>
            <w:r w:rsidR="00072F27">
              <w:t>9</w:t>
            </w:r>
            <w:r>
              <w:t xml:space="preserve"> mars 2022</w:t>
            </w:r>
          </w:p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pPr w:leftFromText="141" w:rightFromText="141" w:horzAnchor="margin" w:tblpXSpec="center" w:tblpY="561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452"/>
        <w:gridCol w:w="283"/>
        <w:gridCol w:w="426"/>
        <w:gridCol w:w="425"/>
        <w:gridCol w:w="406"/>
        <w:gridCol w:w="444"/>
        <w:gridCol w:w="426"/>
        <w:gridCol w:w="283"/>
        <w:gridCol w:w="284"/>
        <w:gridCol w:w="425"/>
        <w:gridCol w:w="425"/>
      </w:tblGrid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1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5ED" w:rsidRPr="00F2328F" w:rsidRDefault="008E35ED" w:rsidP="008E35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 w:rsidR="00D951CA">
              <w:rPr>
                <w:sz w:val="23"/>
                <w:szCs w:val="23"/>
              </w:rPr>
              <w:t>2</w:t>
            </w:r>
            <w:r w:rsidR="00B30FEC">
              <w:rPr>
                <w:sz w:val="23"/>
                <w:szCs w:val="23"/>
              </w:rPr>
              <w:t>9</w:t>
            </w:r>
          </w:p>
        </w:tc>
      </w:tr>
      <w:tr w:rsidR="008E35ED" w:rsidRPr="002A1A33" w:rsidTr="00A84808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 2–4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5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6652C5">
              <w:rPr>
                <w:sz w:val="23"/>
                <w:szCs w:val="23"/>
              </w:rPr>
              <w:t>6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A84808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</w:t>
            </w:r>
            <w:r w:rsidR="006652C5">
              <w:rPr>
                <w:sz w:val="23"/>
                <w:szCs w:val="23"/>
              </w:rPr>
              <w:t>7–8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675BB1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02540F" w:rsidRDefault="008E35ED" w:rsidP="008E35ED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4E3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6652C5" w:rsidP="008E35ED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A20FBD" w:rsidP="008E35E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F10E1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10E1" w:rsidRPr="002A1A33" w:rsidRDefault="00EF10E1" w:rsidP="00EF10E1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4E3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0FB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0FBD" w:rsidRPr="002A1A33" w:rsidRDefault="00A20FBD" w:rsidP="00A20FB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3D4E30" w:rsidP="00A20FBD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A20FBD" w:rsidP="00A20FB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6652C5" w:rsidP="00A20FBD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6652C5" w:rsidP="00A20FBD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6652C5" w:rsidP="00A20FBD">
            <w: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6652C5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4E3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E53500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EF10E1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EF10E1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EF10E1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EF10E1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EF10E1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EF10E1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EF10E1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EF10E1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EF10E1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EF10E1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775B0D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6652C5" w:rsidP="008E35E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5F118E" w:rsidTr="008E35ED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8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4D30F5" w:rsidTr="008E35ED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6F1BA9" w:rsidRPr="004D30F5" w:rsidRDefault="008E35ED" w:rsidP="006F1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E35ED" w:rsidRPr="004D30F5" w:rsidTr="008E35ED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1"/>
    </w:tbl>
    <w:p w:rsidR="006F1BA9" w:rsidRDefault="006F1BA9" w:rsidP="000F388E">
      <w:pPr>
        <w:tabs>
          <w:tab w:val="left" w:pos="1701"/>
        </w:tabs>
        <w:rPr>
          <w:sz w:val="4"/>
          <w:szCs w:val="4"/>
        </w:rPr>
      </w:pPr>
    </w:p>
    <w:sectPr w:rsidR="006F1BA9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53E76"/>
    <w:rsid w:val="00055868"/>
    <w:rsid w:val="000616DB"/>
    <w:rsid w:val="00064E0C"/>
    <w:rsid w:val="00065F76"/>
    <w:rsid w:val="00070EB6"/>
    <w:rsid w:val="00072F27"/>
    <w:rsid w:val="00073D71"/>
    <w:rsid w:val="00081A95"/>
    <w:rsid w:val="00093BD4"/>
    <w:rsid w:val="000949AD"/>
    <w:rsid w:val="00095048"/>
    <w:rsid w:val="000A4818"/>
    <w:rsid w:val="000C6298"/>
    <w:rsid w:val="000C7234"/>
    <w:rsid w:val="000E161F"/>
    <w:rsid w:val="000E7D03"/>
    <w:rsid w:val="000F0AD5"/>
    <w:rsid w:val="000F184D"/>
    <w:rsid w:val="000F2A32"/>
    <w:rsid w:val="000F3254"/>
    <w:rsid w:val="000F388E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A7020"/>
    <w:rsid w:val="001B29C0"/>
    <w:rsid w:val="001B59E4"/>
    <w:rsid w:val="001C39BB"/>
    <w:rsid w:val="001F54F3"/>
    <w:rsid w:val="00211AAB"/>
    <w:rsid w:val="0021671F"/>
    <w:rsid w:val="00217602"/>
    <w:rsid w:val="00217D45"/>
    <w:rsid w:val="00250C53"/>
    <w:rsid w:val="00251677"/>
    <w:rsid w:val="002544E0"/>
    <w:rsid w:val="00274599"/>
    <w:rsid w:val="00277F32"/>
    <w:rsid w:val="002931F9"/>
    <w:rsid w:val="002A1A33"/>
    <w:rsid w:val="002A2FE6"/>
    <w:rsid w:val="002B4C7D"/>
    <w:rsid w:val="002B5FBD"/>
    <w:rsid w:val="002C5921"/>
    <w:rsid w:val="002D656B"/>
    <w:rsid w:val="0032031B"/>
    <w:rsid w:val="00320B36"/>
    <w:rsid w:val="003325A5"/>
    <w:rsid w:val="00333A92"/>
    <w:rsid w:val="00347A55"/>
    <w:rsid w:val="003547EE"/>
    <w:rsid w:val="003553E5"/>
    <w:rsid w:val="00376FF7"/>
    <w:rsid w:val="0038193D"/>
    <w:rsid w:val="0038247D"/>
    <w:rsid w:val="003835F4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4E3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59D1"/>
    <w:rsid w:val="004D30F5"/>
    <w:rsid w:val="004D7405"/>
    <w:rsid w:val="004F1558"/>
    <w:rsid w:val="004F1B55"/>
    <w:rsid w:val="004F42DA"/>
    <w:rsid w:val="004F680C"/>
    <w:rsid w:val="00515A13"/>
    <w:rsid w:val="005347A1"/>
    <w:rsid w:val="005377E4"/>
    <w:rsid w:val="0055237C"/>
    <w:rsid w:val="005646A3"/>
    <w:rsid w:val="00564DBB"/>
    <w:rsid w:val="005714D8"/>
    <w:rsid w:val="0057395B"/>
    <w:rsid w:val="005778AA"/>
    <w:rsid w:val="0059053E"/>
    <w:rsid w:val="00592D6B"/>
    <w:rsid w:val="00596129"/>
    <w:rsid w:val="005A0889"/>
    <w:rsid w:val="005A37D9"/>
    <w:rsid w:val="005B6D13"/>
    <w:rsid w:val="005C3E25"/>
    <w:rsid w:val="005D721E"/>
    <w:rsid w:val="005E05DE"/>
    <w:rsid w:val="005F118E"/>
    <w:rsid w:val="005F59C8"/>
    <w:rsid w:val="005F7D3E"/>
    <w:rsid w:val="00606D38"/>
    <w:rsid w:val="006110D1"/>
    <w:rsid w:val="00616572"/>
    <w:rsid w:val="00631795"/>
    <w:rsid w:val="0063430B"/>
    <w:rsid w:val="00634851"/>
    <w:rsid w:val="00640310"/>
    <w:rsid w:val="00640C19"/>
    <w:rsid w:val="0064344C"/>
    <w:rsid w:val="00656DD9"/>
    <w:rsid w:val="00660A8A"/>
    <w:rsid w:val="006652C5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BA9"/>
    <w:rsid w:val="006F41EB"/>
    <w:rsid w:val="006F6C7A"/>
    <w:rsid w:val="007026FD"/>
    <w:rsid w:val="00703D16"/>
    <w:rsid w:val="00705A0F"/>
    <w:rsid w:val="00711F2E"/>
    <w:rsid w:val="00721DB8"/>
    <w:rsid w:val="00723C10"/>
    <w:rsid w:val="00723DD0"/>
    <w:rsid w:val="00726C3B"/>
    <w:rsid w:val="00727D8D"/>
    <w:rsid w:val="00737EC8"/>
    <w:rsid w:val="00746974"/>
    <w:rsid w:val="00775B0D"/>
    <w:rsid w:val="0078232D"/>
    <w:rsid w:val="007860EE"/>
    <w:rsid w:val="00786461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A2F12"/>
    <w:rsid w:val="008C2D0B"/>
    <w:rsid w:val="008D1752"/>
    <w:rsid w:val="008D4D41"/>
    <w:rsid w:val="008D7F81"/>
    <w:rsid w:val="008E35ED"/>
    <w:rsid w:val="008E3706"/>
    <w:rsid w:val="008F2514"/>
    <w:rsid w:val="008F4378"/>
    <w:rsid w:val="008F62F9"/>
    <w:rsid w:val="00901669"/>
    <w:rsid w:val="00912575"/>
    <w:rsid w:val="00913943"/>
    <w:rsid w:val="00914DCE"/>
    <w:rsid w:val="00916634"/>
    <w:rsid w:val="00940F4E"/>
    <w:rsid w:val="00946978"/>
    <w:rsid w:val="00957BD5"/>
    <w:rsid w:val="0096372C"/>
    <w:rsid w:val="00965E44"/>
    <w:rsid w:val="00973D8B"/>
    <w:rsid w:val="00977046"/>
    <w:rsid w:val="009800E4"/>
    <w:rsid w:val="00993648"/>
    <w:rsid w:val="009966EE"/>
    <w:rsid w:val="009B458E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4BA0"/>
    <w:rsid w:val="00A67973"/>
    <w:rsid w:val="00A827D2"/>
    <w:rsid w:val="00A84808"/>
    <w:rsid w:val="00A8639C"/>
    <w:rsid w:val="00A90F6F"/>
    <w:rsid w:val="00A91D77"/>
    <w:rsid w:val="00AA6A03"/>
    <w:rsid w:val="00AC0186"/>
    <w:rsid w:val="00AC3854"/>
    <w:rsid w:val="00AC5412"/>
    <w:rsid w:val="00AD5D00"/>
    <w:rsid w:val="00AF1C07"/>
    <w:rsid w:val="00AF38AF"/>
    <w:rsid w:val="00AF5570"/>
    <w:rsid w:val="00B0007A"/>
    <w:rsid w:val="00B30142"/>
    <w:rsid w:val="00B30FEC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8028A"/>
    <w:rsid w:val="00BA3D43"/>
    <w:rsid w:val="00BA7C52"/>
    <w:rsid w:val="00BB778C"/>
    <w:rsid w:val="00BD037A"/>
    <w:rsid w:val="00C0607C"/>
    <w:rsid w:val="00C12C24"/>
    <w:rsid w:val="00C150F4"/>
    <w:rsid w:val="00C278FF"/>
    <w:rsid w:val="00C30522"/>
    <w:rsid w:val="00C33757"/>
    <w:rsid w:val="00C45E21"/>
    <w:rsid w:val="00C5528B"/>
    <w:rsid w:val="00C6569B"/>
    <w:rsid w:val="00C8075D"/>
    <w:rsid w:val="00C81302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1161"/>
    <w:rsid w:val="00CF22E1"/>
    <w:rsid w:val="00D21B05"/>
    <w:rsid w:val="00D2771C"/>
    <w:rsid w:val="00D3187E"/>
    <w:rsid w:val="00D360B4"/>
    <w:rsid w:val="00D409A3"/>
    <w:rsid w:val="00D54317"/>
    <w:rsid w:val="00D57CB4"/>
    <w:rsid w:val="00D6034B"/>
    <w:rsid w:val="00D626DE"/>
    <w:rsid w:val="00D6627D"/>
    <w:rsid w:val="00D90D9B"/>
    <w:rsid w:val="00D951CA"/>
    <w:rsid w:val="00DA26F4"/>
    <w:rsid w:val="00DC42D6"/>
    <w:rsid w:val="00DC4350"/>
    <w:rsid w:val="00DC4D41"/>
    <w:rsid w:val="00DC596D"/>
    <w:rsid w:val="00DC5F0A"/>
    <w:rsid w:val="00DD0831"/>
    <w:rsid w:val="00DD270A"/>
    <w:rsid w:val="00DE1C47"/>
    <w:rsid w:val="00DE6176"/>
    <w:rsid w:val="00DF2C5A"/>
    <w:rsid w:val="00E0349D"/>
    <w:rsid w:val="00E201F2"/>
    <w:rsid w:val="00E20E52"/>
    <w:rsid w:val="00E24A87"/>
    <w:rsid w:val="00E27802"/>
    <w:rsid w:val="00E42441"/>
    <w:rsid w:val="00E53500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586D"/>
    <w:rsid w:val="00EF10E1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A0FF8"/>
    <w:rsid w:val="00FB1368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816946D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7C5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DE161-13AA-46D4-A177-50BEFD67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14</TotalTime>
  <Pages>3</Pages>
  <Words>667</Words>
  <Characters>4441</Characters>
  <Application>Microsoft Office Word</Application>
  <DocSecurity>0</DocSecurity>
  <Lines>1480</Lines>
  <Paragraphs>300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6</cp:revision>
  <cp:lastPrinted>2022-03-24T12:30:00Z</cp:lastPrinted>
  <dcterms:created xsi:type="dcterms:W3CDTF">2022-03-24T12:09:00Z</dcterms:created>
  <dcterms:modified xsi:type="dcterms:W3CDTF">2022-03-24T15:13:00Z</dcterms:modified>
</cp:coreProperties>
</file>