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45CC" w:rsidRDefault="00F545CC">
      <w:pPr>
        <w:pStyle w:val="Rubrik1"/>
        <w:spacing w:before="0"/>
      </w:pPr>
      <w:bookmarkStart w:id="0" w:name="_Toc370804887"/>
      <w:r>
        <w:t>Till försvarsutskottet</w:t>
      </w:r>
      <w:bookmarkEnd w:id="0"/>
    </w:p>
    <w:p w:rsidR="00F545CC" w:rsidRDefault="00F545CC">
      <w:r>
        <w:t>Försvarsutskottet har berett näringsutskottet tillfälle att yttra sig över prop</w:t>
      </w:r>
      <w:r>
        <w:t>o</w:t>
      </w:r>
      <w:r>
        <w:t>sition 1996/97:4 om totalförsvar i förnyelse – etapp 2 jämte motioner, såvitt propositionen och motionerna rör näringsutskottets beredningsomr</w:t>
      </w:r>
      <w:r>
        <w:t>å</w:t>
      </w:r>
      <w:r>
        <w:t>de.</w:t>
      </w:r>
    </w:p>
    <w:p w:rsidR="00F545CC" w:rsidRDefault="00F545CC">
      <w:r>
        <w:t>Inför behandlingen av detta ärende har näringsutskottet under hösten 1996 genomfört studiebesök hos Bofors AB, Hägglunds Vehicle AB, Kockums AB och Saab AB.</w:t>
      </w:r>
    </w:p>
    <w:p w:rsidR="00F545CC" w:rsidRDefault="00F545CC">
      <w:pPr>
        <w:pStyle w:val="Rubrik1"/>
      </w:pPr>
      <w:r>
        <w:t>Näringsutskottet</w:t>
      </w:r>
    </w:p>
    <w:p w:rsidR="00F545CC" w:rsidRDefault="00F545CC">
      <w:pPr>
        <w:pStyle w:val="Rubrik2"/>
        <w:spacing w:before="123"/>
      </w:pPr>
      <w:r>
        <w:t>Bakgrund</w:t>
      </w:r>
    </w:p>
    <w:p w:rsidR="00F545CC" w:rsidRDefault="00F545CC">
      <w:pPr>
        <w:tabs>
          <w:tab w:val="left" w:pos="4606"/>
          <w:tab w:val="left" w:pos="9142"/>
          <w:tab w:val="left" w:pos="14104"/>
        </w:tabs>
      </w:pPr>
      <w:r>
        <w:t>För att samordna behandlingen av vissa förslag i propositionen har utrikes- och försvarsutskotten bildat ett gemensamt utskott – sammansatta utrikes- och försvarsutskottet. Detta utskott skall i ett separat betänkande behandla frågor om säkerhetspolitiken, internationella insatser och krigsmaterielexpo</w:t>
      </w:r>
      <w:r>
        <w:t>r</w:t>
      </w:r>
      <w:r>
        <w:t xml:space="preserve">ten. Övriga frågor i propositionen behandlas av försvarsutskottet. </w:t>
      </w:r>
    </w:p>
    <w:p w:rsidR="00F545CC" w:rsidRDefault="00F545CC">
      <w:pPr>
        <w:pStyle w:val="Normaltindrag"/>
      </w:pPr>
      <w:r>
        <w:t>De frågor i propositionen och motionerna som näringsutskottet främst har att beröra gäller den svenska krigsmaterielindustrin. Frågor om lagstiftningen för krigsmaterielexporten ligger dock utanför utskottets beredningsområde.</w:t>
      </w:r>
    </w:p>
    <w:p w:rsidR="00F545CC" w:rsidRDefault="00F545CC">
      <w:pPr>
        <w:rPr>
          <w:kern w:val="1"/>
        </w:rPr>
      </w:pPr>
      <w:r>
        <w:rPr>
          <w:kern w:val="1"/>
        </w:rPr>
        <w:t>Försvarsbeslutet för perioden 1997–2001 är indelat i två etapper. Den första delen av beslutet fattades av riksdagen i december 1995 (prop. 1995/96:12, bet. UFöU1 och bet. FöU1) och omfattade säkerhetspolitiken, försvarspolit</w:t>
      </w:r>
      <w:r>
        <w:rPr>
          <w:kern w:val="1"/>
        </w:rPr>
        <w:t>i</w:t>
      </w:r>
      <w:r>
        <w:rPr>
          <w:kern w:val="1"/>
        </w:rPr>
        <w:t>ken, målen för totalförsvaret, över</w:t>
      </w:r>
      <w:r>
        <w:rPr>
          <w:kern w:val="1"/>
        </w:rPr>
        <w:softHyphen/>
        <w:t>gripande principiella frågor om totalfö</w:t>
      </w:r>
      <w:r>
        <w:rPr>
          <w:kern w:val="1"/>
        </w:rPr>
        <w:t>r</w:t>
      </w:r>
      <w:r>
        <w:rPr>
          <w:kern w:val="1"/>
        </w:rPr>
        <w:t>svarets utformning och struktur samt ekonomin. Den nu aktuella propositi</w:t>
      </w:r>
      <w:r>
        <w:rPr>
          <w:kern w:val="1"/>
        </w:rPr>
        <w:t>o</w:t>
      </w:r>
      <w:r>
        <w:rPr>
          <w:kern w:val="1"/>
        </w:rPr>
        <w:t>nen innehåller förslag om den närmare inriktningen av det militära försvarets krigsorganisation, det militära försvarets grundorganisation i fred samt det civila försvarets verksamhet i krig och fred.</w:t>
      </w:r>
    </w:p>
    <w:p w:rsidR="00F545CC" w:rsidRDefault="00F545CC">
      <w:pPr>
        <w:pStyle w:val="Normaltindrag"/>
        <w:rPr>
          <w:kern w:val="1"/>
        </w:rPr>
      </w:pPr>
      <w:r>
        <w:rPr>
          <w:kern w:val="1"/>
        </w:rPr>
        <w:t>Regeringen beslutade i januari 1995 att en parlamentariskt samman</w:t>
      </w:r>
      <w:r>
        <w:rPr>
          <w:kern w:val="1"/>
        </w:rPr>
        <w:softHyphen/>
        <w:t>satt försvarsberedning – under ledning av statssekreteraren i Försvarsdeparteme</w:t>
      </w:r>
      <w:r>
        <w:rPr>
          <w:kern w:val="1"/>
        </w:rPr>
        <w:t>n</w:t>
      </w:r>
      <w:r>
        <w:rPr>
          <w:kern w:val="1"/>
        </w:rPr>
        <w:t>tet – skall svara för samråd mellan företrädare för regeringen och riks</w:t>
      </w:r>
      <w:r>
        <w:rPr>
          <w:kern w:val="1"/>
        </w:rPr>
        <w:softHyphen/>
        <w:t>dagspartierna angående riktlinjerna för försvarspolitiken. Av regeringens beslut framgick att avstämning skulle ske med kontrollstationer i anslutning till de båda beslutsetapperna med hänsyn till den oklarhet som råder kring den säkerhetspolitiska utvecklingen. Underlaget för den första kontrollstat</w:t>
      </w:r>
      <w:r>
        <w:rPr>
          <w:kern w:val="1"/>
        </w:rPr>
        <w:lastRenderedPageBreak/>
        <w:t>i</w:t>
      </w:r>
      <w:r>
        <w:rPr>
          <w:kern w:val="1"/>
        </w:rPr>
        <w:t>o</w:t>
      </w:r>
      <w:r>
        <w:rPr>
          <w:kern w:val="1"/>
        </w:rPr>
        <w:t>nen hösten 1995 utgjordes av Försvarsberedningens rapporter Sverige i Europa och världen (Ds 1995:28) och Totalförsvarets utveckling och förnye</w:t>
      </w:r>
      <w:r>
        <w:rPr>
          <w:kern w:val="1"/>
        </w:rPr>
        <w:t>l</w:t>
      </w:r>
      <w:r>
        <w:rPr>
          <w:kern w:val="1"/>
        </w:rPr>
        <w:t>se (Ds 1995:51). I rapporten Omvärldsförändringar och svensk säkerhetsp</w:t>
      </w:r>
      <w:r>
        <w:rPr>
          <w:kern w:val="1"/>
        </w:rPr>
        <w:t>o</w:t>
      </w:r>
      <w:r>
        <w:rPr>
          <w:kern w:val="1"/>
        </w:rPr>
        <w:t>litik (Ds 1996:51) har Försvarsberedningen i augusti 1996 redovi</w:t>
      </w:r>
      <w:r>
        <w:rPr>
          <w:kern w:val="1"/>
        </w:rPr>
        <w:softHyphen/>
        <w:t>sat sina säkerhetspolitiska överväganden inför den andra  kon</w:t>
      </w:r>
      <w:r>
        <w:rPr>
          <w:kern w:val="1"/>
        </w:rPr>
        <w:softHyphen/>
        <w:t>trollstationen. En tredje ko</w:t>
      </w:r>
      <w:r>
        <w:rPr>
          <w:kern w:val="1"/>
        </w:rPr>
        <w:t>n</w:t>
      </w:r>
      <w:r>
        <w:rPr>
          <w:kern w:val="1"/>
        </w:rPr>
        <w:t>trollstation avses bli inlagd under år 1998.</w:t>
      </w:r>
    </w:p>
    <w:p w:rsidR="00F545CC" w:rsidRDefault="00F545CC">
      <w:pPr>
        <w:pStyle w:val="Normaltindrag"/>
      </w:pPr>
      <w:r>
        <w:t>I det försvarspolitiska beslutet i december 1995 konstaterades beträffande säkerhetspolitiken att det under lång tid framöver kommer att föreligga svårigheter att förutsäga utvecklingen inom den internationella politiken (bet. 1995/96:UFöU1 s. 23). Dock framhölls det att den säkerhetspolitiska u</w:t>
      </w:r>
      <w:r>
        <w:t>t</w:t>
      </w:r>
      <w:r>
        <w:t>vecklingen varit gynnsam för Sverige och att anspråken på totalförsvarets förmåga mot den bakgrunden kommer att vara begränsade under ett antal år (bet. 1995/96:FöU1 s. 15).</w:t>
      </w:r>
    </w:p>
    <w:p w:rsidR="00F545CC" w:rsidRDefault="00F545CC">
      <w:pPr>
        <w:pStyle w:val="Normaltindrag"/>
      </w:pPr>
      <w:r>
        <w:t>Med hänvisning till det sammansatta utrikes- och försvarsutskottets b</w:t>
      </w:r>
      <w:r>
        <w:t>e</w:t>
      </w:r>
      <w:r>
        <w:t>dömning ansåg försvarsutskottet att det inte fanns några säkerhetspolitiska skäl som talade mot att fullfölja den besparing inom försvaret som hade beslutats med anledning av den ekonomisk-politiska propositionen hösten 1994 (prop. 1994/95:25, bet. FiU1). Innebörden i den angivna besparingen är dels att utgifterna inom Försvarsdepartementets område fram till år 1998 skall begränsas med 2 miljarder kronor, dels att ytterligare besparingar om 2 miljarder kronor stegvis skall uppnås inom området under perioden</w:t>
      </w:r>
      <w:r>
        <w:t xml:space="preserve"> 1997–2001. Försvarsutskottet menade att riksdagen i samband med de säkerhet</w:t>
      </w:r>
      <w:r>
        <w:t>s</w:t>
      </w:r>
      <w:r>
        <w:t>politiska kontrollstationerna åren 1996 och 1998 kommer att ges ytterligare tillfällen att bedöma den ekonomiska ramen för totalförsvaret. I reservationer (m; fp; v; mp; kds) i försvarsutskottets betänkande framfördes avvikande uppfattningar vad gällde storleken på och grunderna för den angivna besp</w:t>
      </w:r>
      <w:r>
        <w:t>a</w:t>
      </w:r>
      <w:r>
        <w:t>ringen.</w:t>
      </w:r>
    </w:p>
    <w:p w:rsidR="00F545CC" w:rsidRDefault="00F545CC">
      <w:pPr>
        <w:pStyle w:val="Normaltindrag"/>
      </w:pPr>
      <w:r>
        <w:t>I näringsutskottets yttrande (1995/96:NU2y) till försvarsutskottet konstat</w:t>
      </w:r>
      <w:r>
        <w:t>e</w:t>
      </w:r>
      <w:r>
        <w:t>rades att den säkerhetspolitiska utvecklingen och kostnadsutvecklingen bidragit till att behovet av och möjligheterna till en självständig och heltäc</w:t>
      </w:r>
      <w:r>
        <w:t>k</w:t>
      </w:r>
      <w:r>
        <w:t>ande försvarsindustriell förmåga avtagit. Näringsutskottet underströk bet</w:t>
      </w:r>
      <w:r>
        <w:t>y</w:t>
      </w:r>
      <w:r>
        <w:t>delsen av att utlandssamarbetet för svensk försvarsindustri ökar framöver och anförde att ett ökat samarbete med företrädesvis europeisk industri var angeläget. Ur strikt näringspolitisk synpunkt – och utan att gå in på frågan om ändrad lagstiftning – ansåg näringsutskottet att det kan vara av värde med en översyn av eventuella hinder som försvårar för svensk försvarsindustri att delta i främst europeisk men även övrig internationell samverkan. I en avvikande mening (v, mp) förordades att den svenska export</w:t>
      </w:r>
      <w:r>
        <w:t>en av krigsm</w:t>
      </w:r>
      <w:r>
        <w:t>a</w:t>
      </w:r>
      <w:r>
        <w:t xml:space="preserve">teriel skulle upphöra. </w:t>
      </w:r>
    </w:p>
    <w:p w:rsidR="00F545CC" w:rsidRDefault="00F545CC">
      <w:pPr>
        <w:pStyle w:val="Normaltindrag"/>
        <w:rPr>
          <w:kern w:val="1"/>
        </w:rPr>
      </w:pPr>
      <w:r>
        <w:t>I den försvarspolitiska propositionen (prop. 1995/96:12 s. 135) hade fra</w:t>
      </w:r>
      <w:r>
        <w:t>m</w:t>
      </w:r>
      <w:r>
        <w:t>hållits vikten av e</w:t>
      </w:r>
      <w:r>
        <w:rPr>
          <w:kern w:val="1"/>
        </w:rPr>
        <w:t>n säkerställd inhemsk kompetens inom områdena telekri</w:t>
      </w:r>
      <w:r>
        <w:rPr>
          <w:kern w:val="1"/>
        </w:rPr>
        <w:t>g</w:t>
      </w:r>
      <w:r>
        <w:rPr>
          <w:kern w:val="1"/>
        </w:rPr>
        <w:t>teknik (medel och motmedel inklusive sensorteknik), avancerad signatura</w:t>
      </w:r>
      <w:r>
        <w:rPr>
          <w:kern w:val="1"/>
        </w:rPr>
        <w:t>n</w:t>
      </w:r>
      <w:r>
        <w:rPr>
          <w:kern w:val="1"/>
        </w:rPr>
        <w:t>passningsteknik (mot upptäckt och identifiering), undervat</w:t>
      </w:r>
      <w:r>
        <w:rPr>
          <w:kern w:val="1"/>
        </w:rPr>
        <w:softHyphen/>
        <w:t>tens</w:t>
      </w:r>
      <w:r>
        <w:rPr>
          <w:kern w:val="1"/>
        </w:rPr>
        <w:softHyphen/>
        <w:t>teknik (för svenska förhållanden), flygteknik (för vidmakthållande av JAS 39 Gripen på längre sikt) samt underhåll och vidmakthållande av de system som ingår i krigsorganisationen. Även andra teknologiområden kunde behöva tillföras gruppen av prioriterade områden, sades det. Den senare frågan borde öve</w:t>
      </w:r>
      <w:r>
        <w:rPr>
          <w:kern w:val="1"/>
        </w:rPr>
        <w:t>r</w:t>
      </w:r>
      <w:r>
        <w:rPr>
          <w:kern w:val="1"/>
        </w:rPr>
        <w:t>vägas ytterligare, menade regeringen. Av proposi</w:t>
      </w:r>
      <w:r>
        <w:rPr>
          <w:kern w:val="1"/>
        </w:rPr>
        <w:softHyphen/>
        <w:t>tionen framgick också att regeringen hade för avsikt att utarbeta en långsiktig strategi så att de fö</w:t>
      </w:r>
      <w:r>
        <w:rPr>
          <w:kern w:val="1"/>
        </w:rPr>
        <w:t>r</w:t>
      </w:r>
      <w:r>
        <w:rPr>
          <w:kern w:val="1"/>
        </w:rPr>
        <w:t>svarspolitiskt mest värdefulla och för anpassning och tillväxt mest nödvänd</w:t>
      </w:r>
      <w:r>
        <w:rPr>
          <w:kern w:val="1"/>
        </w:rPr>
        <w:t>i</w:t>
      </w:r>
      <w:r>
        <w:rPr>
          <w:kern w:val="1"/>
        </w:rPr>
        <w:t>ga teknologiområdena och kompetenserna kunde vidmakthå</w:t>
      </w:r>
      <w:r>
        <w:rPr>
          <w:kern w:val="1"/>
        </w:rPr>
        <w:t>l</w:t>
      </w:r>
      <w:r>
        <w:rPr>
          <w:kern w:val="1"/>
        </w:rPr>
        <w:t>las.</w:t>
      </w:r>
    </w:p>
    <w:p w:rsidR="00F545CC" w:rsidRDefault="00F545CC">
      <w:pPr>
        <w:pStyle w:val="Normaltindrag"/>
        <w:rPr>
          <w:kern w:val="1"/>
        </w:rPr>
      </w:pPr>
      <w:r>
        <w:rPr>
          <w:kern w:val="1"/>
        </w:rPr>
        <w:t>Näringsutskottet anförde ingen erinran mot regeringens prioritering men underströk att det kunde finnas skäl att pröva om ytterligare områden borde tillföras de prioriterade kategorierna av försvarsindustriell verksamhet. Något uttalande av riksdagen med anledning av frågan om prioriteringen av tekn</w:t>
      </w:r>
      <w:r>
        <w:rPr>
          <w:kern w:val="1"/>
        </w:rPr>
        <w:t>o</w:t>
      </w:r>
      <w:r>
        <w:rPr>
          <w:kern w:val="1"/>
        </w:rPr>
        <w:t>logiområden var enligt näringsutskottets uppfattning inte erforderligt. I en avvikande mening (m) riktades kritik mot att regeringens prioritering var alltför snäv. Teknologiområden som är väsentliga ur säkerhetspolitisk sy</w:t>
      </w:r>
      <w:r>
        <w:rPr>
          <w:kern w:val="1"/>
        </w:rPr>
        <w:t>n</w:t>
      </w:r>
      <w:r>
        <w:rPr>
          <w:kern w:val="1"/>
        </w:rPr>
        <w:t>vinkel och som är internationellt konkurrenskraftiga ansågs ha blivit bortpr</w:t>
      </w:r>
      <w:r>
        <w:rPr>
          <w:kern w:val="1"/>
        </w:rPr>
        <w:t>i</w:t>
      </w:r>
      <w:r>
        <w:rPr>
          <w:kern w:val="1"/>
        </w:rPr>
        <w:t>oriterade. För att i tillräcklig grad stödja försvaret och ytterst våra säkerhet</w:t>
      </w:r>
      <w:r>
        <w:rPr>
          <w:kern w:val="1"/>
        </w:rPr>
        <w:t>s</w:t>
      </w:r>
      <w:r>
        <w:rPr>
          <w:kern w:val="1"/>
        </w:rPr>
        <w:t>politiska mål krävs, anfördes det, högre målsättningar beträffande den inhemska materiel</w:t>
      </w:r>
      <w:r>
        <w:rPr>
          <w:kern w:val="1"/>
        </w:rPr>
        <w:softHyphen/>
        <w:t>indus</w:t>
      </w:r>
      <w:r>
        <w:rPr>
          <w:kern w:val="1"/>
        </w:rPr>
        <w:t>t</w:t>
      </w:r>
      <w:r>
        <w:rPr>
          <w:kern w:val="1"/>
        </w:rPr>
        <w:t xml:space="preserve">rin. </w:t>
      </w:r>
    </w:p>
    <w:p w:rsidR="00F545CC" w:rsidRDefault="00F545CC">
      <w:pPr>
        <w:pStyle w:val="Rubrik2"/>
      </w:pPr>
      <w:r>
        <w:t>Propositionen</w:t>
      </w:r>
    </w:p>
    <w:p w:rsidR="00F545CC" w:rsidRDefault="00F545CC">
      <w:pPr>
        <w:pStyle w:val="Rubrik3"/>
        <w:spacing w:before="123"/>
      </w:pPr>
      <w:r>
        <w:t>Den försvarsindustriella inriktningen</w:t>
      </w:r>
    </w:p>
    <w:p w:rsidR="00F545CC" w:rsidRDefault="00F545CC">
      <w:r>
        <w:t>Regeringens uppfattning är att det fortfarande råder en grundläggande osäkerhet om den säkerhetspolitiska utvecklingen på längre sikt. Riksdagens beslut år 1995 om säkerhetspolitikens mål föreslås ligga fast. Det finns inga skäl, menar regeringen, att nu förändra de i etapp 1 beslutade riktlinjerna för totalförsvaret, eller att ompröva den säkerhetspolitiskt motiverade besparin</w:t>
      </w:r>
      <w:r>
        <w:t>g</w:t>
      </w:r>
      <w:r>
        <w:t xml:space="preserve">en på försvarsutgifterna. </w:t>
      </w:r>
    </w:p>
    <w:p w:rsidR="00F545CC" w:rsidRDefault="00F545CC">
      <w:pPr>
        <w:pStyle w:val="Normaltindrag"/>
      </w:pPr>
      <w:r>
        <w:t>Riksdagens beslut år 1995 beträffande totalför</w:t>
      </w:r>
      <w:r>
        <w:softHyphen/>
        <w:t>svaret sammanfattas i pr</w:t>
      </w:r>
      <w:r>
        <w:t>o</w:t>
      </w:r>
      <w:r>
        <w:t>positionen i fyra begrepp: anpassning, helhetssyn, folkförsvar och in</w:t>
      </w:r>
      <w:r>
        <w:softHyphen/>
        <w:t>ternationella uppgifter. Regeringen framhåller att anpassning</w:t>
      </w:r>
      <w:r>
        <w:rPr>
          <w:i/>
        </w:rPr>
        <w:t xml:space="preserve"> </w:t>
      </w:r>
      <w:r>
        <w:t xml:space="preserve">på längre sikt till en mörkare hotbild fordrar god analyskapacitet, beslut i rätt tid, planering och tillväxtförmåga samt en fortlöpande materiell förnyelse. Bedömningen är att mycket talar för att eventuella framtida krig kommer att karakteriseras av att kvalificerad militärteknik och strategiska insatsstyrkor kommer till användning. Många länder, t.ex. Frankrike, Tyskland och Ryssland, avser att i likhet med Förenta staterna utveckla sina militära resurser för denna typ av insatser. </w:t>
      </w:r>
    </w:p>
    <w:p w:rsidR="00F545CC" w:rsidRDefault="00F545CC">
      <w:pPr>
        <w:pStyle w:val="Normaltindrag"/>
      </w:pPr>
      <w:r>
        <w:t>Regeringen anför att den försvarsindustriella inriktningen enligt försvar</w:t>
      </w:r>
      <w:r>
        <w:t>s</w:t>
      </w:r>
      <w:r>
        <w:t>beslutets första etapp bör ligga fast. Försvarsmakten och Försvarets materie</w:t>
      </w:r>
      <w:r>
        <w:t>l</w:t>
      </w:r>
      <w:r>
        <w:t>verk skall även fortsättningsvis anskaffa materiel på det mest kostnadseffe</w:t>
      </w:r>
      <w:r>
        <w:t>k</w:t>
      </w:r>
      <w:r>
        <w:t xml:space="preserve">tiva sättet. En materiell förnyelse måste kunna genomföras även i tider av internationell oro, och den materiella anpassningsförmågan bör vara så generell som möjligt och ge utrymme för framtida vägval. </w:t>
      </w:r>
    </w:p>
    <w:p w:rsidR="00F545CC" w:rsidRDefault="00F545CC">
      <w:pPr>
        <w:pStyle w:val="Normaltindrag"/>
      </w:pPr>
      <w:r>
        <w:t>Krav på anpassningsförmåga kan medföra, menar rege</w:t>
      </w:r>
      <w:r>
        <w:softHyphen/>
        <w:t>ringen, att de fö</w:t>
      </w:r>
      <w:r>
        <w:t>r</w:t>
      </w:r>
      <w:r>
        <w:t>svarspolitiska behoven kan behöva ges en delvis ny innebörd. Regeringen framhåller också att det är av största betydelse både för den ma</w:t>
      </w:r>
      <w:r>
        <w:softHyphen/>
        <w:t>teriella förnyelsen och för tillgången på försvarsmateriel i framtiden att Sverige och svensk försvarsindustri deltar i ett växande internationellt samarbete om för</w:t>
      </w:r>
      <w:r>
        <w:softHyphen/>
        <w:t>svarsmate</w:t>
      </w:r>
      <w:r>
        <w:softHyphen/>
        <w:t>riel. I propositionen understryks vidare vikten av att regeringen och svenska myndigheter på ett aktivt och strukturerat sätt stöttar försvarsindu-strins exportansträngningar beträffande större materi</w:t>
      </w:r>
      <w:r>
        <w:t>elprojekt, un</w:t>
      </w:r>
      <w:r>
        <w:softHyphen/>
        <w:t>der föru</w:t>
      </w:r>
      <w:r>
        <w:t>t</w:t>
      </w:r>
      <w:r>
        <w:t>sättning att projekten står i överensstämmelse med riktlinjerna för krigs</w:t>
      </w:r>
      <w:r>
        <w:softHyphen/>
        <w:t>mate</w:t>
      </w:r>
      <w:r>
        <w:softHyphen/>
        <w:t>rielexport.</w:t>
      </w:r>
    </w:p>
    <w:p w:rsidR="00F545CC" w:rsidRDefault="00F545CC">
      <w:pPr>
        <w:pStyle w:val="Rubrik3"/>
      </w:pPr>
      <w:r>
        <w:t>Försvarsindustrin och anpassningsförmågan</w:t>
      </w:r>
    </w:p>
    <w:p w:rsidR="00F545CC" w:rsidRDefault="00F545CC">
      <w:r>
        <w:t>Försvarets anpassningsförmåga</w:t>
      </w:r>
      <w:r>
        <w:rPr>
          <w:b/>
        </w:rPr>
        <w:t xml:space="preserve"> </w:t>
      </w:r>
      <w:r>
        <w:t>skall vara styrande för totalförsvarets framt</w:t>
      </w:r>
      <w:r>
        <w:t>i</w:t>
      </w:r>
      <w:r>
        <w:t>da ut</w:t>
      </w:r>
      <w:r>
        <w:softHyphen/>
        <w:t>formning, understryker regeringen i propositionen. Krigsorganisationen skall kunna uppnå full krigsduglighet inom en ettårsperiod. Förmågan måste vara god att höja beredskapen hos den befintliga krigsorganisationen, och en stabil grund måste finnas för att totalförsvarsresurserna skall kunna anpassas till mer långsiktiga förändringar.</w:t>
      </w:r>
    </w:p>
    <w:p w:rsidR="00F545CC" w:rsidRDefault="00F545CC">
      <w:pPr>
        <w:pStyle w:val="Normaltindrag"/>
      </w:pPr>
      <w:r>
        <w:t>Anpassningsförmågan kommer att ställa förändrade krav på försvarsi</w:t>
      </w:r>
      <w:r>
        <w:t>n</w:t>
      </w:r>
      <w:r>
        <w:t>dustrins tekniska kompetens och industriella struktur samt på försvarets anskaffningsprocess. Försvarsmaktens materielanskaffning kommer fra</w:t>
      </w:r>
      <w:r>
        <w:t>m</w:t>
      </w:r>
      <w:r>
        <w:t>över inte att vara av sådan omfattning att den utgör en tillräcklig hemm</w:t>
      </w:r>
      <w:r>
        <w:t>a</w:t>
      </w:r>
      <w:r>
        <w:t>marknad för stora delar av den svenska försvarsindustrin. Det är därför nödvändigt, framhåller regeringen, att förutsättningslöst analysera på vilket sätt Försvarsmaktens långsiktiga materielförsörjning skall kunna säkerställas, även när den svenska försvarsindustriella basen krymper. En långsiktig strategi för försvarets materielanskaffning bör utarbetas, så att de försvar</w:t>
      </w:r>
      <w:r>
        <w:t>s</w:t>
      </w:r>
      <w:r>
        <w:t>politiskt mest värdefulla och för anpassning mest nödvändiga teknikområd</w:t>
      </w:r>
      <w:r>
        <w:t>e</w:t>
      </w:r>
      <w:r>
        <w:t>na och komp</w:t>
      </w:r>
      <w:r>
        <w:t>e</w:t>
      </w:r>
      <w:r>
        <w:t>tenserna kan behållas.</w:t>
      </w:r>
    </w:p>
    <w:p w:rsidR="00F545CC" w:rsidRDefault="00F545CC">
      <w:pPr>
        <w:pStyle w:val="Normaltindrag"/>
      </w:pPr>
      <w:r>
        <w:t>Frågan om den närmare inriktningen av en strategi för att vidmakthålla försvarets förmåga till materiell förnyelse måste emellertid utredas närmare, menar regeringen. I anslut</w:t>
      </w:r>
      <w:r>
        <w:softHyphen/>
        <w:t>ning till den planerade kontrollstationen år 1998 bör analyseras vilka för</w:t>
      </w:r>
      <w:r>
        <w:softHyphen/>
        <w:t>svarsteknologiska kompeten</w:t>
      </w:r>
      <w:r>
        <w:softHyphen/>
        <w:t>ser som krävs för en god anpassningsförmåga. Regeringen utpekar bl.a. följande faktorer som me</w:t>
      </w:r>
      <w:r>
        <w:t>d</w:t>
      </w:r>
      <w:r>
        <w:t>verkar härtill:</w:t>
      </w:r>
    </w:p>
    <w:p w:rsidR="00F545CC" w:rsidRDefault="00F545CC">
      <w:pPr>
        <w:pStyle w:val="Normaltindrag"/>
      </w:pPr>
      <w:r>
        <w:t>1) Anpassningsförmågan kommer att ställa krav på för</w:t>
      </w:r>
      <w:r>
        <w:softHyphen/>
        <w:t>svarsindustrins tekni</w:t>
      </w:r>
      <w:r>
        <w:t>s</w:t>
      </w:r>
      <w:r>
        <w:t>ka kompe</w:t>
      </w:r>
      <w:r>
        <w:softHyphen/>
        <w:t>tens och industri</w:t>
      </w:r>
      <w:r>
        <w:softHyphen/>
        <w:t>ella struktur.</w:t>
      </w:r>
    </w:p>
    <w:p w:rsidR="00F545CC" w:rsidRDefault="00F545CC">
      <w:pPr>
        <w:pStyle w:val="Normaltindrag"/>
      </w:pPr>
      <w:r>
        <w:t>2) Anpassningsförmågan kommer att ställa krav på för</w:t>
      </w:r>
      <w:r>
        <w:softHyphen/>
        <w:t>svarets anskaf</w:t>
      </w:r>
      <w:r>
        <w:t>f</w:t>
      </w:r>
      <w:r>
        <w:t>ningsprocess.</w:t>
      </w:r>
    </w:p>
    <w:p w:rsidR="00F545CC" w:rsidRDefault="00F545CC">
      <w:pPr>
        <w:pStyle w:val="Normaltindrag"/>
      </w:pPr>
      <w:r>
        <w:t>3) Internationell samverkan ger förutsättningar för att kunna bevara viktiga försvarsin</w:t>
      </w:r>
      <w:r>
        <w:softHyphen/>
        <w:t>dustriella kompe</w:t>
      </w:r>
      <w:r>
        <w:softHyphen/>
        <w:t>tenser, samtidigt som det nationella oberoendet får en annan in</w:t>
      </w:r>
      <w:r>
        <w:softHyphen/>
        <w:t>nebörd.</w:t>
      </w:r>
    </w:p>
    <w:p w:rsidR="00F545CC" w:rsidRDefault="00F545CC">
      <w:pPr>
        <w:pStyle w:val="Normaltindrag"/>
      </w:pPr>
      <w:r>
        <w:t>4) De ekonomiska möjligheterna föreligger inte att bibe</w:t>
      </w:r>
      <w:r>
        <w:softHyphen/>
        <w:t>hålla en inhemsk försvarsin</w:t>
      </w:r>
      <w:r>
        <w:softHyphen/>
        <w:t>dustriell kompetens med da</w:t>
      </w:r>
      <w:r>
        <w:softHyphen/>
        <w:t>gens stora bredd.</w:t>
      </w:r>
    </w:p>
    <w:p w:rsidR="00F545CC" w:rsidRDefault="00F545CC">
      <w:r>
        <w:t>I propositionen nämns de i etapp 1 utpekade s.k. baskompetenserna som utgör de områden inom vilka Sverige bör be</w:t>
      </w:r>
      <w:r>
        <w:softHyphen/>
        <w:t>vara en in</w:t>
      </w:r>
      <w:r>
        <w:softHyphen/>
        <w:t>hemsk kompetens och där materiel skall utvecklas och tillverkas inom landet. Regeringen bedömer att kompetensen inom de priorite</w:t>
      </w:r>
      <w:r>
        <w:softHyphen/>
        <w:t>rade basområdena kommer att kunna bibehållas under besluts</w:t>
      </w:r>
      <w:r>
        <w:softHyphen/>
        <w:t>perioden fram till år 2001.</w:t>
      </w:r>
    </w:p>
    <w:p w:rsidR="00F545CC" w:rsidRDefault="00F545CC">
      <w:pPr>
        <w:pStyle w:val="Normaltindrag"/>
      </w:pPr>
      <w:r>
        <w:t>Krigsorganisationens dimensionering föreslås på längre sikt omfatta bl.a. 13 armébriga</w:t>
      </w:r>
      <w:r>
        <w:softHyphen/>
        <w:t>der (–3), 20 ytstridsfartyg (–10), 9 ubåtar (–3), 13 stridsflygd</w:t>
      </w:r>
      <w:r>
        <w:t>i</w:t>
      </w:r>
      <w:r>
        <w:t>vi</w:t>
      </w:r>
      <w:r>
        <w:softHyphen/>
        <w:t>sioner (–3) och 12 JAS 39 Gripen-divisioner. Vidare föreslås en avveckling av det lätta attackflyget och en minskning av antalet flygbasbataljoner till 16 (–8).</w:t>
      </w:r>
    </w:p>
    <w:p w:rsidR="00F545CC" w:rsidRDefault="00F545CC">
      <w:pPr>
        <w:pStyle w:val="Normaltindrag"/>
      </w:pPr>
      <w:r>
        <w:t>Beslut om utveckling och an</w:t>
      </w:r>
      <w:r>
        <w:softHyphen/>
        <w:t>skaffning av en tredje delserie av JAS 39 Gripen och en flygburen spa</w:t>
      </w:r>
      <w:r>
        <w:softHyphen/>
        <w:t>ningsradar har betydande konsekvenser för svensk flyg- och elektronikindustri. Inom armén kommer bl.a. anskaffningen av luftvärnsrobotsystemet BAMSE, artillerigranaten BONUS och stridsfo</w:t>
      </w:r>
      <w:r>
        <w:t>r</w:t>
      </w:r>
      <w:r>
        <w:t>don 90 att bi</w:t>
      </w:r>
      <w:r>
        <w:softHyphen/>
        <w:t>dra till en bevarad kompetens hos svensk för</w:t>
      </w:r>
      <w:r>
        <w:softHyphen/>
        <w:t>svarsindustri. Ytstridsfartyg 2000 och sär</w:t>
      </w:r>
      <w:r>
        <w:softHyphen/>
        <w:t>skilda teknologi</w:t>
      </w:r>
      <w:r>
        <w:softHyphen/>
        <w:t>sats</w:t>
      </w:r>
      <w:r>
        <w:softHyphen/>
        <w:t>ningar inom ubåtsområdet ska</w:t>
      </w:r>
      <w:r>
        <w:softHyphen/>
        <w:t>par gynnsamma för</w:t>
      </w:r>
      <w:r>
        <w:softHyphen/>
        <w:t>ut</w:t>
      </w:r>
      <w:r>
        <w:softHyphen/>
        <w:t>sättningar för den svenska varvs- och elektroni</w:t>
      </w:r>
      <w:r>
        <w:softHyphen/>
        <w:t>kin</w:t>
      </w:r>
      <w:r>
        <w:softHyphen/>
        <w:t>dustrin, sägs det i propositionen. Vidare skall åtgär</w:t>
      </w:r>
      <w:r>
        <w:softHyphen/>
        <w:t>der vidtas för att medge ett fortsatt be</w:t>
      </w:r>
      <w:r>
        <w:softHyphen/>
        <w:t>varande av inhemsk kompetens inom krut- och explosi</w:t>
      </w:r>
      <w:r>
        <w:softHyphen/>
        <w:t>vämnes</w:t>
      </w:r>
      <w:r>
        <w:softHyphen/>
        <w:t>området. Regeringen anmäler också att gällande materielplaner möjliggör en beva</w:t>
      </w:r>
      <w:r>
        <w:softHyphen/>
        <w:t>rad inhemsk för</w:t>
      </w:r>
      <w:r>
        <w:softHyphen/>
        <w:t>svarsin</w:t>
      </w:r>
      <w:r>
        <w:softHyphen/>
        <w:t>dustriell kompetens så att l</w:t>
      </w:r>
      <w:r>
        <w:t>uftvärns- och pansa</w:t>
      </w:r>
      <w:r>
        <w:t>r</w:t>
      </w:r>
      <w:r>
        <w:t>värnsrobo</w:t>
      </w:r>
      <w:r>
        <w:softHyphen/>
        <w:t>tar kan produ</w:t>
      </w:r>
      <w:r>
        <w:softHyphen/>
        <w:t>ceras och hotanpassas under försvarsbeslut</w:t>
      </w:r>
      <w:r>
        <w:softHyphen/>
        <w:t>sperio</w:t>
      </w:r>
      <w:r>
        <w:softHyphen/>
        <w:t>den. Försva</w:t>
      </w:r>
      <w:r>
        <w:t>r</w:t>
      </w:r>
      <w:r>
        <w:t>smakten skall också säkerställa en fort</w:t>
      </w:r>
      <w:r>
        <w:softHyphen/>
        <w:t>satt kompetens under besluts</w:t>
      </w:r>
      <w:r>
        <w:softHyphen/>
        <w:t>perioden inom ubåtsområdet. Sammantaget menar re</w:t>
      </w:r>
      <w:r>
        <w:softHyphen/>
        <w:t>geringen att dessa materielprojekt innebär att kompe</w:t>
      </w:r>
      <w:r>
        <w:softHyphen/>
        <w:t>tens kan bevaras och utvecklas  inom stora delar av svensk försvarsin</w:t>
      </w:r>
      <w:r>
        <w:softHyphen/>
        <w:t>dustri under försvarsb</w:t>
      </w:r>
      <w:r>
        <w:t>e</w:t>
      </w:r>
      <w:r>
        <w:t>slutsperio</w:t>
      </w:r>
      <w:r>
        <w:softHyphen/>
        <w:t>den.</w:t>
      </w:r>
    </w:p>
    <w:p w:rsidR="00F545CC" w:rsidRDefault="00F545CC">
      <w:pPr>
        <w:pStyle w:val="Normaltindrag"/>
      </w:pPr>
      <w:r>
        <w:t>För att möjliggöra en tillräckligt god förmåga till materiell förnyelse avser regeringen att ge För</w:t>
      </w:r>
      <w:r>
        <w:softHyphen/>
        <w:t>svarsmakten i upp</w:t>
      </w:r>
      <w:r>
        <w:softHyphen/>
        <w:t>drag att skapa förutsättningar för anpassningsinriktade tek</w:t>
      </w:r>
      <w:r>
        <w:softHyphen/>
        <w:t>niksatsningar</w:t>
      </w:r>
      <w:r>
        <w:rPr>
          <w:sz w:val="22"/>
        </w:rPr>
        <w:t xml:space="preserve">. </w:t>
      </w:r>
      <w:r>
        <w:t>Regeringen beräknar att drygt 500 miljoner kronor årligen kommer att satsas på åtgärder som i huvudsak syftar till att öka anpassningsförmågan. I denna summa ingår bl.a. särskilda sat</w:t>
      </w:r>
      <w:r>
        <w:t>s</w:t>
      </w:r>
      <w:r>
        <w:t>ningar på forskning och teknikförsörjning (enligt uppgift från Försvarsdepa</w:t>
      </w:r>
      <w:r>
        <w:t>r</w:t>
      </w:r>
      <w:r>
        <w:t>tementet ca 100–120 miljoner kronor). Dessutom skall ytterligare ekonomi</w:t>
      </w:r>
      <w:r>
        <w:t>s</w:t>
      </w:r>
      <w:r>
        <w:t>ka resurser avdelas för anpassningsinriktade tekniksatsningar utöver vad som tidigare har inplanerats. Totalt kommer Försvarsmakten att årligen avsätta ca 550 miljoner kronor – inräknat den nyssnämnda summan avsedd för fors</w:t>
      </w:r>
      <w:r>
        <w:t>k</w:t>
      </w:r>
      <w:r>
        <w:t>ning och teknikförsör</w:t>
      </w:r>
      <w:r>
        <w:t>j</w:t>
      </w:r>
      <w:r>
        <w:t>ning –  till tekniksatsningar.</w:t>
      </w:r>
    </w:p>
    <w:p w:rsidR="00F545CC" w:rsidRDefault="00F545CC">
      <w:pPr>
        <w:pStyle w:val="Rubrik3"/>
      </w:pPr>
      <w:r>
        <w:t>Försvarsindustrin och det internationella samarbetet</w:t>
      </w:r>
    </w:p>
    <w:p w:rsidR="00F545CC" w:rsidRDefault="00F545CC">
      <w:r>
        <w:t>I propositionen sägs att det finns anledning att lägga delvis nya säkerhet</w:t>
      </w:r>
      <w:r>
        <w:t>s</w:t>
      </w:r>
      <w:r>
        <w:t>politiska aspekter på det svenska försvarets materielförsörjning. Den säke</w:t>
      </w:r>
      <w:r>
        <w:t>r</w:t>
      </w:r>
      <w:r>
        <w:t>hetspolitiska utvecklingen medger nu att försvarets materielför</w:t>
      </w:r>
      <w:r>
        <w:softHyphen/>
        <w:t>sörjning bör kunna ske i nära samarbete med andra länder. Ett ökat och fördjupat för</w:t>
      </w:r>
      <w:r>
        <w:softHyphen/>
        <w:t>svarsmaterielsamarbete kan säkerställa tillgång till väsentliga kompetenser och underlätta materielförsörjningen i en anpassningssituation, dvs. i tider när den internationella efterfrågan är stor.</w:t>
      </w:r>
    </w:p>
    <w:p w:rsidR="00F545CC" w:rsidRDefault="00F545CC">
      <w:pPr>
        <w:pStyle w:val="Normaltindrag"/>
      </w:pPr>
      <w:r>
        <w:t>Det är också, enligt regeringen, viktigt att svensk försvarsindustri och svenska myndigheter deltar i den pågående om</w:t>
      </w:r>
      <w:r>
        <w:softHyphen/>
        <w:t>struktureringen av den europ</w:t>
      </w:r>
      <w:r>
        <w:t>e</w:t>
      </w:r>
      <w:r>
        <w:t>iska försvarsindustrin. På så sätt kan den totala minsk</w:t>
      </w:r>
      <w:r>
        <w:softHyphen/>
        <w:t>ningen i Europa inom försvarsindustrin hanteras på ett rationellt sätt, understryks det. Frågan har fått ökad aktualitet genom den diskussion som förs inom EU och vid reg</w:t>
      </w:r>
      <w:r>
        <w:t>e</w:t>
      </w:r>
      <w:r>
        <w:t>ringskonferensen om ett utvidgat samarbete på försvarsmaterielo</w:t>
      </w:r>
      <w:r>
        <w:t>m</w:t>
      </w:r>
      <w:r>
        <w:t>rådet.</w:t>
      </w:r>
    </w:p>
    <w:p w:rsidR="00F545CC" w:rsidRDefault="00F545CC">
      <w:pPr>
        <w:pStyle w:val="Normaltindrag"/>
        <w:rPr>
          <w:sz w:val="22"/>
        </w:rPr>
      </w:pPr>
      <w:r>
        <w:t>Mot denna bakgrund talar en rad skäl för ett svenskt medlemskap i Wes</w:t>
      </w:r>
      <w:r>
        <w:softHyphen/>
        <w:t>tern European Armaments Group (WEAG), anför regeringen. WEAG är en samarbetsorganisation mellan 13 europeiska länder. Samarbetet, som inte är traktatfäst och som saknar överstatliga inslag, baseras på konsensusprinc</w:t>
      </w:r>
      <w:r>
        <w:t>i</w:t>
      </w:r>
      <w:r>
        <w:t>pen. Samarbete sker bl.a. inom områdena utveckling och upphandling samt forskning och teknologi. Det bör ankomma, sägs det i propositionen, på regeringen att pröva hur samarbetet från svensk sida närmare skall utformas.</w:t>
      </w:r>
    </w:p>
    <w:p w:rsidR="00F545CC" w:rsidRDefault="00F545CC">
      <w:pPr>
        <w:pStyle w:val="Rubrik2"/>
      </w:pPr>
      <w:r>
        <w:t>Motionerna</w:t>
      </w:r>
    </w:p>
    <w:p w:rsidR="00F545CC" w:rsidRDefault="00F545CC">
      <w:r>
        <w:t>Frågan om försvarets fortsatta modernisering och därmed dess tekniska förnyelse tillhör det som står allra högst på dagordningen vid det förestående för</w:t>
      </w:r>
      <w:r>
        <w:softHyphen/>
        <w:t>svarsbeslutet, anförs det i motion 1996/97:Fö501 (m). Motionärerna menar att regeringens redovisning till riksdagen av vad anpassningsdoktrinen innehål</w:t>
      </w:r>
      <w:r>
        <w:softHyphen/>
        <w:t>ler är bristfällig. Regeringens förslag till ny krigsorganisation och de ytterst begränsade medel som avsätts till materiell förnyelse försämrar den indust</w:t>
      </w:r>
      <w:r>
        <w:softHyphen/>
        <w:t>riella kompetensen och försvarets förmåga till anpassning. I motionen efterlyses särskilda satsningar på materielområdet. För närvarande uppgår den andel av Försvars</w:t>
      </w:r>
      <w:r>
        <w:softHyphen/>
        <w:t>maktens budget som anslås till materi</w:t>
      </w:r>
      <w:r>
        <w:t>elanskaffning till närmare 40 %. Denna andel får inte minska, anförs det. I stället för föresla</w:t>
      </w:r>
      <w:r>
        <w:t>g</w:t>
      </w:r>
      <w:r>
        <w:t>na 550 miljoner kronor borde 750 miljoner kronor</w:t>
      </w:r>
      <w:r>
        <w:rPr>
          <w:sz w:val="22"/>
        </w:rPr>
        <w:t xml:space="preserve"> </w:t>
      </w:r>
      <w:r>
        <w:rPr>
          <w:sz w:val="18"/>
        </w:rPr>
        <w:t>årligen</w:t>
      </w:r>
      <w:r>
        <w:rPr>
          <w:sz w:val="22"/>
        </w:rPr>
        <w:t xml:space="preserve"> </w:t>
      </w:r>
      <w:r>
        <w:t>avsättas för detta ändamål</w:t>
      </w:r>
      <w:r>
        <w:rPr>
          <w:sz w:val="22"/>
        </w:rPr>
        <w:t xml:space="preserve">. </w:t>
      </w:r>
      <w:r>
        <w:t>Motionärerna kritiserar regeringen för att i propositionen inte redovisa tillräckligt underlag gäl</w:t>
      </w:r>
      <w:r>
        <w:softHyphen/>
        <w:t>lande försvarsindustrin. De kort- och lån</w:t>
      </w:r>
      <w:r>
        <w:t>g</w:t>
      </w:r>
      <w:r>
        <w:t>sik</w:t>
      </w:r>
      <w:r>
        <w:softHyphen/>
        <w:t>tiga förutsättningarna för försvarsindustrins överlevnad och utveckling måste därför utredas. I en sådan utredning borde bl.a. en översyn göras av prioriteringarna beträffande försvarsin</w:t>
      </w:r>
      <w:r>
        <w:softHyphen/>
        <w:t>dustrins kompetens och struktur. Även förutsättningarna för internationellt samarbete med andra försvarsindustrier bör övervägas, sägs det. Vidare borde granskas vilka för- och nackdelar som är förknippade med en inre mark</w:t>
      </w:r>
      <w:r>
        <w:softHyphen/>
        <w:t>nad för försvarsm</w:t>
      </w:r>
      <w:r>
        <w:t>a</w:t>
      </w:r>
      <w:r>
        <w:t>teriel.</w:t>
      </w:r>
    </w:p>
    <w:p w:rsidR="00F545CC" w:rsidRDefault="00F545CC">
      <w:pPr>
        <w:pStyle w:val="Normaltindrag"/>
      </w:pPr>
      <w:r>
        <w:t>I motion 1996/97:Fö38 (fp) konstateras att förändringarna i främst Eu</w:t>
      </w:r>
      <w:r>
        <w:softHyphen/>
        <w:t>ropa naturligt leder till ett ökat försvarsindust</w:t>
      </w:r>
      <w:r>
        <w:softHyphen/>
        <w:t>riellt samarbete med andra dem</w:t>
      </w:r>
      <w:r>
        <w:t>o</w:t>
      </w:r>
      <w:r>
        <w:t>kratiska stater i Europa och med Förenta staterna i syfte att trygga nödvändig försörjning med krigsmateriel. Ett svenskt deltagande i ett vidgat europeiskt samarbete om krigsmateriel borde emellertid bygga på en fort</w:t>
      </w:r>
      <w:r>
        <w:softHyphen/>
        <w:t>satt restriktiv exportpolitik och på att motsvarande restriktioner införs inom det europeiska samarbe</w:t>
      </w:r>
      <w:r>
        <w:softHyphen/>
        <w:t>tet. Regeringens förslag om svenskt medlemskap i WEAG kommer att få stor betydelse framöver, menar motionärerna och efterlyser en utre</w:t>
      </w:r>
      <w:r>
        <w:t>d</w:t>
      </w:r>
      <w:r>
        <w:t>ning i syfte att genomföra en samlad översyn av de långsiktiga konsekven</w:t>
      </w:r>
      <w:r>
        <w:softHyphen/>
        <w:t>serna innan förändringar ge</w:t>
      </w:r>
      <w:r>
        <w:softHyphen/>
        <w:t xml:space="preserve">nomförs. </w:t>
      </w:r>
    </w:p>
    <w:p w:rsidR="00F545CC" w:rsidRDefault="00F545CC">
      <w:pPr>
        <w:pStyle w:val="Normaltindrag"/>
      </w:pPr>
      <w:r>
        <w:t>I motion 1996/97:Fö52 (v) framförs krav på att en plan för avveckling av den svenska krigsmaterielexporten skall tas fram. Regeringen kritiseras för att ha en alltför okritisk inställning till det framväxande europeiska samarb</w:t>
      </w:r>
      <w:r>
        <w:t>e</w:t>
      </w:r>
      <w:r>
        <w:t xml:space="preserve">tet om försvarsmateriel. Vänsterpartiet är, anförs det, motståndare till svenskt medlemskap i WEAG. </w:t>
      </w:r>
    </w:p>
    <w:p w:rsidR="00F545CC" w:rsidRDefault="00F545CC">
      <w:pPr>
        <w:pStyle w:val="Normaltindrag"/>
      </w:pPr>
      <w:r>
        <w:t>Även i motion 1996/97:Fö42 (mp) riktas invändningar mot ett svenskt närmande till WEAG. Motionärerna anser att ett medlemskap i organisati</w:t>
      </w:r>
      <w:r>
        <w:t>o</w:t>
      </w:r>
      <w:r>
        <w:t>nen inte är förenligt med en trovärdig militär allians</w:t>
      </w:r>
      <w:r>
        <w:softHyphen/>
        <w:t>frihet. Ett medlemskap är heller inte i överens</w:t>
      </w:r>
      <w:r>
        <w:softHyphen/>
        <w:t>stämmelse med gäl</w:t>
      </w:r>
      <w:r>
        <w:softHyphen/>
        <w:t>lande lag för vapenexport. Hur, frågas det i motio</w:t>
      </w:r>
      <w:r>
        <w:softHyphen/>
        <w:t>nen, skall man kunna sam</w:t>
      </w:r>
      <w:r>
        <w:softHyphen/>
        <w:t>arbeta om materielpro</w:t>
      </w:r>
      <w:r>
        <w:softHyphen/>
        <w:t>jekt om man inte får expor</w:t>
      </w:r>
      <w:r>
        <w:softHyphen/>
        <w:t>tera till samma länder? Sverige borde i stället koncentrera a</w:t>
      </w:r>
      <w:r>
        <w:t>n</w:t>
      </w:r>
      <w:r>
        <w:t>strängningarna på att lämna stöd till en omställning av krigs</w:t>
      </w:r>
      <w:r>
        <w:softHyphen/>
        <w:t>materielindustrin till civil produk</w:t>
      </w:r>
      <w:r>
        <w:softHyphen/>
        <w:t>tion och skapa en avrustningsindustri för destruk</w:t>
      </w:r>
      <w:r>
        <w:softHyphen/>
        <w:t>tion av t.ex. anti-personella minor. Likaså bör, enligt motionärerna, forskningen inom området inriktas på an</w:t>
      </w:r>
      <w:r>
        <w:softHyphen/>
        <w:t>vänd</w:t>
      </w:r>
      <w:r>
        <w:softHyphen/>
        <w:t>ningen av s.k. icke-dödliga vapen som la</w:t>
      </w:r>
      <w:r>
        <w:softHyphen/>
        <w:t>ser, mik</w:t>
      </w:r>
      <w:r>
        <w:softHyphen/>
        <w:t>rovågor och radio</w:t>
      </w:r>
      <w:r>
        <w:softHyphen/>
        <w:t>störning, vilka kan slå ut målsökningssystem och missiler</w:t>
      </w:r>
      <w:r>
        <w:rPr>
          <w:sz w:val="22"/>
        </w:rPr>
        <w:t>.</w:t>
      </w:r>
      <w:r>
        <w:t xml:space="preserve"> </w:t>
      </w:r>
    </w:p>
    <w:p w:rsidR="00F545CC" w:rsidRDefault="00F545CC">
      <w:pPr>
        <w:pStyle w:val="Normaltindrag"/>
      </w:pPr>
      <w:r>
        <w:t>I motion 1996/97:Fö43 (mp) uttrycks tillfredsställelse över att den svenska ubåtsflottan bantas. Motionärernas tolkning av propositionen är att det inte är aktuellt med ytterligare inköp av ubåtar till den svenska marinen. Inriktnin</w:t>
      </w:r>
      <w:r>
        <w:t>g</w:t>
      </w:r>
      <w:r>
        <w:t>en från 1992 års försvarsbeslut om anskaffning av ubåt 2000 har rivits upp, menar motionärerna. Den försvarsteknologiska satsningen på kompetenso</w:t>
      </w:r>
      <w:r>
        <w:t>m</w:t>
      </w:r>
      <w:r>
        <w:t>rådet undervattensteknik omfattar ej utveckling av ny kapacitet för ubåtar, sägs det. Miljöpartiet de Grönas uppfattning är att Sverige helt skall upphöra med utveckling och export av ubå</w:t>
      </w:r>
      <w:r>
        <w:softHyphen/>
        <w:t xml:space="preserve">tar. I motionen ställs också frågan huruvida det är möjligt att bryta kontraktet med Kockums AB om fortsatta studier och projektering av ubåt 2000 i syfte att vinna tillbaka en del av de 120 miljoner kronor som Försvarsmakten har satsat i projektet. </w:t>
      </w:r>
    </w:p>
    <w:p w:rsidR="00F545CC" w:rsidRDefault="00F545CC">
      <w:pPr>
        <w:pStyle w:val="Normaltindrag"/>
      </w:pPr>
      <w:r>
        <w:t>Ett svenskt medlem</w:t>
      </w:r>
      <w:r>
        <w:softHyphen/>
        <w:t>skap i WEAG är eftersträvansvärt, heter det i motion 1996/97:Fö23 (kd). Detta kommer att ge för</w:t>
      </w:r>
      <w:r>
        <w:softHyphen/>
        <w:t>svarsmyndighe</w:t>
      </w:r>
      <w:r>
        <w:softHyphen/>
        <w:t>ter och fö</w:t>
      </w:r>
      <w:r>
        <w:t>r</w:t>
      </w:r>
      <w:r>
        <w:t>svarsindustrier för</w:t>
      </w:r>
      <w:r>
        <w:softHyphen/>
        <w:t>bättrade möjlig</w:t>
      </w:r>
      <w:r>
        <w:softHyphen/>
        <w:t>heter till samarbete och samord</w:t>
      </w:r>
      <w:r>
        <w:softHyphen/>
        <w:t>ning med andra deltagarländer. Motionärerna erinrar om att Europas försvarsin</w:t>
      </w:r>
      <w:r>
        <w:softHyphen/>
        <w:t>dustri står inför en omfattande strukturomvand</w:t>
      </w:r>
      <w:r>
        <w:softHyphen/>
        <w:t>ling. Även i denna motion ses det som angeläget att regeringen återkommer till riksdagen med en redovisning av de konkreta åtgärder som regeringen avser att vidta för att anpassa sa</w:t>
      </w:r>
      <w:r>
        <w:t>m</w:t>
      </w:r>
      <w:r>
        <w:t>ver</w:t>
      </w:r>
      <w:r>
        <w:softHyphen/>
        <w:t>kansformerna. Rege</w:t>
      </w:r>
      <w:r>
        <w:softHyphen/>
        <w:t>ringen bör även, menar motionärerna, ytterligare  utveckla det som skrivs i propo</w:t>
      </w:r>
      <w:r>
        <w:softHyphen/>
        <w:t>sitionen om att kraven på en god anpass</w:t>
      </w:r>
      <w:r>
        <w:softHyphen/>
        <w:t>ningsförmåga medför att de försvars</w:t>
      </w:r>
      <w:r>
        <w:softHyphen/>
        <w:t xml:space="preserve">politiska behoven kan behöva ges en delvis ny innebörd. </w:t>
      </w:r>
    </w:p>
    <w:p w:rsidR="00F545CC" w:rsidRDefault="00F545CC">
      <w:pPr>
        <w:pStyle w:val="Rubrik2"/>
      </w:pPr>
      <w:r>
        <w:t>Vissa kompletterande uppgifter</w:t>
      </w:r>
    </w:p>
    <w:p w:rsidR="00F545CC" w:rsidRDefault="00F545CC">
      <w:pPr>
        <w:pStyle w:val="Rubrik3"/>
        <w:spacing w:before="123"/>
      </w:pPr>
      <w:r>
        <w:t>Den svenska försvarsindustrin</w:t>
      </w:r>
    </w:p>
    <w:p w:rsidR="00F545CC" w:rsidRDefault="00F545CC">
      <w:pPr>
        <w:rPr>
          <w:sz w:val="20"/>
        </w:rPr>
      </w:pPr>
      <w:r>
        <w:t>Antalet anställda i den svenska försvarsindustrin har minskat relativt kraftigt under senare år. Enligt uppgifter från Sveriges försvarsindustriförening var totalt ca 22 000 personer sysselsatta i försvarsindustrin år 1995. Härav var ca 16 000 sysselsatta med försvarsmateriel, en minskning med ca 6 500 pers</w:t>
      </w:r>
      <w:r>
        <w:t>o</w:t>
      </w:r>
      <w:r>
        <w:t>ner jämfört med år 1990. Andelen personer i företagen som arbetade med försvarsmateriel uppgick år 1995 till ca 75 %. År 1995 levererade företagen försvarsmateriel till ett värde av ca 14,6 miljarder kronor, vilket ligger strax under den redovisade nivån för år 1994. Av leveranserna år 1995 gick ca 70 % till det svenska försvaret, ca 4 % till övriga nordiska länder, Schweiz och Österrike och ca 16 % till andra länder.</w:t>
      </w:r>
    </w:p>
    <w:p w:rsidR="00F545CC" w:rsidRDefault="00F545CC">
      <w:pPr>
        <w:pStyle w:val="Rubrik3"/>
      </w:pPr>
      <w:r>
        <w:t>Utredningar om försvarsindustrin och civila produkter</w:t>
      </w:r>
    </w:p>
    <w:p w:rsidR="00F545CC" w:rsidRDefault="00F545CC">
      <w:r>
        <w:t>I november 1995 fick f.d. generaldirektören Per Borg i uppdrag av dåvarande näringsministern Sten Heckscher att i kontakt med svensk försvarsmateri</w:t>
      </w:r>
      <w:r>
        <w:t>e</w:t>
      </w:r>
      <w:r>
        <w:t>lindustri kartlägga utvecklingen av civila produkter och i vilken utsträckning idéer om sådana produkter ej kommer till utförande. Studien Svensk fö</w:t>
      </w:r>
      <w:r>
        <w:t>r</w:t>
      </w:r>
      <w:r>
        <w:t>svarsin</w:t>
      </w:r>
      <w:r>
        <w:softHyphen/>
        <w:t>dustris satsningar på civila produkter – möjligheter och problem avlämnades i februari 1996. Bland förutsättningar och förhållanden, skriver utredaren, som avgör om civila produkter framgångsrikt kan föras ut till nya marknader kan följande utpekas:</w:t>
      </w:r>
    </w:p>
    <w:p w:rsidR="00F545CC" w:rsidRDefault="00F545CC">
      <w:pPr>
        <w:pStyle w:val="Normaltindrag"/>
      </w:pPr>
      <w:r>
        <w:t>–  företagsledningens och ägarnas vilja att uthålligt satsa på civil verksa</w:t>
      </w:r>
      <w:r>
        <w:t>m</w:t>
      </w:r>
      <w:r>
        <w:t>het,</w:t>
      </w:r>
    </w:p>
    <w:p w:rsidR="00F545CC" w:rsidRDefault="00F545CC">
      <w:pPr>
        <w:pStyle w:val="Normaltindrag"/>
      </w:pPr>
      <w:r>
        <w:t xml:space="preserve">– företagsledningens förmåga att inom företagen hantera nya produkter och finna kanaler och nå fram till marknaden,  </w:t>
      </w:r>
    </w:p>
    <w:p w:rsidR="00F545CC" w:rsidRDefault="00F545CC">
      <w:pPr>
        <w:pStyle w:val="Normaltindrag"/>
      </w:pPr>
      <w:r>
        <w:t>–  tillgång till riskkapital på acceptabla villkor.</w:t>
      </w:r>
    </w:p>
    <w:p w:rsidR="00F545CC" w:rsidRDefault="00F545CC">
      <w:pPr>
        <w:tabs>
          <w:tab w:val="left" w:pos="1276"/>
        </w:tabs>
      </w:pPr>
      <w:r>
        <w:t>Utredarens slutsats är bl.a. att om staten vill underlätta och stödja utvec</w:t>
      </w:r>
      <w:r>
        <w:t>k</w:t>
      </w:r>
      <w:r>
        <w:t>lingen av civila produkter så bör inriktningen vara att underlätta tillgången till riskvilligt kapital och kreditgarantier på för företagen acceptabla villkor.</w:t>
      </w:r>
    </w:p>
    <w:p w:rsidR="00F545CC" w:rsidRDefault="00F545CC">
      <w:pPr>
        <w:tabs>
          <w:tab w:val="left" w:pos="1276"/>
        </w:tabs>
      </w:pPr>
      <w:r>
        <w:t>I mars 1996 avlämnade Ingenjörsvetenskapsakademien (IVA) rapporten Forskning och utveckling för industri och försvar, där förutsättningarna för att utveckla forskning och utveckling inom områden av betydelse för både militära och civila tillämpningar studerats. I rapporten diskuteras behovet av en övergripande teknikutvecklingsstrategi i vilka de från samhällets utgång</w:t>
      </w:r>
      <w:r>
        <w:t>s</w:t>
      </w:r>
      <w:r>
        <w:t>punkt prioriterade utvecklingsvägarna bör anges. Strukturella hinder för samverkan identifieras, som t.ex. villkor för finansiering och möjligheter för individer att röra sig mellan olika verksamhetsmiljöer. Utredarna menar att diversifieringen av försvarsindustrin, dvs. framväxten av sådan komplett</w:t>
      </w:r>
      <w:r>
        <w:t>e</w:t>
      </w:r>
      <w:r>
        <w:t>rande civil verksamhet som utvecklas inom försvarsindustrin, eller är baserad på försvarsindustriell kompetens, är en långsiktigt viktig väg till nyföret</w:t>
      </w:r>
      <w:r>
        <w:t>a</w:t>
      </w:r>
      <w:r>
        <w:t>gande vilket kan bredda den industriella basen. Dock identifieras många hinder och svårigheter i denna process. Slutligen analyseras försvarsindu</w:t>
      </w:r>
      <w:r>
        <w:softHyphen/>
        <w:t>strins möjligheter att bevara och utveckla sin kompetens inom sina kärno</w:t>
      </w:r>
      <w:r>
        <w:t>m</w:t>
      </w:r>
      <w:r>
        <w:t xml:space="preserve">råden. På denna punkt anför utredningen att försvarsindustrin måste få rimliga villkor att anpassa sig till förändrade förutsättningar och utvecklas i linje med försvarets behov till nytta för samhället i övrigt. Ett råd som ges i detta sammanhang är att mindre företag bör tas med i de försvarsindustriella nätverken. Sådana nätverk i vilka mindre specialföretag ingår –  t.ex. från mikroelektronik- och programvaruområdena – skulle kunna öka flexibiliteten och minska industrins egna resursinsatser. Om sådana </w:t>
      </w:r>
      <w:r>
        <w:t>specialföretag inom nätverken dessutom arbetar åt flera industriföretag kan en förbättrad kos</w:t>
      </w:r>
      <w:r>
        <w:t>t</w:t>
      </w:r>
      <w:r>
        <w:t>nadsdelning åsta</w:t>
      </w:r>
      <w:r>
        <w:t>d</w:t>
      </w:r>
      <w:r>
        <w:t>kommas.</w:t>
      </w:r>
    </w:p>
    <w:p w:rsidR="00F545CC" w:rsidRDefault="00F545CC">
      <w:pPr>
        <w:pStyle w:val="Rubrik2"/>
      </w:pPr>
      <w:r>
        <w:t>Näringsutskottets ställningstagande</w:t>
      </w:r>
    </w:p>
    <w:p w:rsidR="00F545CC" w:rsidRDefault="00F545CC">
      <w:r>
        <w:t>Näringsutskottet anser att den svenska försvarsindustrins förmåga att leve</w:t>
      </w:r>
      <w:r>
        <w:softHyphen/>
        <w:t>rera kvalificerade högteknologiska produkter till det svenska försvaret har ett stort försvars- och säkerhetspolitiskt värde. Härtill gäller att den industripol</w:t>
      </w:r>
      <w:r>
        <w:t>i</w:t>
      </w:r>
      <w:r>
        <w:t>tiska betydelsen av denna produktion är hög. Ett kvalificerat tekniskt ku</w:t>
      </w:r>
      <w:r>
        <w:t>n</w:t>
      </w:r>
      <w:r>
        <w:t>nande har frambringats i försvarsindustrin. Spridningseffekter har i ett flertal fall uppstått i form av civila tillämpningar av tekniken inom den övriga industrin och genom civil användning i samhället. Den höga tekniska nivån grundar sig bl.a. på ett väl fungerande samspel mellan forskning och i</w:t>
      </w:r>
      <w:r>
        <w:t>n</w:t>
      </w:r>
      <w:r>
        <w:t>dustriproduktion. Vid jämförelser framstår den svenska försvarsindustrin – trots att det handlar om högteknologiska produkter med omfattande utvec</w:t>
      </w:r>
      <w:r>
        <w:t>k</w:t>
      </w:r>
      <w:r>
        <w:t>lingskostnader – som kostnadseffektiv, även sett till motsvarande produktion i de försvarsindustriella stormakte</w:t>
      </w:r>
      <w:r>
        <w:t>r</w:t>
      </w:r>
      <w:r>
        <w:t xml:space="preserve">na. </w:t>
      </w:r>
    </w:p>
    <w:p w:rsidR="00F545CC" w:rsidRDefault="00F545CC">
      <w:pPr>
        <w:pStyle w:val="Normaltindrag"/>
      </w:pPr>
      <w:r>
        <w:t>Utformningen av försvarets anpassningsförmåga kommer att ställa förän</w:t>
      </w:r>
      <w:r>
        <w:t>d</w:t>
      </w:r>
      <w:r>
        <w:t>rade krav på försvarsindustrins tekniska kompetens och industriella struktur. Förutom den prioritering av  baskompetenser som fastställdes i försvarsb</w:t>
      </w:r>
      <w:r>
        <w:t>e</w:t>
      </w:r>
      <w:r>
        <w:t>slutets första etapp aviserar regeringen i propositionen åtgärder för att medge ett fortsatt bevarande av inhemsk kompetens inom krut- och explosivämne</w:t>
      </w:r>
      <w:r>
        <w:t>s</w:t>
      </w:r>
      <w:r>
        <w:t xml:space="preserve">området, vilket näringsutskottet inte har någon erinran emot. </w:t>
      </w:r>
    </w:p>
    <w:p w:rsidR="00F545CC" w:rsidRDefault="00F545CC">
      <w:pPr>
        <w:pStyle w:val="Normaltindrag"/>
      </w:pPr>
      <w:r>
        <w:t>Näringsutskottet finner det vidare värdefullt att en utredning skall tillsättas inför 1998 års säkerhetspolitiska kontrollstation med syfte att analysera vilka försvarsteknologiska kompetenser som krävs för en god anpassningsförm</w:t>
      </w:r>
      <w:r>
        <w:t>å</w:t>
      </w:r>
      <w:r>
        <w:t>ga. I en sådan studie bör ingå att se över de kort- och långsik</w:t>
      </w:r>
      <w:r>
        <w:softHyphen/>
        <w:t>tiga förutsät</w:t>
      </w:r>
      <w:r>
        <w:t>t</w:t>
      </w:r>
      <w:r>
        <w:t>ningarna för försvarsindustrins överlevnad och utvec</w:t>
      </w:r>
      <w:r>
        <w:t>k</w:t>
      </w:r>
      <w:r>
        <w:t>ling.</w:t>
      </w:r>
    </w:p>
    <w:p w:rsidR="00F545CC" w:rsidRDefault="00F545CC">
      <w:pPr>
        <w:pStyle w:val="Normaltindrag"/>
      </w:pPr>
      <w:r>
        <w:t>Näringsutskottet vill understryka vikten av att Försvars</w:t>
      </w:r>
      <w:r>
        <w:softHyphen/>
        <w:t>maktens kompetens som kravställare och uppköpare av försvarsmateriel kan vidmakthållas. Materielinköp och teknologisats</w:t>
      </w:r>
      <w:r>
        <w:softHyphen/>
        <w:t>ningar skall göras i syfte att säkerställa ett rationellt utnyttjande av anskaffade system under såväl fred som kris och krig. Det kunskapsmässiga innehållet (den kritiska massan) i svensk fö</w:t>
      </w:r>
      <w:r>
        <w:t>r</w:t>
      </w:r>
      <w:r>
        <w:t>svarsindustri måste värnas. En långsiktigt stabil politisk syn på försvarsi</w:t>
      </w:r>
      <w:r>
        <w:t>n</w:t>
      </w:r>
      <w:r>
        <w:t>dustrins föru</w:t>
      </w:r>
      <w:r>
        <w:t>t</w:t>
      </w:r>
      <w:r>
        <w:t xml:space="preserve">sättningar i landet måste föreligga.   </w:t>
      </w:r>
    </w:p>
    <w:p w:rsidR="00F545CC" w:rsidRDefault="007A3738">
      <w:pPr>
        <w:pStyle w:val="Normaltindrag"/>
      </w:pPr>
      <w:r>
        <w:rPr>
          <w:noProof/>
          <w:sz w:val="20"/>
        </w:rPr>
        <mc:AlternateContent>
          <mc:Choice Requires="wps">
            <w:drawing>
              <wp:anchor distT="0" distB="0" distL="114300" distR="114300" simplePos="0" relativeHeight="251657728" behindDoc="0" locked="0" layoutInCell="0" allowOverlap="1">
                <wp:simplePos x="0" y="0"/>
                <wp:positionH relativeFrom="margin">
                  <wp:posOffset>-80010</wp:posOffset>
                </wp:positionH>
                <wp:positionV relativeFrom="paragraph">
                  <wp:posOffset>1579245</wp:posOffset>
                </wp:positionV>
                <wp:extent cx="635" cy="732155"/>
                <wp:effectExtent l="0" t="0" r="0" b="0"/>
                <wp:wrapNone/>
                <wp:docPr id="34093085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3215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cap="flat">
                              <a:solidFill>
                                <a:srgbClr val="000000"/>
                              </a:solidFill>
                              <a:round/>
                              <a:headEnd type="none" w="sm" len="sm"/>
                              <a:tailEnd type="none" w="sm" len="sm"/>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AFA110B" id="Line 2"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3pt,124.35pt" to="-6.2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" o:allowincell="f" stroked="f">
                <v:stroke startarrowwidth="narrow" startarrowlength="short" endarrowwidth="narrow" endarrowlength="short"/>
                <w10:wrap anchorx="margin"/>
              </v:line>
            </w:pict>
          </mc:Fallback>
        </mc:AlternateContent>
      </w:r>
      <w:r w:rsidR="00F545CC">
        <w:t>Utan att gå in på frågan om medlemskap i WEAG, som inte är en fråga för näringsutskottet att ta ställning till, välkomnar utskottet ett fördjupat europ</w:t>
      </w:r>
      <w:r w:rsidR="00F545CC">
        <w:t>e</w:t>
      </w:r>
      <w:r w:rsidR="00F545CC">
        <w:softHyphen/>
        <w:t>iskt samarbete på försvarsindustriområdet. Med hänsyn till strävan att bib</w:t>
      </w:r>
      <w:r w:rsidR="00F545CC">
        <w:t>e</w:t>
      </w:r>
      <w:r w:rsidR="00F545CC">
        <w:softHyphen/>
        <w:t>hålla en hög teknisk nivå inom kritiska områden och en fortsatt kostna</w:t>
      </w:r>
      <w:r w:rsidR="00F545CC">
        <w:t>d</w:t>
      </w:r>
      <w:r w:rsidR="00F545CC">
        <w:t>s</w:t>
      </w:r>
      <w:r w:rsidR="00F545CC">
        <w:softHyphen/>
        <w:t>effektiv materielförsörjning, framstår ett utökat internationellt samarbete som en förutsättning för den svenska försvarsindustrins överlevnad. Det är angeläget att svensk försvarsindustri får delta på likvärdiga villkor i den europeiska omstruktureringen på försvarsindustriområdet. Ett organiserat samarbete kommer, enligt n</w:t>
      </w:r>
      <w:r w:rsidR="00F545CC">
        <w:t>ä</w:t>
      </w:r>
      <w:r w:rsidR="00F545CC">
        <w:t>ringsutskottets uppfattning, att ge försvars-myndighe</w:t>
      </w:r>
      <w:r w:rsidR="00F545CC">
        <w:softHyphen/>
        <w:t>ter och försvarsindustrier bättre möjlig</w:t>
      </w:r>
      <w:r w:rsidR="00F545CC">
        <w:softHyphen/>
        <w:t>heter till samord</w:t>
      </w:r>
      <w:r w:rsidR="00F545CC">
        <w:softHyphen/>
        <w:t>ning med andra deltagarländer. Samarbetet bör också omfatta försvarsforskningen. Ett internationellt samarbete inom försvarsforsk</w:t>
      </w:r>
      <w:r w:rsidR="00F545CC">
        <w:softHyphen/>
        <w:t>ningen kring avancerade tekni</w:t>
      </w:r>
      <w:r w:rsidR="00F545CC">
        <w:t>s</w:t>
      </w:r>
      <w:r w:rsidR="00F545CC">
        <w:t>ka pro</w:t>
      </w:r>
      <w:r w:rsidR="00F545CC">
        <w:softHyphen/>
        <w:t>dukter är nödvändigt för att upprätthålla den tekniska kompetensen inom den svenska industrin och för att skapa möjligheter till kostnadseffekt</w:t>
      </w:r>
      <w:r w:rsidR="00F545CC">
        <w:t>i</w:t>
      </w:r>
      <w:r w:rsidR="00F545CC">
        <w:t xml:space="preserve">va upphandlingar. </w:t>
      </w:r>
    </w:p>
    <w:p w:rsidR="00F545CC" w:rsidRDefault="00F545CC">
      <w:pPr>
        <w:pStyle w:val="Normaltindrag"/>
      </w:pPr>
      <w:r>
        <w:t>I detta sammanhang vill näringsutskottet påminna om vad utskottet hösten 1995 anförde i yttrandet till försvarsutskottet  (1995/96:NU2y s. 6) om att det från strikt näringspolitisk synpunkt och utan att beröra frågan om ändrad lagstiftning kan vara av värde med en översyn av eventuella hinder som försvårar för svensk försvarsindustri att delta i främst europeisk men även övrig internationell samverkan. I syfte att undanröja sådana hinder är det, enligt näringsutskottets mening, väsentligt att denna analys i</w:t>
      </w:r>
      <w:r>
        <w:t>nfogas i den nämnda utredningen om en strategi för försvarets förmåga till materiell förny</w:t>
      </w:r>
      <w:r>
        <w:softHyphen/>
        <w:t>else.</w:t>
      </w:r>
    </w:p>
    <w:p w:rsidR="00F545CC" w:rsidRDefault="00F545CC">
      <w:pPr>
        <w:pStyle w:val="Normaltindrag"/>
      </w:pPr>
      <w:r>
        <w:t>Det är tillfredsställande, anser näringsutskottet, att regeringen gör bedö</w:t>
      </w:r>
      <w:r>
        <w:t>m</w:t>
      </w:r>
      <w:r>
        <w:softHyphen/>
        <w:t>ningen att de planerade materielprojekten innebär att kompe</w:t>
      </w:r>
      <w:r>
        <w:softHyphen/>
        <w:t>tens kan bevaras och utvecklas inom stora delar av svensk försvarsin</w:t>
      </w:r>
      <w:r>
        <w:softHyphen/>
        <w:t>dustri under försvarsb</w:t>
      </w:r>
      <w:r>
        <w:t>e</w:t>
      </w:r>
      <w:r>
        <w:t>slutsperio</w:t>
      </w:r>
      <w:r>
        <w:softHyphen/>
        <w:t>den. Näringsutskottet vill understryka vikten av att den planerade avsättningen – inom totalförsvarsramen – med 550 miljoner kronor per år för teknologisatsningar också genomförs.</w:t>
      </w:r>
    </w:p>
    <w:p w:rsidR="00F545CC" w:rsidRDefault="00F545CC">
      <w:pPr>
        <w:pStyle w:val="Normaltindrag"/>
      </w:pPr>
      <w:r>
        <w:t>Vidare ser näringsutskottet det som angeläget att regeringen och svenska myndigheter på ett aktivt och strukturerat sätt stöttar försvarsindustrins exportansträngningar, under förutsättning att dessa står i överensstämmelse med riktlinjerna för krigs</w:t>
      </w:r>
      <w:r>
        <w:softHyphen/>
        <w:t>materielexport.</w:t>
      </w:r>
    </w:p>
    <w:p w:rsidR="00F545CC" w:rsidRDefault="00F545CC">
      <w:pPr>
        <w:pStyle w:val="Normaltindrag"/>
      </w:pPr>
      <w:r>
        <w:t>Vad gäller frågan om omställning till civil produktion vill näringsutskottet hänvisa till slutsatserna i de två studier som redovisats i det föregående. Som framhållits i rapporten av f.d. generaldirektören Per Borg är tillgången till riskvilligt kapital en viktig faktor för utvecklingen av civil produktion inom försvarsindustrin. Näringsutskottet vill understryka att det inte finns någon motsättning mellan å ena sidan den högteknologiska försvarsindustriella forskningen och produktionen och å andra sidan b</w:t>
      </w:r>
      <w:r>
        <w:t>ehovet av en ökad civil produktion i syfte att öka sysselsättning och skapa nya företag. Erfarenheten är att de miljöer som en kvalitativt stark försvarsindustri erbjuder har varit en förutsättning för de civila produkternas kommersiella framgångar. I den tidigare nämnda studien från Ingenjörsvetenskapsakademien betonas också att komplet</w:t>
      </w:r>
      <w:r>
        <w:softHyphen/>
        <w:t>terande civil verksamhet som är baserad på försvarsindustriell kompetens är en långsiktigt viktig väg till nyföretagande, vilken kan bredda den industri</w:t>
      </w:r>
      <w:r>
        <w:softHyphen/>
        <w:t>e</w:t>
      </w:r>
      <w:r>
        <w:t>l</w:t>
      </w:r>
      <w:r>
        <w:t>la basen.</w:t>
      </w:r>
    </w:p>
    <w:p w:rsidR="00F545CC" w:rsidRDefault="00F545CC">
      <w:pPr>
        <w:pStyle w:val="Normaltindrag"/>
      </w:pPr>
      <w:r>
        <w:t>Med det sagda avstyrker näringsutskottet samtliga här aktuella motioner i berörda delar.</w:t>
      </w:r>
    </w:p>
    <w:p w:rsidR="00F545CC" w:rsidRDefault="00F545CC"/>
    <w:p w:rsidR="00F545CC" w:rsidRDefault="00F545CC">
      <w:r>
        <w:t>Stockholm den 7 november 1996</w:t>
      </w:r>
    </w:p>
    <w:p w:rsidR="00F545CC" w:rsidRDefault="00F545CC">
      <w:r>
        <w:t>På näringsutskottets vägnar</w:t>
      </w:r>
    </w:p>
    <w:p w:rsidR="00F545CC" w:rsidRDefault="00F545CC">
      <w:pPr>
        <w:pStyle w:val="Citat"/>
      </w:pPr>
      <w:bookmarkStart w:id="1" w:name="Ordförande"/>
      <w:bookmarkStart w:id="2" w:name="Deltagare"/>
      <w:bookmarkEnd w:id="1"/>
      <w:bookmarkEnd w:id="2"/>
    </w:p>
    <w:p w:rsidR="00F545CC" w:rsidRDefault="00F545CC">
      <w:pPr>
        <w:pStyle w:val="Citat"/>
      </w:pPr>
      <w:r>
        <w:rPr>
          <w:i/>
        </w:rPr>
        <w:t>Birgitta Johansson</w:t>
      </w:r>
    </w:p>
    <w:p w:rsidR="00F545CC" w:rsidRDefault="00F545CC">
      <w:pPr>
        <w:pStyle w:val="Citat"/>
      </w:pPr>
    </w:p>
    <w:p w:rsidR="00F545CC" w:rsidRDefault="00F545CC">
      <w:pPr>
        <w:pStyle w:val="Citat"/>
      </w:pPr>
      <w:r>
        <w:t>I beslutet har deltagit: Birgitta Johansson (s), Bo Finnkvist (s), Karin Falkmer (m), Reynoldh Furustrand (s), Mikael Odenberg (m), Barbro Andersson (s), Marie Granlund (s), Lennart Beijer (v), Dag Ericson (s), Ola Karlsson (m), Göran Hägglund (kd), Nils-Göran Holmqvist (s), Laila Bäck (s), Sten Tolgfors (m), Kerstin Warnerbring (c) och Torsten Gavelin (fp).</w:t>
      </w:r>
    </w:p>
    <w:p w:rsidR="00F545CC" w:rsidRDefault="00F545CC">
      <w:pPr>
        <w:pStyle w:val="Rubrik1"/>
      </w:pPr>
      <w:bookmarkStart w:id="3" w:name="_Toc370804888"/>
      <w:r>
        <w:t>Avvikande mening</w:t>
      </w:r>
      <w:bookmarkEnd w:id="3"/>
      <w:r>
        <w:t>ar</w:t>
      </w:r>
    </w:p>
    <w:p w:rsidR="00F545CC" w:rsidRDefault="00F545CC">
      <w:r>
        <w:rPr>
          <w:b/>
        </w:rPr>
        <w:t>1.</w:t>
      </w:r>
      <w:r>
        <w:t xml:space="preserve"> Karin Falkmer, Mikael Odenberg, Ola Karlsson och Sten Tolgfors (alla m) anser att avsnittet under rubriken Näringsutskottets ställningstagande bort ha följande lydelse:</w:t>
      </w:r>
    </w:p>
    <w:p w:rsidR="00F545CC" w:rsidRDefault="00F545CC">
      <w:pPr>
        <w:pStyle w:val="Normaltindrag"/>
      </w:pPr>
      <w:r>
        <w:t xml:space="preserve">Näringsutskottet anser – – –  (= utskottet) – – – erinran emot. </w:t>
      </w:r>
    </w:p>
    <w:p w:rsidR="00F545CC" w:rsidRDefault="00F545CC">
      <w:pPr>
        <w:pStyle w:val="Normaltindrag"/>
      </w:pPr>
      <w:r>
        <w:t>Enligt näringsutskottets mening är det emellertid nödvändigt att det nu tillsätts en utredning med syfte att analysera de kort- och långsiktiga föru</w:t>
      </w:r>
      <w:r>
        <w:t>t</w:t>
      </w:r>
      <w:r>
        <w:t>sättningarna för försvarsindustrins överlevnad och utveckling. Vidare bör studeras vilka ytterligare försvarsteknologiska kompetenser än de i propos</w:t>
      </w:r>
      <w:r>
        <w:t>i</w:t>
      </w:r>
      <w:r>
        <w:t>tionen angivna som är nödvändiga att upprätthålla. Skälet är att den priorit</w:t>
      </w:r>
      <w:r>
        <w:t>e</w:t>
      </w:r>
      <w:r>
        <w:t>ring som görs i propositionen är alltför snäv. Teknologiområden som är väsentliga ur säkerhetspolitisk synvinkel prioriteras bort trots att de har ett för försvarsindustrin strategiskt högt kunskapsinnehåll och är internationellt konkurrenskraftiga. Frågan om industrins möjligheter att bedriva eget utvecklingsarbete som inte har sin grund i svenska försvarsbeställningar måste i detta sammanhang också aktualiseras.</w:t>
      </w:r>
    </w:p>
    <w:p w:rsidR="00F545CC" w:rsidRDefault="00F545CC">
      <w:pPr>
        <w:pStyle w:val="Normaltindrag"/>
      </w:pPr>
      <w:r>
        <w:t>Näringsutskottet vill – – – (= utskottet) – – – materiell förnyelse.</w:t>
      </w:r>
    </w:p>
    <w:p w:rsidR="00F545CC" w:rsidRDefault="00F545CC">
      <w:pPr>
        <w:pStyle w:val="Normaltindrag"/>
        <w:rPr>
          <w:i/>
        </w:rPr>
      </w:pPr>
      <w:r>
        <w:t>Enligt näringsutskottets bedömning är dock de medel som skall avsättas för tekno</w:t>
      </w:r>
      <w:r>
        <w:softHyphen/>
        <w:t>logisatsningar otillräckliga, bl.a. som en följd av neddragningarna i den militära ekonomiska ramen som regeringen föreslår. Den alltför låga nivån riskerar att försämra den indust</w:t>
      </w:r>
      <w:r>
        <w:softHyphen/>
        <w:t>riella kompetensen och försvarets förmåga till anpassning. Enligt näringsutskottets uppfattning behövs det särskilda satsningar på materielom</w:t>
      </w:r>
      <w:r>
        <w:softHyphen/>
        <w:t>rådet. I stället för 550 miljoner kronor bör 750 miljoner kronor</w:t>
      </w:r>
      <w:r>
        <w:rPr>
          <w:sz w:val="22"/>
        </w:rPr>
        <w:t xml:space="preserve"> </w:t>
      </w:r>
      <w:r>
        <w:t>avsättas årligen för detta ändamål</w:t>
      </w:r>
      <w:r>
        <w:rPr>
          <w:i/>
        </w:rPr>
        <w:t>.</w:t>
      </w:r>
    </w:p>
    <w:p w:rsidR="00F545CC" w:rsidRDefault="00F545CC">
      <w:pPr>
        <w:pStyle w:val="Normaltindrag"/>
      </w:pPr>
      <w:r>
        <w:t>Vidare ser – – – (= utskottet) – – – industriella basen.</w:t>
      </w:r>
    </w:p>
    <w:p w:rsidR="00F545CC" w:rsidRDefault="00F545CC">
      <w:pPr>
        <w:pStyle w:val="Normaltindrag"/>
      </w:pPr>
      <w:r>
        <w:t>Det näringsutskottet här har anfört bör riksdagen – anser näringsutskottet – som sin mening ge regeringen till känna. Med det sagda tillstyrks motion 1996/97:Fö501 (m) i nu berörd del och avstyrks övriga här aktuella motioner i motsvarande delar.</w:t>
      </w:r>
      <w:bookmarkStart w:id="4" w:name="Nästa_Reservation"/>
      <w:bookmarkEnd w:id="4"/>
    </w:p>
    <w:p w:rsidR="00F545CC" w:rsidRDefault="00F545CC">
      <w:r>
        <w:rPr>
          <w:b/>
        </w:rPr>
        <w:t xml:space="preserve">2. </w:t>
      </w:r>
      <w:r>
        <w:t>Torsten Gavelin (fp) anser att avsnittet under rubriken Näringsutskottets stäl</w:t>
      </w:r>
      <w:r>
        <w:t>l</w:t>
      </w:r>
      <w:r>
        <w:t>ningstagande bort ha följande lydelse:</w:t>
      </w:r>
    </w:p>
    <w:p w:rsidR="00F545CC" w:rsidRDefault="00F545CC">
      <w:pPr>
        <w:pStyle w:val="Normaltindrag"/>
      </w:pPr>
      <w:r>
        <w:t xml:space="preserve">Näringsutskottet anser – – – (= utskottet) – – – erinran emot. </w:t>
      </w:r>
    </w:p>
    <w:p w:rsidR="00F545CC" w:rsidRDefault="00F545CC">
      <w:pPr>
        <w:pStyle w:val="Normaltindrag"/>
      </w:pPr>
      <w:r>
        <w:t>Enligt näringsutskottets mening är det emellertid nödvändigt att det nu tillsätts en utredning med syfte att analysera de kort- och långsiktiga föru</w:t>
      </w:r>
      <w:r>
        <w:t>t</w:t>
      </w:r>
      <w:r>
        <w:t>sättningarna för försvarsindustrins överlevnad och utveckling. Vidare bör studeras vilka ytterligare försvarsteknologiska kompetenser än de i propos</w:t>
      </w:r>
      <w:r>
        <w:t>i</w:t>
      </w:r>
      <w:r>
        <w:t>tionen angivna som är nödvändiga att upprätthålla. Skälet är att den priorit</w:t>
      </w:r>
      <w:r>
        <w:t>e</w:t>
      </w:r>
      <w:r>
        <w:t>ring som görs i propositionen är alltför snäv. Teknologiområden som är väsentliga ur säkerhetspolitisk synvinkel prioriteras bort trots att de har ett för försvarsindustrin strategiskt högt kunskapsinnehåll och är internationellt konkurrenskraftiga. Frågan om industrins möjligheter att bedriva eget utvecklingsarbete som inte har sin grund i svenska försvarsbeställningar måste i detta sammanhang också aktualiseras.</w:t>
      </w:r>
    </w:p>
    <w:p w:rsidR="00F545CC" w:rsidRDefault="00F545CC">
      <w:pPr>
        <w:pStyle w:val="Normaltindrag"/>
      </w:pPr>
      <w:r>
        <w:t>Näringsutskottet vill – – – (= utskottet) – – – måste föreligga.</w:t>
      </w:r>
    </w:p>
    <w:p w:rsidR="00F545CC" w:rsidRDefault="00F545CC">
      <w:pPr>
        <w:pStyle w:val="Normaltindrag"/>
      </w:pPr>
      <w:r>
        <w:t>Näringsutskottet konstaterar att de ekonomiska möjligheterna inte föreli</w:t>
      </w:r>
      <w:r>
        <w:t>g</w:t>
      </w:r>
      <w:r>
        <w:softHyphen/>
        <w:t>ger att bibehålla en inhemsk försvarsindustri med dagens stora bredd. Detta leder naturligt till att ett ökat försvarsindust</w:t>
      </w:r>
      <w:r>
        <w:softHyphen/>
        <w:t>riellt samarbete med andra demokratiska stater i Europa och med Förenta staterna aktualise</w:t>
      </w:r>
      <w:r>
        <w:softHyphen/>
        <w:t>ras. Ett fördjupat, organiserat europeiskt försvarsindustrisamarbete kommer att få stor betydelse framöver. Enligt näringsutskottets uppfattning måste dock ett svenskt deltagande i ett vidgat europeiskt samarbete om krigsmate</w:t>
      </w:r>
      <w:r>
        <w:softHyphen/>
        <w:t>riel bygga på en fort</w:t>
      </w:r>
      <w:r>
        <w:softHyphen/>
        <w:t>satt restriktiv exportpolitik och på att motsva</w:t>
      </w:r>
      <w:r>
        <w:t>rande restriktioner införs hos övriga deltagande länder. Samtidigt är det angeläget att svensk försvarsindustri får delta på likvärdiga villkor i den europeiska omstruktur</w:t>
      </w:r>
      <w:r>
        <w:t>e</w:t>
      </w:r>
      <w:r>
        <w:t>ringen på försvarsindustriområdet. Innan några förändringar i fråga om europeiskt samarbete genomförs bör, menar näringsutskottet, de långsiktiga konsekven</w:t>
      </w:r>
      <w:r>
        <w:softHyphen/>
        <w:t>serna och frågan om under vilka former som samverkan skall äga rum bli föremål för en samlad översyn. En redovisning bör därefter ske av vilka konkreta åtgärder som avses att vidtas för att anpassa samverkansfo</w:t>
      </w:r>
      <w:r>
        <w:t>r</w:t>
      </w:r>
      <w:r>
        <w:softHyphen/>
        <w:t>merna.</w:t>
      </w:r>
    </w:p>
    <w:p w:rsidR="00F545CC" w:rsidRDefault="00F545CC">
      <w:pPr>
        <w:pStyle w:val="Normaltindrag"/>
      </w:pPr>
      <w:r>
        <w:t>Med den prioritering som regeringen gör för den kommande försvarsb</w:t>
      </w:r>
      <w:r>
        <w:t>e</w:t>
      </w:r>
      <w:r>
        <w:t>slutsperioden på en kvantitativt stor arméorganisation kommer, enligt näringsutskottets bedömning, de medel som skall avsättas för teknologisat</w:t>
      </w:r>
      <w:r>
        <w:t>s</w:t>
      </w:r>
      <w:r>
        <w:t>ningar att vara otillräckliga. Det riskerar att i för stor utsträckning försämra den industriella kompetensen och försvarets förmåga till anpassning. Enligt näringsutskottets uppfattning behövs det ytterligare satsningar på mater</w:t>
      </w:r>
      <w:r>
        <w:t>i</w:t>
      </w:r>
      <w:r>
        <w:t>elområdet utöver de 550 miljoner kronor som regeringen föreslår skall avsättas för detta änd</w:t>
      </w:r>
      <w:r>
        <w:t>a</w:t>
      </w:r>
      <w:r>
        <w:t>mål.</w:t>
      </w:r>
    </w:p>
    <w:p w:rsidR="00F545CC" w:rsidRDefault="00F545CC">
      <w:pPr>
        <w:pStyle w:val="Normaltindrag"/>
      </w:pPr>
      <w:r>
        <w:t>Vidare ser  – – – (= utskottet) – – – industrie</w:t>
      </w:r>
      <w:r>
        <w:t>l</w:t>
      </w:r>
      <w:r>
        <w:t>la basen.</w:t>
      </w:r>
    </w:p>
    <w:p w:rsidR="00F545CC" w:rsidRDefault="00F545CC">
      <w:pPr>
        <w:pStyle w:val="Normaltindrag"/>
      </w:pPr>
      <w:r>
        <w:t>Med det anförda tillstyrker näringsutskottet motion 1996/97:Fö38 (fp) såvitt nu är i fråga och avstyrker övriga här aktuella motioner i motsvarande delar.</w:t>
      </w:r>
    </w:p>
    <w:p w:rsidR="00F545CC" w:rsidRDefault="00F545CC">
      <w:r>
        <w:rPr>
          <w:b/>
        </w:rPr>
        <w:t>3.</w:t>
      </w:r>
      <w:r>
        <w:t xml:space="preserve"> Lennart Beijer (v) anser att avsnittet under rubriken Näringsutskottets ställningstaga</w:t>
      </w:r>
      <w:r>
        <w:t>n</w:t>
      </w:r>
      <w:r>
        <w:t>de bort ha följande lydelse:</w:t>
      </w:r>
    </w:p>
    <w:p w:rsidR="00F545CC" w:rsidRDefault="00F545CC">
      <w:pPr>
        <w:pStyle w:val="Normaltindrag"/>
      </w:pPr>
      <w:r>
        <w:t>Näringsutskottet ser det som angeläget att det från regeringens sida vidtas kraftfulla åtgärder för att ta fram en plan för avveckling av den svenska krigsmaterielexporten. I en sådan plan skall finnas en konkret formulerad strategi för stöd till en omställning av krigs</w:t>
      </w:r>
      <w:r>
        <w:softHyphen/>
        <w:t>materielindustrin till civil pr</w:t>
      </w:r>
      <w:r>
        <w:t>o</w:t>
      </w:r>
      <w:r>
        <w:t>duk</w:t>
      </w:r>
      <w:r>
        <w:softHyphen/>
        <w:t>tion. V</w:t>
      </w:r>
      <w:r>
        <w:t>ä</w:t>
      </w:r>
      <w:r>
        <w:t>sentliga inslag i en sådan strategi kan vara att bilda särskilda omställ</w:t>
      </w:r>
      <w:r>
        <w:softHyphen/>
        <w:t>ningsfonder och att inrikta samhällets beställningar hos berörda företag mot civila områden. Utskottet vill här hänvisa till den tidigare nämnda utrednin</w:t>
      </w:r>
      <w:r>
        <w:t>g</w:t>
      </w:r>
      <w:r>
        <w:t>en av f.d. generaldirektören Per Borg. I utredningen betonas bl.a. vikten av att försvarsindustrin har tillgång till riskvilligt kapital för ifrågavarande ändamål, vilket bör ingå som en del av den strategi för omställning som näringsutskottet förordar.</w:t>
      </w:r>
    </w:p>
    <w:p w:rsidR="00F545CC" w:rsidRDefault="00F545CC">
      <w:pPr>
        <w:pStyle w:val="Normaltindrag"/>
      </w:pPr>
      <w:r>
        <w:t>Näringsutskottet riktar också invändningar mot regeringens okritiska i</w:t>
      </w:r>
      <w:r>
        <w:t>n</w:t>
      </w:r>
      <w:r>
        <w:softHyphen/>
        <w:t>ställning till ett europeiskt samarbete om försvarsmateriel. Enligt utskottets uppfattning är det olämpligt att Sverige engagerar sig i ett organiserat eur</w:t>
      </w:r>
      <w:r>
        <w:t>o</w:t>
      </w:r>
      <w:r>
        <w:t>peiskt samarbete med de av regeringen angivna riktlinjerna. Konsekven</w:t>
      </w:r>
      <w:r>
        <w:softHyphen/>
        <w:t>serna av ett sådant samarbete är inte förenliga med svenska intressen.</w:t>
      </w:r>
    </w:p>
    <w:p w:rsidR="00F545CC" w:rsidRDefault="00F545CC">
      <w:pPr>
        <w:pStyle w:val="Normaltindrag"/>
      </w:pPr>
      <w:r>
        <w:t>Näringsutskottet anser att riksdagen med ett uttalande skall anmoda reg</w:t>
      </w:r>
      <w:r>
        <w:t>e</w:t>
      </w:r>
      <w:r>
        <w:softHyphen/>
        <w:t>ringen att inte anmäla Sverige för deltagande i ett organiserat samarbete om försvarsmateriel på det sätt som anges i propositionen. I uttalandet bör också innefattas krav på åtgärder enligt vad utskottet i övrigt har redovisat.</w:t>
      </w:r>
    </w:p>
    <w:p w:rsidR="00F545CC" w:rsidRDefault="00F545CC">
      <w:pPr>
        <w:pStyle w:val="Normaltindrag"/>
      </w:pPr>
      <w:r>
        <w:t xml:space="preserve"> Med det anförda tillstyrker näringsutskottet motion 1996/97:Fö52 (v) såvitt här är i fråga. Det sagda ligger också i linje med vad som anförs i motionerna 1996/97:Fö42 (mp) och 1996/97:Fö43 (mp) i berörda delar. Övriga här aktuella motionsyrkanden avstyrks av näringsutskottet.</w:t>
      </w:r>
    </w:p>
    <w:p w:rsidR="00F545CC" w:rsidRDefault="00F545CC">
      <w:pPr>
        <w:pStyle w:val="Innehll"/>
      </w:pPr>
      <w:r>
        <w:t xml:space="preserve"> </w:t>
      </w:r>
    </w:p>
    <w:p w:rsidR="00F545CC" w:rsidRDefault="00F545CC">
      <w:pPr>
        <w:pStyle w:val="Tryckort"/>
      </w:pPr>
      <w:r>
        <w:t>Gotab, Stockholm  1996</w:t>
      </w:r>
    </w:p>
    <w:sectPr w:rsidR="00F545CC">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567" w:right="4876" w:bottom="4508" w:left="1134" w:header="0" w:footer="0"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45CC" w:rsidRDefault="00F545CC">
      <w:pPr>
        <w:spacing w:before="0" w:line="240" w:lineRule="auto"/>
      </w:pPr>
      <w:r>
        <w:separator/>
      </w:r>
    </w:p>
  </w:endnote>
  <w:endnote w:type="continuationSeparator" w:id="0">
    <w:p w:rsidR="00F545CC" w:rsidRDefault="00F545C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CC" w:rsidRDefault="00F545CC">
    <w:pPr>
      <w:pStyle w:val="SidfotV"/>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10</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CC" w:rsidRDefault="00F545CC">
    <w:pPr>
      <w:pStyle w:val="SidfotH"/>
      <w:framePr w:wrap="around"/>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12</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CC" w:rsidRDefault="00F545CC">
    <w:pPr>
      <w:pStyle w:val="SidfotH"/>
      <w:framePr w:wrap="around"/>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45CC" w:rsidRDefault="00F545CC">
      <w:pPr>
        <w:spacing w:before="0" w:line="240" w:lineRule="auto"/>
      </w:pPr>
      <w:r>
        <w:separator/>
      </w:r>
    </w:p>
  </w:footnote>
  <w:footnote w:type="continuationSeparator" w:id="0">
    <w:p w:rsidR="00F545CC" w:rsidRDefault="00F545CC">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CC" w:rsidRDefault="00F545CC">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rPr>
        <w:b/>
      </w:rPr>
      <w:t>1996/97:NU4y</w:t>
    </w:r>
    <w:r>
      <w:fldChar w:fldCharType="end"/>
    </w:r>
  </w:p>
  <w:p w:rsidR="00F545CC" w:rsidRDefault="00F545CC">
    <w:pPr>
      <w:pStyle w:val="SidhuvudFText"/>
      <w:framePr w:w="2302" w:h="1928" w:hRule="exact" w:wrap="notBeside" w:vAnchor="margin" w:hAnchor="page" w:xAlign="right" w:yAlign="top"/>
      <w:spacing w:line="400" w:lineRule="exact"/>
      <w:ind w:right="629"/>
      <w:rPr>
        <w:sz w:val="28"/>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F545CC" w:rsidRDefault="00F545CC">
    <w:pPr>
      <w:pStyle w:val="SidhuvudV"/>
      <w:framePr w:w="2302" w:h="1928" w:hRule="exact" w:wrap="notBeside"/>
    </w:pPr>
    <w:r>
      <w:fldChar w:fldCharType="end"/>
    </w:r>
  </w:p>
  <w:p w:rsidR="00F545CC" w:rsidRDefault="00F545C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CC" w:rsidRDefault="00F545CC">
    <w:pPr>
      <w:pStyle w:val="SidhuvudKant"/>
      <w:framePr w:hSpace="284" w:wrap="around" w:y="568"/>
    </w:pPr>
    <w:r>
      <w:rPr>
        <w:sz w:val="21"/>
      </w:rPr>
      <w:fldChar w:fldCharType="begin" w:fldLock="1"/>
    </w:r>
    <w:r>
      <w:rPr>
        <w:sz w:val="21"/>
      </w:rPr>
      <w:instrText xml:space="preserve"> </w:instrText>
    </w:r>
    <w:r>
      <w:rPr>
        <w:sz w:val="21"/>
      </w:rPr>
      <w:instrText>GLOSSARY</w:instrText>
    </w:r>
    <w:r>
      <w:rPr>
        <w:sz w:val="21"/>
      </w:rPr>
      <w:instrText xml:space="preserve"> HelaNamnet \* KOPPLAFORM </w:instrText>
    </w:r>
    <w:r>
      <w:rPr>
        <w:sz w:val="21"/>
      </w:rPr>
      <w:fldChar w:fldCharType="separate"/>
    </w:r>
    <w:r>
      <w:rPr>
        <w:sz w:val="21"/>
      </w:rPr>
      <w:t>1996/97:NU4y</w:t>
    </w:r>
    <w:r>
      <w:rPr>
        <w:sz w:val="21"/>
      </w:rPr>
      <w:fldChar w:fldCharType="end"/>
    </w:r>
  </w:p>
  <w:p w:rsidR="00F545CC" w:rsidRDefault="00F545CC">
    <w:pPr>
      <w:pStyle w:val="SidhuvudKant"/>
      <w:framePr w:hSpace="284" w:wrap="around" w:y="568"/>
      <w:rPr>
        <w:vanish/>
      </w:rPr>
    </w:pPr>
    <w:r>
      <w:rPr>
        <w:vanish/>
      </w:rPr>
      <w:t>&gt;B</w:t>
    </w:r>
  </w:p>
  <w:p w:rsidR="00F545CC" w:rsidRDefault="00F545CC">
    <w:pPr>
      <w:pStyle w:val="SidhuvudKant"/>
      <w:framePr w:hSpace="284" w:wrap="around" w:y="568"/>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CC" w:rsidRDefault="00F545CC">
    <w:pPr>
      <w:framePr w:w="1701" w:hSpace="284" w:wrap="notBeside" w:vAnchor="page" w:hAnchor="page" w:x="7253" w:y="188"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3374" r:id="rId2"/>
      </w:object>
    </w:r>
  </w:p>
  <w:p w:rsidR="00F545CC" w:rsidRDefault="00F545CC">
    <w:pPr>
      <w:pStyle w:val="SidhuvudFVapen"/>
      <w:framePr w:wrap="notBeside" w:x="7253" w:y="188"/>
      <w:spacing w:line="230" w:lineRule="auto"/>
      <w:rPr>
        <w:sz w:val="24"/>
      </w:rPr>
    </w:pPr>
    <w:bookmarkStart w:id="5" w:name="BnrVapen"/>
    <w:r>
      <w:rPr>
        <w:sz w:val="24"/>
      </w:rPr>
      <w:t>1996/97</w:t>
    </w:r>
  </w:p>
  <w:p w:rsidR="00F545CC" w:rsidRDefault="00F545CC">
    <w:pPr>
      <w:pStyle w:val="SidhuvudFVapen"/>
      <w:framePr w:wrap="notBeside" w:x="7253" w:y="188"/>
      <w:spacing w:line="230" w:lineRule="auto"/>
      <w:rPr>
        <w:sz w:val="24"/>
      </w:rPr>
    </w:pPr>
    <w:r>
      <w:rPr>
        <w:sz w:val="24"/>
      </w:rPr>
      <w:t xml:space="preserve">NU4y </w:t>
    </w:r>
    <w:bookmarkEnd w:id="5"/>
    <w:r w:rsidR="007A3738">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8677425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FF4808B"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" o:allowincell="f" strokeweight=".5pt">
              <v:stroke startarrowwidth="narrow" startarrowlength="short" endarrowwidth="narrow" endarrowlength="short"/>
              <w10:wrap anchorx="page" anchory="page"/>
            </v:line>
          </w:pict>
        </mc:Fallback>
      </mc:AlternateContent>
    </w:r>
  </w:p>
  <w:p w:rsidR="00F545CC" w:rsidRDefault="00F545CC">
    <w:pPr>
      <w:pStyle w:val="SidhuvudFText"/>
      <w:framePr w:w="5727" w:h="2722" w:hRule="exact" w:hSpace="0" w:wrap="notBeside" w:hAnchor="page" w:x="1135" w:y="568"/>
      <w:spacing w:line="400" w:lineRule="exact"/>
      <w:ind w:right="629"/>
      <w:rPr>
        <w:sz w:val="36"/>
      </w:rPr>
    </w:pPr>
    <w:bookmarkStart w:id="6" w:name="DokumentTyp"/>
    <w:r>
      <w:rPr>
        <w:sz w:val="36"/>
      </w:rPr>
      <w:t xml:space="preserve">Näringsutskottets yttrande </w:t>
    </w:r>
    <w:bookmarkEnd w:id="6"/>
  </w:p>
  <w:p w:rsidR="00F545CC" w:rsidRDefault="00F545CC">
    <w:pPr>
      <w:pStyle w:val="SidhuvudFText"/>
      <w:framePr w:w="5727" w:h="2722" w:hRule="exact" w:hSpace="0" w:wrap="notBeside" w:hAnchor="page" w:x="1135" w:y="568"/>
      <w:spacing w:line="400" w:lineRule="exact"/>
      <w:ind w:right="629"/>
      <w:rPr>
        <w:sz w:val="36"/>
      </w:rPr>
    </w:pPr>
    <w:bookmarkStart w:id="7" w:name="Betänkandenummer"/>
    <w:r>
      <w:rPr>
        <w:sz w:val="36"/>
      </w:rPr>
      <w:t xml:space="preserve">1996/97:NU4y </w:t>
    </w:r>
    <w:bookmarkEnd w:id="7"/>
    <w:r>
      <w:rPr>
        <w:sz w:val="36"/>
      </w:rPr>
      <w:t xml:space="preserve">       </w:t>
    </w:r>
    <w:bookmarkStart w:id="8" w:name="Utkast"/>
    <w:r>
      <w:rPr>
        <w:sz w:val="36"/>
      </w:rPr>
      <w:t xml:space="preserve"> </w:t>
    </w:r>
  </w:p>
  <w:p w:rsidR="00F545CC" w:rsidRDefault="00F545CC">
    <w:pPr>
      <w:pStyle w:val="SidhuvudFText"/>
      <w:framePr w:w="5727" w:h="2722" w:hRule="exact" w:hSpace="0" w:wrap="notBeside" w:hAnchor="page" w:x="1135" w:y="568"/>
      <w:spacing w:before="40" w:after="900" w:line="280" w:lineRule="exact"/>
      <w:ind w:right="629"/>
      <w:rPr>
        <w:sz w:val="26"/>
      </w:rPr>
    </w:pPr>
    <w:bookmarkStart w:id="9" w:name="Rubrik"/>
    <w:bookmarkEnd w:id="8"/>
    <w:r>
      <w:rPr>
        <w:sz w:val="28"/>
      </w:rPr>
      <w:t>Totalförsvar i förnyelse – etapp 2</w:t>
    </w:r>
    <w:r>
      <w:rPr>
        <w:sz w:val="26"/>
      </w:rPr>
      <w:t xml:space="preserve"> </w:t>
    </w:r>
    <w:bookmarkEnd w:id="9"/>
    <w:r>
      <w:rPr>
        <w:sz w:val="26"/>
      </w:rPr>
      <w:t xml:space="preserve"> </w:t>
    </w:r>
  </w:p>
  <w:p w:rsidR="00F545CC" w:rsidRDefault="00F545CC">
    <w:pPr>
      <w:pStyle w:val="SidhuvudFText"/>
      <w:framePr w:w="5727" w:h="2722" w:hRule="exact" w:hSpace="0" w:wrap="notBeside" w:hAnchor="page" w:x="1135" w:y="568"/>
      <w:spacing w:line="460" w:lineRule="exact"/>
      <w:ind w:right="629"/>
      <w:rPr>
        <w:sz w:val="36"/>
      </w:rPr>
    </w:pPr>
  </w:p>
  <w:p w:rsidR="00F545CC" w:rsidRDefault="00F545CC">
    <w:pPr>
      <w:pStyle w:val="SidhuvudFText"/>
      <w:framePr w:w="5727" w:h="2722" w:hRule="exact" w:hSpace="0" w:wrap="notBeside" w:hAnchor="page" w:x="1135" w:y="568"/>
      <w:spacing w:before="40" w:after="900" w:line="300" w:lineRule="exact"/>
      <w:ind w:right="629"/>
      <w:rPr>
        <w:sz w:val="26"/>
      </w:rPr>
    </w:pPr>
    <w:r>
      <w:rPr>
        <w:sz w:val="26"/>
      </w:rPr>
      <w:t xml:space="preserve"> </w:t>
    </w:r>
  </w:p>
  <w:p w:rsidR="00F545CC" w:rsidRDefault="00F545CC">
    <w:pPr>
      <w:pStyle w:val="SidhuvudFText"/>
      <w:framePr w:hSpace="0" w:wrap="auto" w:vAnchor="margin" w:yAlign="inline"/>
      <w:spacing w:line="400" w:lineRule="exact"/>
      <w:ind w:right="62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567"/>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NU4y"/>
    <w:docVar w:name="Flyttförsök" w:val="JA"/>
    <w:docVar w:name="HelaNamnet" w:val="1996/97:NU4y"/>
    <w:docVar w:name="NR" w:val="4y"/>
    <w:docVar w:name="RUBRIK" w:val="Totalförsvar i förnyelse - etapp 2"/>
    <w:docVar w:name="SkapVERSION" w:val="V7.1 961001"/>
    <w:docVar w:name="USK" w:val="NU"/>
    <w:docVar w:name="USKKORT" w:val="NU"/>
    <w:docVar w:name="USKNAMN" w:val="Näringsutskottets"/>
    <w:docVar w:name="USKNAMNG" w:val="näringsutskottets"/>
    <w:docVar w:name="ÅR" w:val="1996/97"/>
  </w:docVars>
  <w:rsids>
    <w:rsidRoot w:val="00555B8D"/>
    <w:rsid w:val="00555B8D"/>
    <w:rsid w:val="007A3738"/>
    <w:rsid w:val="00F545C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4F2693-0A23-43C9-B4B0-384AED66D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rap="notBeside"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notBeside"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noProof/>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510"/>
    </w:p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Normal"/>
    <w:next w:val="Normal"/>
    <w:semiHidden/>
    <w:pPr>
      <w:tabs>
        <w:tab w:val="right" w:pos="5896"/>
      </w:tabs>
      <w:spacing w:before="0"/>
      <w:ind w:left="1140"/>
      <w:jc w:val="left"/>
    </w:pPr>
    <w:rPr>
      <w:sz w:val="20"/>
    </w:r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3976" w:anchorLock="1"/>
      <w:spacing w:before="0"/>
      <w:ind w:left="0"/>
    </w:pPr>
  </w:style>
  <w:style w:type="paragraph" w:styleId="Innehll5">
    <w:name w:val="toc 5"/>
    <w:basedOn w:val="Normal"/>
    <w:next w:val="Normal"/>
    <w:semiHidden/>
    <w:pPr>
      <w:tabs>
        <w:tab w:val="right" w:leader="dot" w:pos="5896"/>
      </w:tabs>
      <w:spacing w:before="0"/>
      <w:ind w:left="907" w:right="567"/>
      <w:jc w:val="left"/>
    </w:pPr>
    <w:rPr>
      <w:sz w:val="20"/>
    </w:rPr>
  </w:style>
  <w:style w:type="paragraph" w:styleId="Innehll6">
    <w:name w:val="toc 6"/>
    <w:basedOn w:val="Normal"/>
    <w:next w:val="Normal"/>
    <w:semiHidden/>
    <w:pPr>
      <w:tabs>
        <w:tab w:val="right" w:pos="5896"/>
      </w:tabs>
      <w:spacing w:before="0"/>
      <w:ind w:left="950"/>
      <w:jc w:val="left"/>
    </w:pPr>
    <w:rPr>
      <w:sz w:val="20"/>
    </w:rPr>
  </w:style>
  <w:style w:type="paragraph" w:styleId="Innehll8">
    <w:name w:val="toc 8"/>
    <w:basedOn w:val="Normal"/>
    <w:next w:val="Normal"/>
    <w:semiHidden/>
    <w:pPr>
      <w:tabs>
        <w:tab w:val="right" w:pos="5896"/>
      </w:tabs>
      <w:spacing w:before="0"/>
      <w:ind w:left="1330"/>
      <w:jc w:val="left"/>
    </w:pPr>
    <w:rPr>
      <w:sz w:val="20"/>
    </w:rPr>
  </w:style>
  <w:style w:type="paragraph" w:styleId="Innehll9">
    <w:name w:val="toc 9"/>
    <w:basedOn w:val="Normal"/>
    <w:next w:val="Normal"/>
    <w:semiHidden/>
    <w:pPr>
      <w:tabs>
        <w:tab w:val="right" w:pos="5896"/>
      </w:tabs>
      <w:spacing w:before="0"/>
      <w:ind w:left="1520"/>
      <w:jc w:val="left"/>
    </w:pPr>
    <w:rPr>
      <w:sz w:val="20"/>
    </w:rPr>
  </w:style>
  <w:style w:type="paragraph" w:customStyle="1" w:styleId="Tryckort">
    <w:name w:val="Tryckort"/>
    <w:basedOn w:val="Normal"/>
    <w:pPr>
      <w:spacing w:before="0"/>
    </w:pPr>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a">
    <w:name w:val="__"/>
    <w:basedOn w:val="Normaltindrag"/>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7.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BET7.DOT</Template>
  <TotalTime>0</TotalTime>
  <Pages>2</Pages>
  <Words>4704</Words>
  <Characters>31658</Characters>
  <Application>Microsoft Office Word</Application>
  <DocSecurity>4</DocSecurity>
  <Lines>536</Lines>
  <Paragraphs>103</Paragraphs>
  <ScaleCrop>false</ScaleCrop>
  <Company/>
  <LinksUpToDate>false</LinksUpToDate>
  <CharactersWithSpaces>36259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 nr 4y</dc:title>
  <dc:subject>Näringsutskottets betänkande nr 4y</dc:subject>
  <dc:creator>Riksdagen</dc:creator>
  <cp:keywords>Riksdagen</cp:keywords>
  <cp:lastModifiedBy>Lars Brink</cp:lastModifiedBy>
  <cp:revision>2</cp:revision>
  <cp:lastPrinted>1996-11-19T15:35:00Z</cp:lastPrinted>
  <dcterms:created xsi:type="dcterms:W3CDTF">2025-12-15T18:43:00Z</dcterms:created>
  <dcterms:modified xsi:type="dcterms:W3CDTF">2025-12-15T18:43:00Z</dcterms:modified>
</cp:coreProperties>
</file>